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Crosstabulation PLTU vs IKU</w:t>
      </w: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Kerangka operasionalisasi sub-bab ini menggunakan pendekatan visualisasi dinamis Animated Bubble Chart (Hans Rosling-style) dan Uji Statistik Chi-Square (Crosstabulation) untuk mengukur keterkaitan alokasi izin lahan dengan laju deforestasi. Alur data dan pengujian diilustrasikan pada </w:t>
      </w:r>
      <w:r>
        <w:rPr>
          <w:b/>
          <w:i w:val="0"/>
          <w:color w:val="222222"/>
          <w:sz w:val="19"/>
        </w:rPr>
        <w:t>Bagan Alur 2.3</w:t>
      </w:r>
      <w:r>
        <w:rPr>
          <w:b w:val="0"/>
          <w:i w:val="0"/>
          <w:color w:val="222222"/>
          <w:sz w:val="19"/>
        </w:rPr>
        <w:t xml:space="preserve"> berikut:</w:t>
      </w:r>
    </w:p>
    <w:p>
      <w:pPr>
        <w:spacing w:before="120" w:after="40"/>
      </w:pPr>
      <w:r>
        <w:rPr>
          <w:b/>
          <w:i/>
          <w:color w:val="2E7D32"/>
          <w:sz w:val="17"/>
        </w:rPr>
        <w:t>Bagan Alur 2.3: Alur Logika Metodologis Animated Bubble Chart &amp; Crosstabulation Ekspansi Industri vs Deforestasi</w:t>
      </w:r>
    </w:p>
    <w:p>
      <w:pPr>
        <w:jc w:val="center"/>
      </w:pPr>
      <w:r>
        <w:drawing>
          <wp:inline xmlns:a="http://schemas.openxmlformats.org/drawingml/2006/main" xmlns:pic="http://schemas.openxmlformats.org/drawingml/2006/picture">
            <wp:extent cx="5400000" cy="1137290"/>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137290"/>
                    </a:xfrm>
                    <a:prstGeom prst="rect"/>
                  </pic:spPr>
                </pic:pic>
              </a:graphicData>
            </a:graphic>
          </wp:inline>
        </w:drawing>
      </w: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Luas_IUP_Kawasan_Provinsi = SUM(total_luas_ha) GROUP BY Provinsi</w:t>
      </w:r>
    </w:p>
    <w:p>
      <w:pPr>
        <w:spacing w:before="40" w:after="120"/>
        <w:ind w:left="280"/>
      </w:pPr>
      <w:r>
        <w:rPr>
          <w:b/>
          <w:i/>
          <w:color w:val="333333"/>
          <w:sz w:val="16"/>
        </w:rPr>
        <w:t>Keterangan Variabel:</w:t>
        <w:br/>
      </w:r>
      <w:r>
        <w:rPr>
          <w:b/>
          <w:i w:val="0"/>
          <w:color w:val="1B5E20"/>
          <w:sz w:val="16"/>
        </w:rPr>
        <w:t xml:space="preserve">- Luas_IUP_Kawasan_Provinsi: </w:t>
      </w:r>
      <w:r>
        <w:rPr>
          <w:b w:val="0"/>
          <w:i w:val="0"/>
          <w:color w:val="444444"/>
          <w:sz w:val="16"/>
        </w:rPr>
        <w:t>Total luasan (Ha) konsesi IUP dan Kawasan Industri nikel pada provinsi observasi.</w:t>
        <w:br/>
      </w:r>
      <w:r>
        <w:rPr>
          <w:b/>
          <w:i w:val="0"/>
          <w:color w:val="1B5E20"/>
          <w:sz w:val="16"/>
        </w:rPr>
        <w:t xml:space="preserve">- total_luas_ha: </w:t>
      </w:r>
      <w:r>
        <w:rPr>
          <w:b w:val="0"/>
          <w:i w:val="0"/>
          <w:color w:val="444444"/>
          <w:sz w:val="16"/>
        </w:rPr>
        <w:t>Luas izin (Ha) tiap entitas perusahaan dalam data kawasan nikel Minerbaone/CGS.</w:t>
      </w:r>
    </w:p>
    <w:p>
      <w:pPr>
        <w:spacing w:before="120" w:after="20"/>
      </w:pPr>
      <w:r>
        <w:rPr>
          <w:b/>
          <w:i/>
          <w:color w:val="2E7D32"/>
          <w:sz w:val="17"/>
        </w:rPr>
        <w:t>Persamaan: Kumulatif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Kumulatif_Luas_Konsesi_Ha = CUMSUM(Total_Luas_Konsesi_Baru_Ha) OVER (ORDER BY Tahun)</w:t>
      </w:r>
    </w:p>
    <w:p>
      <w:pPr>
        <w:spacing w:before="40" w:after="120"/>
        <w:ind w:left="280"/>
      </w:pPr>
      <w:r>
        <w:rPr>
          <w:b/>
          <w:i/>
          <w:color w:val="333333"/>
          <w:sz w:val="16"/>
        </w:rPr>
        <w:t>Keterangan Variabel:</w:t>
        <w:br/>
      </w:r>
      <w:r>
        <w:rPr>
          <w:b/>
          <w:i w:val="0"/>
          <w:color w:val="1B5E20"/>
          <w:sz w:val="16"/>
        </w:rPr>
        <w:t xml:space="preserve">- Kumulatif_Luas_Konsesi_Ha: </w:t>
      </w:r>
      <w:r>
        <w:rPr>
          <w:b w:val="0"/>
          <w:i w:val="0"/>
          <w:color w:val="444444"/>
          <w:sz w:val="16"/>
        </w:rPr>
        <w:t>Akumulasi luasan konsesi industri per provinsi yang bertambah dari tahun ke tahun (skala ukuran gelembung).</w:t>
        <w:br/>
      </w:r>
      <w:r>
        <w:rPr>
          <w:b/>
          <w:i w:val="0"/>
          <w:color w:val="1B5E20"/>
          <w:sz w:val="16"/>
        </w:rPr>
        <w:t xml:space="preserve">- Total_Luas_Konsesi_Baru_Ha: </w:t>
      </w:r>
      <w:r>
        <w:rPr>
          <w:b w:val="0"/>
          <w:i w:val="0"/>
          <w:color w:val="444444"/>
          <w:sz w:val="16"/>
        </w:rPr>
        <w:t>Variabel Tekanan Ruang (Independen): luas IUP diterbitkan per tahun.</w:t>
      </w:r>
    </w:p>
    <w:p>
      <w:pPr>
        <w:spacing w:before="120" w:after="20"/>
      </w:pPr>
      <w:r>
        <w:rPr>
          <w:b/>
          <w:i/>
          <w:color w:val="2E7D32"/>
          <w:sz w:val="17"/>
        </w:rPr>
        <w:t>Persamaan: Kumulatif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Kumulatif_Deforestasi_Ha = CUMSUM(Total_Deforestasi_Ha) OVER (ORDER BY Tahun)</w:t>
      </w:r>
    </w:p>
    <w:p>
      <w:pPr>
        <w:spacing w:before="40" w:after="120"/>
        <w:ind w:left="280"/>
      </w:pPr>
      <w:r>
        <w:rPr>
          <w:b/>
          <w:i/>
          <w:color w:val="333333"/>
          <w:sz w:val="16"/>
        </w:rPr>
        <w:t>Keterangan Variabel:</w:t>
        <w:br/>
      </w:r>
      <w:r>
        <w:rPr>
          <w:b/>
          <w:i w:val="0"/>
          <w:color w:val="1B5E20"/>
          <w:sz w:val="16"/>
        </w:rPr>
        <w:t xml:space="preserve">- Kumulatif_Deforestasi_Ha: </w:t>
      </w:r>
      <w:r>
        <w:rPr>
          <w:b w:val="0"/>
          <w:i w:val="0"/>
          <w:color w:val="444444"/>
          <w:sz w:val="16"/>
        </w:rPr>
        <w:t>Akumulasi total deforestasi per provinsi yang merepresentasikan level keparahan pada gradasi warna peta.</w:t>
        <w:br/>
      </w:r>
      <w:r>
        <w:rPr>
          <w:b/>
          <w:i w:val="0"/>
          <w:color w:val="1B5E20"/>
          <w:sz w:val="16"/>
        </w:rPr>
        <w:t xml:space="preserve">- Total_Deforestasi_Ha: </w:t>
      </w:r>
      <w:r>
        <w:rPr>
          <w:b w:val="0"/>
          <w:i w:val="0"/>
          <w:color w:val="444444"/>
          <w:sz w:val="16"/>
        </w:rPr>
        <w:t>Variabel Dampak Ruang (Dependen): deforestasi alam per tahun.</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 = IF(Nilai &gt;= Median(Seluruh Panel), 'Tinggi/Parah', 'Rendah')</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ekspansi industri dan deforestasi saling independen: E = (Total Baris * Total Kolom)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