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5: METODOLOGI ANALISIS POLA PENERBITAN IZIN DI ZONA KRITIS EKOLOGIS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audit perizinan geospasial-temporal, telaah kepatuhan tata ruang, dan pengujian inferensial kuantitatif terpadu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membedah relasi kausal antara eskalasi penerbitan Izin Usaha Pertambangan (IUP) baru dengan kehancuran ekosistem kritis di enam provinsi Pulau Sulawesi sepanjang satu dekade (</w:t>
      </w:r>
      <w:r>
        <w:rPr>
          <w:rFonts w:ascii="Calibri" w:hAnsi="Calibri"/>
          <w:b/>
          <w:i w:val="0"/>
          <w:color w:val="222222"/>
          <w:sz w:val="17"/>
        </w:rPr>
        <w:t>2014–2024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5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Sinkronisasi Waktu &amp; Akselerasi Izin (Timeline Mapping): </w:t>
      </w:r>
      <w:r>
        <w:rPr>
          <w:rFonts w:ascii="Calibri" w:hAnsi="Calibri"/>
          <w:b w:val="0"/>
          <w:i w:val="0"/>
          <w:color w:val="222222"/>
          <w:sz w:val="17"/>
        </w:rPr>
        <w:t>Menguji sinkronisasi temporal antara tren deforestasi tahunan dan pelepasan konsesi tambang baru, serta mengukur rasio percepatan izin pra vs pasca penetapan kebijakan hilirisasi.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Audit Tabrakan Tata Ruang Spasial (Livelihood Overlay): </w:t>
      </w:r>
      <w:r>
        <w:rPr>
          <w:rFonts w:ascii="Calibri" w:hAnsi="Calibri"/>
          <w:b w:val="0"/>
          <w:i w:val="0"/>
          <w:color w:val="222222"/>
          <w:sz w:val="17"/>
        </w:rPr>
        <w:t>Mengisolasi dan menghitung secara kumulatif luas tutupan lahan yang hilang pada kawasan livelihood produktif warga (pertanian, peternakan, perkebunan) akibat penetrasi konsesi pertambangan.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Evaluasi Tata Kelola FPIC &amp; Pembuktian Kausalitas Inferensial: </w:t>
      </w:r>
      <w:r>
        <w:rPr>
          <w:rFonts w:ascii="Calibri" w:hAnsi="Calibri"/>
          <w:b w:val="0"/>
          <w:i w:val="0"/>
          <w:color w:val="222222"/>
          <w:sz w:val="17"/>
        </w:rPr>
        <w:t>Mendokumentasikan pelanggaran prosedur persetujuan awal (FPIC) serta membuktikan signifikansi hubungan kausal antara penerbitan izin dan deforestasi kritis melalui uji Pearson Chi-Square dan rasio peluang (Odds Ratio).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Kajian ini mengintegrasikan lima klaster basis data resmi kementerian teknis, platform satelit global, dan registri advokasi masyarakat sipil yang telah divalidasi silang: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ESDM (MODI &amp; MinerbaOne): </w:t>
      </w:r>
      <w:r>
        <w:rPr>
          <w:rFonts w:ascii="Calibri" w:hAnsi="Calibri"/>
          <w:b w:val="0"/>
          <w:i w:val="0"/>
          <w:color w:val="222222"/>
          <w:sz w:val="17"/>
        </w:rPr>
        <w:t>Registri 574 IUP baru mencakup luas konsesi 819.452,5 Ha terdistribusi menurut provinsi dan tahun penerbitan (2014–2024).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Forest Watch (GFW / Hansen UMD) &amp; KLHK: </w:t>
      </w:r>
      <w:r>
        <w:rPr>
          <w:rFonts w:ascii="Calibri" w:hAnsi="Calibri"/>
          <w:b w:val="0"/>
          <w:i w:val="0"/>
          <w:color w:val="222222"/>
          <w:sz w:val="17"/>
        </w:rPr>
        <w:t>Data time-series deforestasi total (1,38 juta Ha) dan kehilangan tutupan pohon akibat pendorong komoditas tambang/sawit (2014–2023).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Batas Geospasial Kawasan Livelihood &amp; Penyangga Pangan: </w:t>
      </w:r>
      <w:r>
        <w:rPr>
          <w:rFonts w:ascii="Calibri" w:hAnsi="Calibri"/>
          <w:b w:val="0"/>
          <w:i w:val="0"/>
          <w:color w:val="222222"/>
          <w:sz w:val="17"/>
        </w:rPr>
        <w:t>Poligon spasial peruntukan ruang kelola warga mencakup Zona Pertanian-Peternakan dan Perkebunan Rakyat.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(CATAHU KPA): </w:t>
      </w:r>
      <w:r>
        <w:rPr>
          <w:rFonts w:ascii="Calibri" w:hAnsi="Calibri"/>
          <w:b w:val="0"/>
          <w:i w:val="0"/>
          <w:color w:val="222222"/>
          <w:sz w:val="17"/>
        </w:rPr>
        <w:t>Audit rekam jejak korporasi tambang bermasalah, izin ilegal, dan kasus tumpang tindih kawasan hutan di Sulawesi.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Koalisi Masyarakat Sipil (JATAM, WALHI, AMAN): </w:t>
      </w:r>
      <w:r>
        <w:rPr>
          <w:rFonts w:ascii="Calibri" w:hAnsi="Calibri"/>
          <w:b w:val="0"/>
          <w:i w:val="0"/>
          <w:color w:val="222222"/>
          <w:sz w:val="17"/>
        </w:rPr>
        <w:t>Dokumentasi 12 kasus konflik pertambangan spesifik di tapak industri dan catatan pelanggaran asas FPIC terhadap masyarakat adat/lokal.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Seluruh dinamika perizinan tambang, laju deforestasi tutupan hutan, perambahan zona penyangga livelihood, pelanggaran konsultasi FPIC, hingga pengujian korelasi statistik dioperasionalkan secara terstruktur ke dalam </w:t>
      </w:r>
      <w:r>
        <w:rPr>
          <w:rFonts w:ascii="Calibri" w:hAnsi="Calibri"/>
          <w:b/>
          <w:i w:val="0"/>
          <w:color w:val="222222"/>
          <w:sz w:val="17"/>
        </w:rPr>
        <w:t>indikator riset empiris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Indikator Riset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Pengukuran</w:t>
            </w:r>
          </w:p>
        </w:tc>
        <w:tc>
          <w:tcPr>
            <w:tcW w:type="dxa" w:w="124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Satuan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Akumulasi Penerbitan IUP Baru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Frekuensi Izin Usaha Pertambangan Baru Terbit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Unit Izin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Data Registry ESDM MODI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Luas Alokasi Konsesi Tambang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Bentang Konsesi Pertambangan Baru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Data Registry ESDM MODI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Laju Deforestasi Hutan Alam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Kehilangan Tutupan Pohon Alami Tahunan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Global Forest Watch (Hansen UMD)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Deforestasi Driver Komoditas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Kehilangan Tutupan Akibat Tambang &amp; Sawit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Commodity Drivers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Perambahan Kawasan Livelihood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Kerusakan Zona Pertanian &amp; Peternakan Warga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Overlay Livelihood Zone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Perambahan Perkebunan Rakyat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Kerusakan Zona Perkebunan Warga Produktif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Overlay Livelihood Zone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Insidensi Pelanggaran Asas FPIC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Konflik Tambang Tanpa Persetujuan Awal Warga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Koalisi Sipil (JATAM &amp; WALHI)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Legalitas &amp; Tata Kelola Izin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Pelanggaran Prosedur &amp; Rekam Jejak Korporasi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 Korporasi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CATAHU KPA &amp; TanahKita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Peluang Risiko Ekologis (OR)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Magnitudo Kelipatan Risiko Deforestasi Kritis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Peluang (Odds)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Panel Data Join ESDM-GFW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5.1 Fakta Penyebab: Sinkronisasi Waktu (Timeline Mapping)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Sinkronisasi waktu memetakan relasi temporal antara lonjakan izin pertambangan dengan eskalasi kehilangan tutupan hutan tahunan, serta menghitung rasio laju akselerasi izin era pra vs pasca-2020: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Agregasi Tahunan: D_t = Σ D_{p,t}   ;   I_t = Σ I_{p,t}   ;   L_t = Σ L_{p,t}   |   Rasio Akselerasi (R) = I_Pasca / I_Pra</w:t>
      </w:r>
      <w:r>
        <w:rPr>
          <w:rFonts w:ascii="Calibri" w:hAnsi="Calibri"/>
          <w:b w:val="0"/>
          <w:i/>
          <w:color w:val="335533"/>
          <w:sz w:val="15"/>
        </w:rPr>
        <w:br/>
        <w:t>Keterangan: D_{p,t} = Deforestasi provinsi p tahun t (Ha); I_{p,t} = IUP terbit tahun t; L_{p,t} = Luas konsesi (Ha); I_Pasca = Total izin pasca-2020 (468 IUP); I_Pra = Total izin pra-2020 (106 IUP); R = Rasio lonjakan akselerasi izin (4,4 kali lipat).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5.2 Fakta Spasial: Tabrakan Tata Ruang di Kawasan Konservasi &amp; Livelihood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Penapisan spasial (spatial overlay intersection) mengisolasi poligon tree cover loss yang beririsan dengan kawasan livelihood produktif warga dan menghitung laju kerusakan kumulatif antar-kategori: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Kehancuran Tahunan: H_c(t) = Σ Loss_i   ;   Akumulasi: K_c(T) = Σ H_c(t)   ;   Total Kumulatif(T) = K_Tani(T) + K_Kebun(T)</w:t>
      </w:r>
      <w:r>
        <w:rPr>
          <w:rFonts w:ascii="Calibri" w:hAnsi="Calibri"/>
          <w:b w:val="0"/>
          <w:i/>
          <w:color w:val="335533"/>
          <w:sz w:val="15"/>
        </w:rPr>
        <w:br/>
        <w:t>Keterangan: Loss_i = Luas tutupan hilang pada poligon livelihood i (Ha); c = Kategori livelihood (1 = Pertanian/Peternakan, 2 = Perkebunan); K_c(T) = Akumulasi tutupan hilang s.d. tahun T; Total Kumulatif = Total kerusakan ruang pangan (41.785,1 Ha).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5.3 Realitas Lapangan: Izin Bermasalah, FPIC Diabaikan, Masyarakat Dikorbankan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Integrasi data lintas registri (cross-dataset audit) mengukur proporsi kasus konflik pertambangan yang secara eksplisit mencatatkan indikasi pengabaian hak persetujuan awal masyarakat (FPIC):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Konflik = Σ K_i   ;   Pelanggaran FPIC = Σ K_{i,FPIC=True}   ;   Rasio Pengabaian (%) = [ Pelanggaran FPIC / Total Konflik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K_i = Kasus sengketa pertambangan di Sulawesi (N = 12); Pelanggaran FPIC = Kasus sengketa dengan indikasi pelanggaran FPIC (N = 8); Rasio Pengabaian = Tingkat pengabaian persetujuan awal masyarakat adat/lokal (66,7%).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5.4 Pembuktian Empiris: Uji Statistik Korelasi Penerbitan Izin &amp; Deforestasi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Pengujian statistik inferensial non-parametrik Pearson Chi-Square independensi (df = 1, α = 5%) diterapkan pada matriks kontinjensi 2×2 berbasis ambang median data panel provinsi-tahun (N = 60 observasi: 6 provinsi × 10 tahun). Rasio peluang Odds Ratio (OR) mengukur magnitudo kelipatan risiko deforestasi kritis pada wilayah/tahun dengan penerbitan izin tinggi: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Kategori(X) = Tinggi jika X ≥ Median ; Rendah jika X &lt; Median   |   χ² = Σ [ (O_ij - E_ij)² / E_ij ]   |   Odds Ratio (OR) = (a × d) / (b × c)</w:t>
      </w:r>
      <w:r>
        <w:rPr>
          <w:rFonts w:ascii="Calibri" w:hAnsi="Calibri"/>
          <w:b w:val="0"/>
          <w:i/>
          <w:color w:val="335533"/>
          <w:sz w:val="15"/>
        </w:rPr>
        <w:br/>
        <w:t>Keterangan: X = Nilai observasi panel provinsi-tahun; Median = Ambang batas klasifikasi biner distribusi panel; O_ij &amp; E_ij = Frekuensi teramati dan ekspektasi pada sel ij; a, b, c, d = Sel kontinjensi 2×2; OR = Rasio kelipatan peluang risiko deforestasi.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5.4a: Konfigurasi Variabel Uji Chi-Square (Sub-bab 5.4)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5.4)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 Izin Baru (IUP) / Total Luas Konsesi Baru (Ha) per provinsi-tahun.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Deforestasi Alam (Ha) / Deforestasi Komoditas Tambang &amp; Sawit (Ha).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Tidak terdapat hubungan signifikan antara tingginya penerbitan IUP baru dan tingginya laju deforestasi.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Tingginya penerbitan IUP baru berasosiasi signifikan dengan peningkatan risiko laju deforestasi kritis.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Tolak H0 jika Pearson Chi-Square P-Value &lt; 0.05 dan Odds Ratio (OR) &gt; 1.0.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 (Median Panel)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Median Jumlah IUP = 2,0 izin/tahun; Median Luas Konsesi = 2.011,5 Ha; Median Deforestasi Total = 15.917,7 Ha; Median Deforestasi Komoditas = 10.961,8 Ha (N = 60 observasi).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 (OR)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 = (a × d) / (b × c) dengan a = Kuadran Izin Tinggi &amp; Deforestasi Tinggi; membuktikan kelipatan risiko kehancuran hutan (OR terhitung berkisar 9,04 s.d. 16,00 kali lipat).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5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5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5.1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Akselerasi &amp; Sinkronisasi Waktu Izin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Timeline Alignment, Multi-Axis Combo Analysis, Rasio Akselerasi Pra vs Pasca 2020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5.2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Tabrakan Tata Ruang Kawasan Livelihood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Geospatial Intersection Overlay, Akumulasi Kerusakan Livelihood Zone (Pertanian &amp; Perkebunan)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5.3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Tata Kelola &amp; Pengabaian FPIC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Cross-Dataset Integration, Case Tracking Pelanggaran FPIC &amp; Rekam Jejak Korporasi CATAHU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5.4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Pembuktian Korelasi Kausalitas Spasial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Panel Data Crosstabulation (N=60), Median Binning, Pearson Chi-Square, Odds Ratio Analysis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5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5.1: Alur Logika Kerangka Kerja Riset Bab 5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5:</w:t>
        <w:br/>
      </w:r>
      <w:r>
        <w:rPr>
          <w:rFonts w:ascii="Calibri" w:hAnsi="Calibri"/>
          <w:b w:val="0"/>
          <w:i w:val="0"/>
          <w:color w:val="222222"/>
          <w:sz w:val="16"/>
        </w:rPr>
        <w:t>1. Konfigurasi Sinkronisasi Krisis &amp; Akselerasi Izin: Menunjukkan bahwa 86,8% izin tambang terbit pada tahun-tahun deforestasi provinsi di atas median historis, dengan lonjakan akselerasi izin era pasca-2020 mencapai 4,4 kali lipat (468 izin vs 106 izin pra-2020).</w:t>
        <w:br/>
        <w:t>2. Konfigurasi Tabrakan Tata Ruang Livelihood: Mengkuantifikasi kerusakan permanen seluas lebih dari 41,8 ribu hektar kawasan penyangga livelihood pangan masyarakat (57,7% Pertanian-Peternakan dan 42,3% Perkebunan Rakyat) akibat penetrasi izin konsesi ekstraktif.</w:t>
        <w:br/>
        <w:t>3. Konfigurasi Pembuktian Kausalitas Inferensial: Membuktikan secara matematis melalui pengujian Chi-Square bahwa seluruh 4 skenario perizinan vs deforestasi terbukti signifikan (p &lt; 0,001) dengan magnitudo risiko kerusakan ekologis (Odds Ratio) hingga 16,0 kali lipat.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