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A8201A"/>
          <w:sz w:val="16"/>
        </w:rPr>
        <w:t>CELIOS - CENTER OF ECONOMIC AND LAW STUDIES  |  LAPORAN RISET METODOLOGI D3TLH TINGKAT PROVINSI</w:t>
      </w:r>
    </w:p>
    <w:p>
      <w:pPr>
        <w:keepNext/>
        <w:spacing w:before="320" w:after="160"/>
      </w:pPr>
      <w:r>
        <w:rPr>
          <w:b/>
          <w:color w:val="143642"/>
          <w:sz w:val="28"/>
        </w:rPr>
        <w:t>BAB VI: AUDIT FORENSIK METODOLOGI D3TLH</w:t>
      </w:r>
    </w:p>
    <w:p>
      <w:pPr>
        <w:keepNext/>
        <w:spacing w:before="280" w:after="120"/>
      </w:pPr>
      <w:r>
        <w:rPr>
          <w:b/>
          <w:color w:val="A8201A"/>
          <w:sz w:val="24"/>
        </w:rPr>
        <w:t>SUB-BAB 6.6: ALGORITMA SKORING TINGKAT PROVINSI (ANALISIS SULAWESI TENGAH)</w:t>
      </w:r>
    </w:p>
    <w:tbl>
      <w:tblPr>
        <w:tblW w:type="auto" w:w="0"/>
        <w:jc w:val="center"/>
        <w:tblLook w:firstColumn="1" w:firstRow="1" w:lastColumn="0" w:lastRow="0" w:noHBand="0" w:noVBand="1" w:val="04A0"/>
      </w:tblPr>
      <w:tblGrid>
        <w:gridCol w:w="9638"/>
      </w:tblGrid>
      <w:tr>
        <w:tc>
          <w:tcPr>
            <w:tcW w:type="dxa" w:w="9638"/>
            <w:shd w:fill="F4F5F6"/>
            <w:tcMar>
              <w:top w:w="120" w:type="dxa"/>
              <w:bottom w:w="120" w:type="dxa"/>
              <w:left w:w="160" w:type="dxa"/>
              <w:right w:w="160" w:type="dxa"/>
            </w:tcMar>
            <w:tcBorders>
              <w:left w:val="single" w:sz="24" w:space="0" w:color="143642"/>
              <w:top w:val="none"/>
              <w:right w:val="none"/>
              <w:bottom w:val="none"/>
            </w:tcBorders>
          </w:tcPr>
          <w:p>
            <w:pPr>
              <w:spacing w:before="0" w:after="40"/>
            </w:pPr>
            <w:r>
              <w:rPr>
                <w:b/>
                <w:color w:val="143642"/>
                <w:sz w:val="17"/>
              </w:rPr>
              <w:t>PROFIL BIOREGION: Provinsi Sulawesi Tengah (Episentrum Hilirisasi &amp; PLTU Captive)</w:t>
              <w:br/>
            </w:r>
            <w:r>
              <w:rPr>
                <w:color w:val="202426"/>
                <w:sz w:val="16"/>
              </w:rPr>
              <w:t>Data empiris: Gabungan sensor satelit NASA TROPOMI NO2, Global Energy Monitor (GEM 2023), Rekam Medis Kemenkes (ISPA &amp; Diare), Laporan Kinerja KLHK (Limbah B3 &amp; Tailing), Global Forest Watch (Deforestasi &amp; Emisi Karbon), BNPB (Bencana Alam), KPA &amp; TanahKita (Konflik Agraria &amp; Kriminalisasi), serta Minerba ESDM (IUP Nikel &amp; Obral Izin). Diolah menggunakan model hybrid Z-Score Anomali Deviasi Standar dan Entropy Weight Method (EWM) sesuai antarmuka Dashboard Streamlit Tab 3 (Bedah Matematika Z-Score + EWM per Provinsi).</w:t>
            </w:r>
          </w:p>
        </w:tc>
      </w:tr>
    </w:tbl>
    <w:p>
      <w:pPr>
        <w:spacing w:before="0" w:after="80"/>
      </w:pPr>
    </w:p>
    <w:p>
      <w:pPr>
        <w:keepNext/>
        <w:spacing w:before="160" w:after="60"/>
      </w:pPr>
      <w:r>
        <w:rPr>
          <w:b/>
          <w:color w:val="143642"/>
          <w:sz w:val="19"/>
        </w:rPr>
        <w:t>A. Pengantar &amp; Kerangka Narasi</w:t>
      </w:r>
    </w:p>
    <w:p>
      <w:pPr>
        <w:spacing w:before="0" w:after="100" w:line="276" w:lineRule="auto"/>
      </w:pPr>
      <w:r>
        <w:rPr>
          <w:b w:val="0"/>
          <w:i w:val="0"/>
          <w:color w:val="202426"/>
          <w:sz w:val="18"/>
        </w:rPr>
        <w:t xml:space="preserve">Sebagaimana ditampilkan pada antarmuka Streamlit </w:t>
      </w:r>
      <w:r>
        <w:rPr>
          <w:b/>
          <w:i w:val="0"/>
          <w:color w:val="202426"/>
          <w:sz w:val="18"/>
        </w:rPr>
        <w:t>Dashboard Page 6 (Audit D3TLH - Tab Bedah Matematika Z-Score + EWM per Provinsi)</w:t>
      </w:r>
      <w:r>
        <w:rPr>
          <w:b w:val="0"/>
          <w:i w:val="0"/>
          <w:color w:val="202426"/>
          <w:sz w:val="18"/>
        </w:rPr>
        <w:t>, evaluasi daya dukung dan daya tampung lingkungan hidup tingkat provinsi dirancang untuk membongkar kelemahan metodologi pemerintah yang kerap mengaburkan krisis lokal melalui teknik perataan wilayah (dilution effect). AMDAL dan dokumen D3TLH resmi selama ini berasumsi bahwa kapasitas asimilasi lingkungan bersifat homogen di seluruh daratan. Namun, fakta empiris di lapangan membuktikan disparitas yang luar biasa ekstrem antara provinsi tapak industri ekstraktif dengan provinsi non-ekstraktif.</w:t>
      </w:r>
    </w:p>
    <w:p>
      <w:pPr>
        <w:spacing w:before="0" w:after="100" w:line="276" w:lineRule="auto"/>
      </w:pPr>
      <w:r>
        <w:rPr>
          <w:b w:val="0"/>
          <w:i w:val="0"/>
          <w:color w:val="202426"/>
          <w:sz w:val="18"/>
        </w:rPr>
        <w:t xml:space="preserve">Di sini pembaca dapat melihat persis bagaimana angka </w:t>
      </w:r>
      <w:r>
        <w:rPr>
          <w:b/>
          <w:i w:val="0"/>
          <w:color w:val="202426"/>
          <w:sz w:val="18"/>
        </w:rPr>
        <w:t>Fakta Lapangan (Raw Absolute Data)</w:t>
      </w:r>
      <w:r>
        <w:rPr>
          <w:b w:val="0"/>
          <w:i w:val="0"/>
          <w:color w:val="202426"/>
          <w:sz w:val="18"/>
        </w:rPr>
        <w:t xml:space="preserve"> ditransformasikan secara objektif oleh fungsi komputasi matematika </w:t>
      </w:r>
      <w:r>
        <w:rPr>
          <w:b/>
          <w:i w:val="0"/>
          <w:color w:val="202426"/>
          <w:sz w:val="18"/>
        </w:rPr>
        <w:t>(Z-Score Anomali dan Pembobotan Entropi EWM Shannon)</w:t>
      </w:r>
      <w:r>
        <w:rPr>
          <w:b w:val="0"/>
          <w:i w:val="0"/>
          <w:color w:val="202426"/>
          <w:sz w:val="18"/>
        </w:rPr>
        <w:t xml:space="preserve"> menjadi Skor Likert diskret 0.0 - 5.0. Analisis forensik membuktikan bahwa </w:t>
      </w:r>
      <w:r>
        <w:rPr>
          <w:b/>
          <w:i w:val="0"/>
          <w:color w:val="202426"/>
          <w:sz w:val="18"/>
        </w:rPr>
        <w:t>Provinsi Sulawesi Tengah berada pada status RED ALERT (Skor Komposit 4.0 / 5.0 - Melampaui Batas)</w:t>
      </w:r>
      <w:r>
        <w:rPr>
          <w:b w:val="0"/>
          <w:i w:val="0"/>
          <w:color w:val="202426"/>
          <w:sz w:val="18"/>
        </w:rPr>
        <w:t>, di mana beban pencemaran udara, akumulasi limbah B3, beban tailing, dan deforestasi primer telah jauh melampaui batas toleransi daya lentur ekologis.</w:t>
      </w:r>
    </w:p>
    <w:p>
      <w:pPr>
        <w:keepNext/>
        <w:spacing w:before="160" w:after="60"/>
      </w:pPr>
      <w:r>
        <w:rPr>
          <w:b/>
          <w:color w:val="143642"/>
          <w:sz w:val="19"/>
        </w:rPr>
        <w:t>B. Alur Logika Metodologis Skoring Tingkat Provinsi (Flowchart)</w:t>
      </w:r>
    </w:p>
    <w:p>
      <w:pPr>
        <w:spacing w:before="0" w:after="100" w:line="276" w:lineRule="auto"/>
      </w:pPr>
      <w:r>
        <w:rPr>
          <w:b w:val="0"/>
          <w:i w:val="0"/>
          <w:color w:val="202426"/>
          <w:sz w:val="18"/>
        </w:rPr>
        <w:t xml:space="preserve">Kerangka alur komputasi pengujian daya dukung tingkat provinsi disajikan pada </w:t>
      </w:r>
      <w:r>
        <w:rPr>
          <w:b/>
          <w:i w:val="0"/>
          <w:color w:val="202426"/>
          <w:sz w:val="18"/>
        </w:rPr>
        <w:t>Bagan Alur 6.6</w:t>
      </w:r>
      <w:r>
        <w:rPr>
          <w:b w:val="0"/>
          <w:i w:val="0"/>
          <w:color w:val="202426"/>
          <w:sz w:val="18"/>
        </w:rPr>
        <w:t>. Metodologi ini memadukan standarisasi deviasi statistik regional (Z-Score) dengan pembobotan objektif berbasis entropi informasi (EWM) guna memastikan indikator yang mengalami disparitas spasial paling tajam mendapatkan bobot evaluasi tertinggi.</w:t>
      </w:r>
    </w:p>
    <w:p>
      <w:pPr>
        <w:keepNext/>
        <w:spacing w:before="160" w:after="60"/>
      </w:pPr>
      <w:r>
        <w:rPr>
          <w:b/>
          <w:i/>
          <w:color w:val="143642"/>
          <w:sz w:val="17"/>
        </w:rPr>
        <w:t>Bagan Alur 6.6: Alur Logika Pemrosesan Algoritma Skoring Tingkat Provinsi (Model Hybrid Z-Score EWM)</w:t>
      </w:r>
    </w:p>
    <w:p>
      <w:pPr>
        <w:jc w:val="center"/>
      </w:pPr>
      <w:r>
        <w:drawing>
          <wp:inline xmlns:a="http://schemas.openxmlformats.org/drawingml/2006/main" xmlns:pic="http://schemas.openxmlformats.org/drawingml/2006/picture">
            <wp:extent cx="5400000" cy="794118"/>
            <wp:docPr id="1" name="Picture 1"/>
            <wp:cNvGraphicFramePr>
              <a:graphicFrameLocks noChangeAspect="1"/>
            </wp:cNvGraphicFramePr>
            <a:graphic>
              <a:graphicData uri="http://schemas.openxmlformats.org/drawingml/2006/picture">
                <pic:pic>
                  <pic:nvPicPr>
                    <pic:cNvPr id="0" name="mermaid_flowchart_6_6_sulteng.png"/>
                    <pic:cNvPicPr/>
                  </pic:nvPicPr>
                  <pic:blipFill>
                    <a:blip r:embed="rId9"/>
                    <a:stretch>
                      <a:fillRect/>
                    </a:stretch>
                  </pic:blipFill>
                  <pic:spPr>
                    <a:xfrm>
                      <a:off x="0" y="0"/>
                      <a:ext cx="5400000" cy="794118"/>
                    </a:xfrm>
                    <a:prstGeom prst="rect"/>
                  </pic:spPr>
                </pic:pic>
              </a:graphicData>
            </a:graphic>
          </wp:inline>
        </w:drawing>
      </w:r>
    </w:p>
    <w:p>
      <w:pPr>
        <w:keepNext/>
        <w:spacing w:before="160" w:after="60"/>
      </w:pPr>
      <w:r>
        <w:rPr>
          <w:b/>
          <w:color w:val="143642"/>
          <w:sz w:val="19"/>
        </w:rPr>
        <w:t>C. Formulasi Matematis &amp; Definisi Variabel</w:t>
      </w:r>
    </w:p>
    <w:p>
      <w:pPr>
        <w:spacing w:before="0" w:after="100" w:line="276" w:lineRule="auto"/>
      </w:pPr>
      <w:r>
        <w:rPr>
          <w:b w:val="0"/>
          <w:i w:val="0"/>
          <w:color w:val="202426"/>
          <w:sz w:val="18"/>
        </w:rPr>
        <w:t>Operasionalisasi skoring provinsi dibangun di atas lima tahap matematis yang transparan dan dapat direplikasi secara penuh:</w:t>
      </w:r>
    </w:p>
    <w:p>
      <w:pPr>
        <w:keepNext/>
        <w:spacing w:before="100" w:after="40"/>
      </w:pPr>
      <w:r>
        <w:rPr>
          <w:b/>
          <w:color w:val="0F4C5C"/>
          <w:sz w:val="18"/>
        </w:rPr>
        <w:t>• Tahap 1: Standardisasi Deviasi Z-Score Regional (Anomali Spasial)</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Z_ij = (x_ij - mean(x_j)) / std(x_j)    ;    Khusus IKA: Z_ika = - (ika_i - mean(ika)) / std(ika)</w:t>
            </w:r>
          </w:p>
        </w:tc>
      </w:tr>
    </w:tbl>
    <w:p>
      <w:pPr>
        <w:spacing w:before="40" w:after="100" w:line="264" w:lineRule="auto"/>
        <w:ind w:left="283"/>
      </w:pPr>
      <w:r>
        <w:rPr>
          <w:b/>
          <w:color w:val="202426"/>
          <w:sz w:val="16"/>
        </w:rPr>
        <w:t xml:space="preserve">  - x_ij: </w:t>
      </w:r>
      <w:r>
        <w:rPr>
          <w:color w:val="555555"/>
          <w:sz w:val="16"/>
        </w:rPr>
        <w:t>Nilai empiris absolut provinsi i pada indikator j.</w:t>
        <w:br/>
      </w:r>
      <w:r>
        <w:rPr>
          <w:b/>
          <w:color w:val="202426"/>
          <w:sz w:val="16"/>
        </w:rPr>
        <w:t xml:space="preserve">  - mean(x_j): </w:t>
      </w:r>
      <w:r>
        <w:rPr>
          <w:color w:val="555555"/>
          <w:sz w:val="16"/>
        </w:rPr>
        <w:t>Rata-rata aritmatika indikator j dari seluruh 6 provinsi di Pulau Sulawesi.</w:t>
        <w:br/>
      </w:r>
      <w:r>
        <w:rPr>
          <w:b/>
          <w:color w:val="202426"/>
          <w:sz w:val="16"/>
        </w:rPr>
        <w:t xml:space="preserve">  - std(x_j): </w:t>
      </w:r>
      <w:r>
        <w:rPr>
          <w:color w:val="555555"/>
          <w:sz w:val="16"/>
        </w:rPr>
        <w:t>Standar deviasi sampel indikator j se-Sulawesi (jika bernilai 0, disubstitusi 1.0).</w:t>
        <w:br/>
      </w:r>
      <w:r>
        <w:rPr>
          <w:b/>
          <w:color w:val="202426"/>
          <w:sz w:val="16"/>
        </w:rPr>
        <w:t xml:space="preserve">  - Inversi IKA: </w:t>
      </w:r>
      <w:r>
        <w:rPr>
          <w:color w:val="555555"/>
          <w:sz w:val="16"/>
        </w:rPr>
        <w:t>Indeks Kualitas Air diinversi tandanya karena nilai IKA tinggi mencerminkan kondisi baik, sedangkan nilai rendah mencerminkan krisis air.</w:t>
        <w:br/>
      </w:r>
    </w:p>
    <w:p>
      <w:pPr>
        <w:keepNext/>
        <w:spacing w:before="100" w:after="40"/>
      </w:pPr>
      <w:r>
        <w:rPr>
          <w:b/>
          <w:color w:val="0F4C5C"/>
          <w:sz w:val="18"/>
        </w:rPr>
        <w:t>• Tahap 2: Pembobotan Objektif Entropi Informasi (Entropy Weight Method - EWM)</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r_ij = (x_ij - min(x_j)) / (max(x_j) - min(x_j))  --&gt;  P_ij = r_ij / SUM(r_ij)</w:t>
              <w:br/>
              <w:t>E_j = - (1 / ln(n)) * SUM(P_ij * ln(P_ij + eps))  --&gt;  D_j = 1 - E_j  --&gt;  W_j = D_j / SUM(D_j)</w:t>
            </w:r>
          </w:p>
        </w:tc>
      </w:tr>
    </w:tbl>
    <w:p>
      <w:pPr>
        <w:spacing w:before="40" w:after="100" w:line="264" w:lineRule="auto"/>
        <w:ind w:left="283"/>
      </w:pPr>
      <w:r>
        <w:rPr>
          <w:b/>
          <w:color w:val="202426"/>
          <w:sz w:val="16"/>
        </w:rPr>
        <w:t xml:space="preserve">  - r_ij: </w:t>
      </w:r>
      <w:r>
        <w:rPr>
          <w:color w:val="555555"/>
          <w:sz w:val="16"/>
        </w:rPr>
        <w:t>Matriks ternormalisasi skala Min-Max [0, 1] per kolom indikator.</w:t>
        <w:br/>
      </w:r>
      <w:r>
        <w:rPr>
          <w:b/>
          <w:color w:val="202426"/>
          <w:sz w:val="16"/>
        </w:rPr>
        <w:t xml:space="preserve">  - P_ij: </w:t>
      </w:r>
      <w:r>
        <w:rPr>
          <w:color w:val="555555"/>
          <w:sz w:val="16"/>
        </w:rPr>
        <w:t>Proporsi probabilitas kontribusi provinsi i terhadap total nilai indikator j.</w:t>
        <w:br/>
      </w:r>
      <w:r>
        <w:rPr>
          <w:b/>
          <w:color w:val="202426"/>
          <w:sz w:val="16"/>
        </w:rPr>
        <w:t xml:space="preserve">  - E_j: </w:t>
      </w:r>
      <w:r>
        <w:rPr>
          <w:color w:val="555555"/>
          <w:sz w:val="16"/>
        </w:rPr>
        <w:t>Nilai entropi informasi Shannon indikator j (konstanta k = 1 / ln(6) = 0.5581).</w:t>
        <w:br/>
      </w:r>
      <w:r>
        <w:rPr>
          <w:b/>
          <w:color w:val="202426"/>
          <w:sz w:val="16"/>
        </w:rPr>
        <w:t xml:space="preserve">  - D_j: </w:t>
      </w:r>
      <w:r>
        <w:rPr>
          <w:color w:val="555555"/>
          <w:sz w:val="16"/>
        </w:rPr>
        <w:t>Derajat divergensi atau koefisien dispersi informasi indikator j.</w:t>
        <w:br/>
      </w:r>
      <w:r>
        <w:rPr>
          <w:b/>
          <w:color w:val="202426"/>
          <w:sz w:val="16"/>
        </w:rPr>
        <w:t xml:space="preserve">  - W_j: </w:t>
      </w:r>
      <w:r>
        <w:rPr>
          <w:color w:val="555555"/>
          <w:sz w:val="16"/>
        </w:rPr>
        <w:t>Bobot objektif final EWM untuk indikator j. Indikator yang nilainya sangat timpang antar-provinsi (misal PLTU dan B3) otomatis memperoleh bobot tertinggi.</w:t>
        <w:br/>
      </w:r>
    </w:p>
    <w:p>
      <w:pPr>
        <w:keepNext/>
        <w:spacing w:before="100" w:after="40"/>
      </w:pPr>
      <w:r>
        <w:rPr>
          <w:b/>
          <w:color w:val="0F4C5C"/>
          <w:sz w:val="18"/>
        </w:rPr>
        <w:t>• Tahap 3: Pemetaan Z-Score ke Skala Likert Diskret (0 - 5)</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L_ij = 5.0 (jika Z &gt;= +1.0) ; 4.0 (0.5 &lt;= Z &lt; 1.0) ; 3.0 (0.0 &lt;= Z &lt; 0.5) ; 2.0 (-0.5 &lt;= Z &lt; 0.0) ; 1.0 (-1.0 &lt;= Z &lt; -0.5) ; 0.0 (Z &lt; -1.0)</w:t>
            </w:r>
          </w:p>
        </w:tc>
      </w:tr>
    </w:tbl>
    <w:p>
      <w:pPr>
        <w:spacing w:before="40" w:after="100" w:line="264" w:lineRule="auto"/>
        <w:ind w:left="283"/>
      </w:pPr>
      <w:r>
        <w:rPr>
          <w:b/>
          <w:color w:val="202426"/>
          <w:sz w:val="16"/>
        </w:rPr>
        <w:t xml:space="preserve">  - Skor 5.0 (Z &gt;= +1.0σ): </w:t>
      </w:r>
      <w:r>
        <w:rPr>
          <w:color w:val="555555"/>
          <w:sz w:val="16"/>
        </w:rPr>
        <w:t>Outlier Kritis Ekstrem / Red Alert (Beban indikator melampaui batas rata-rata regional lebih dari 1 standar deviasi).</w:t>
        <w:br/>
      </w:r>
      <w:r>
        <w:rPr>
          <w:b/>
          <w:color w:val="202426"/>
          <w:sz w:val="16"/>
        </w:rPr>
        <w:t xml:space="preserve">  - Skor 4.0 (+0.5σ s/d +1.0σ): </w:t>
      </w:r>
      <w:r>
        <w:rPr>
          <w:color w:val="555555"/>
          <w:sz w:val="16"/>
        </w:rPr>
        <w:t>Kerentanan Tinggi / Kondisi Buruk.</w:t>
        <w:br/>
      </w:r>
      <w:r>
        <w:rPr>
          <w:b/>
          <w:color w:val="202426"/>
          <w:sz w:val="16"/>
        </w:rPr>
        <w:t xml:space="preserve">  - Skor 3.0 (0.0 s/d +0.5σ): </w:t>
      </w:r>
      <w:r>
        <w:rPr>
          <w:color w:val="555555"/>
          <w:sz w:val="16"/>
        </w:rPr>
        <w:t>Ambang Batas Waspada / Kondisi Sedang.</w:t>
        <w:br/>
      </w:r>
      <w:r>
        <w:rPr>
          <w:b/>
          <w:color w:val="202426"/>
          <w:sz w:val="16"/>
        </w:rPr>
        <w:t xml:space="preserve">  - Skor 1.0 - 2.0 (Z &lt; 0.0): </w:t>
      </w:r>
      <w:r>
        <w:rPr>
          <w:color w:val="555555"/>
          <w:sz w:val="16"/>
        </w:rPr>
        <w:t>Rendah / Aman (Di bawah rata-rata tekanan lingkungan regional).</w:t>
        <w:br/>
      </w:r>
    </w:p>
    <w:p>
      <w:pPr>
        <w:keepNext/>
        <w:spacing w:before="100" w:after="40"/>
      </w:pPr>
      <w:r>
        <w:rPr>
          <w:b/>
          <w:color w:val="0F4C5C"/>
          <w:sz w:val="18"/>
        </w:rPr>
        <w:t>• Tahap 4 &amp; 5: Agregasi EWM Weighted Average per Pilar &amp; Skor Komposit Provinsi</w:t>
      </w:r>
    </w:p>
    <w:tbl>
      <w:tblPr>
        <w:tblW w:type="auto" w:w="0"/>
        <w:jc w:val="center"/>
        <w:tblLook w:firstColumn="1" w:firstRow="1" w:lastColumn="0" w:lastRow="0" w:noHBand="0" w:noVBand="1" w:val="04A0"/>
      </w:tblPr>
      <w:tblGrid>
        <w:gridCol w:w="9638"/>
      </w:tblGrid>
      <w:tr>
        <w:tc>
          <w:tcPr>
            <w:tcW w:type="dxa" w:w="9638"/>
            <w:shd w:fill="F8F9FA"/>
            <w:tcMar>
              <w:top w:w="80" w:type="dxa"/>
              <w:bottom w:w="80" w:type="dxa"/>
              <w:left w:w="120" w:type="dxa"/>
              <w:right w:w="120" w:type="dxa"/>
            </w:tcMar>
            <w:tcBorders>
              <w:left w:val="single" w:sz="16" w:space="0" w:color="143642"/>
              <w:top w:val="none"/>
              <w:right w:val="none"/>
              <w:bottom w:val="none"/>
            </w:tcBorders>
          </w:tcPr>
          <w:p>
            <w:pPr>
              <w:spacing w:before="0" w:after="0"/>
            </w:pPr>
            <w:r>
              <w:rPr>
                <w:rFonts w:ascii="Consolas" w:hAnsi="Consolas"/>
                <w:b/>
                <w:color w:val="143642"/>
                <w:sz w:val="17"/>
              </w:rPr>
              <w:t>Skor_Pilar = SUM(L_ij * W_j) / SUM(W_j)    ;    Skor_Komposit = (Udara + Air + Lahan + Sosial + Veto) / 5.0</w:t>
            </w:r>
          </w:p>
        </w:tc>
      </w:tr>
    </w:tbl>
    <w:p>
      <w:pPr>
        <w:spacing w:before="40" w:after="100" w:line="264" w:lineRule="auto"/>
        <w:ind w:left="283"/>
      </w:pPr>
      <w:r>
        <w:rPr>
          <w:b/>
          <w:color w:val="202426"/>
          <w:sz w:val="16"/>
        </w:rPr>
        <w:t xml:space="preserve">  - Skor_Pilar: </w:t>
      </w:r>
      <w:r>
        <w:rPr>
          <w:color w:val="555555"/>
          <w:sz w:val="16"/>
        </w:rPr>
        <w:t>Rata-rata tertimbang skor Likert dalam satu matriks menggunakan bobot objektif EWM masing-masing indikator.</w:t>
        <w:br/>
      </w:r>
      <w:r>
        <w:rPr>
          <w:b/>
          <w:color w:val="202426"/>
          <w:sz w:val="16"/>
        </w:rPr>
        <w:t xml:space="preserve">  - Skor_Komposit: </w:t>
      </w:r>
      <w:r>
        <w:rPr>
          <w:color w:val="555555"/>
          <w:sz w:val="16"/>
        </w:rPr>
        <w:t>Rata-rata aritmatika unweighted dari 5 pilar daya dukung (skala 0.0 - 5.0).</w:t>
        <w:br/>
      </w:r>
      <w:r>
        <w:rPr>
          <w:b/>
          <w:color w:val="202426"/>
          <w:sz w:val="16"/>
        </w:rPr>
        <w:t xml:space="preserve">  - Vonis Status Ekologis: </w:t>
      </w:r>
      <w:r>
        <w:rPr>
          <w:color w:val="555555"/>
          <w:sz w:val="16"/>
        </w:rPr>
        <w:t>Melampaui Batas (Skor &gt;= 4.0), Mendekati Batas (Skor = 3.0), Tidak Melampaui Batas (Skor &lt; 3.0).</w:t>
        <w:br/>
      </w:r>
    </w:p>
    <w:p>
      <w:pPr>
        <w:keepNext/>
        <w:spacing w:before="160" w:after="60"/>
      </w:pPr>
      <w:r>
        <w:rPr>
          <w:b/>
          <w:color w:val="143642"/>
          <w:sz w:val="19"/>
        </w:rPr>
        <w:t>D. Matriks Hasil Uji Empiris</w:t>
      </w:r>
    </w:p>
    <w:p>
      <w:pPr>
        <w:keepNext/>
        <w:spacing w:before="160" w:after="60"/>
      </w:pPr>
      <w:r>
        <w:rPr>
          <w:b/>
          <w:i/>
          <w:color w:val="143642"/>
          <w:sz w:val="17"/>
        </w:rPr>
        <w:t>Tabel 6.12: Bedah Matematika 20 Indikator Empiris Provinsi Sulawesi Tengah (Model Hybrid Z-Score &amp; EWM)</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071"/>
        <w:gridCol w:w="1071"/>
        <w:gridCol w:w="1071"/>
        <w:gridCol w:w="1071"/>
        <w:gridCol w:w="1071"/>
        <w:gridCol w:w="1071"/>
        <w:gridCol w:w="1071"/>
        <w:gridCol w:w="1071"/>
        <w:gridCol w:w="1071"/>
      </w:tblGrid>
      <w:tr>
        <w:trPr>
          <w:tblHeader/>
        </w:trPr>
        <w:tc>
          <w:tcPr>
            <w:tcW w:type="dxa" w:w="850"/>
            <w:tcMar>
              <w:top w:w="100" w:type="dxa"/>
              <w:bottom w:w="100" w:type="dxa"/>
              <w:left w:w="100" w:type="dxa"/>
              <w:right w:w="100" w:type="dxa"/>
            </w:tcMar>
            <w:shd w:fill="143642"/>
            <w:vAlign w:val="center"/>
          </w:tcPr>
          <w:p>
            <w:pPr>
              <w:spacing w:before="0" w:after="0"/>
              <w:jc w:val="center"/>
            </w:pPr>
            <w:r>
              <w:rPr>
                <w:b/>
                <w:color w:val="FFFFFF"/>
                <w:sz w:val="16"/>
              </w:rPr>
              <w:t>Pilar</w:t>
            </w:r>
          </w:p>
        </w:tc>
        <w:tc>
          <w:tcPr>
            <w:tcW w:type="dxa" w:w="1814"/>
            <w:tcMar>
              <w:top w:w="100" w:type="dxa"/>
              <w:bottom w:w="100" w:type="dxa"/>
              <w:left w:w="100" w:type="dxa"/>
              <w:right w:w="100" w:type="dxa"/>
            </w:tcMar>
            <w:shd w:fill="143642"/>
            <w:vAlign w:val="center"/>
          </w:tcPr>
          <w:p>
            <w:pPr>
              <w:spacing w:before="0" w:after="0"/>
              <w:jc w:val="center"/>
            </w:pPr>
            <w:r>
              <w:rPr>
                <w:b/>
                <w:color w:val="FFFFFF"/>
                <w:sz w:val="16"/>
              </w:rPr>
              <w:t>Indikator Empiris</w:t>
            </w:r>
          </w:p>
        </w:tc>
        <w:tc>
          <w:tcPr>
            <w:tcW w:type="dxa" w:w="1134"/>
            <w:tcMar>
              <w:top w:w="100" w:type="dxa"/>
              <w:bottom w:w="100" w:type="dxa"/>
              <w:left w:w="100" w:type="dxa"/>
              <w:right w:w="100" w:type="dxa"/>
            </w:tcMar>
            <w:shd w:fill="143642"/>
            <w:vAlign w:val="center"/>
          </w:tcPr>
          <w:p>
            <w:pPr>
              <w:spacing w:before="0" w:after="0"/>
              <w:jc w:val="center"/>
            </w:pPr>
            <w:r>
              <w:rPr>
                <w:b/>
                <w:color w:val="FFFFFF"/>
                <w:sz w:val="16"/>
              </w:rPr>
              <w:t>Fakta Mentah (A)</w:t>
            </w:r>
          </w:p>
        </w:tc>
        <w:tc>
          <w:tcPr>
            <w:tcW w:type="dxa" w:w="1020"/>
            <w:tcMar>
              <w:top w:w="100" w:type="dxa"/>
              <w:bottom w:w="100" w:type="dxa"/>
              <w:left w:w="100" w:type="dxa"/>
              <w:right w:w="100" w:type="dxa"/>
            </w:tcMar>
            <w:shd w:fill="143642"/>
            <w:vAlign w:val="center"/>
          </w:tcPr>
          <w:p>
            <w:pPr>
              <w:spacing w:before="0" w:after="0"/>
              <w:jc w:val="center"/>
            </w:pPr>
            <w:r>
              <w:rPr>
                <w:b/>
                <w:color w:val="FFFFFF"/>
                <w:sz w:val="16"/>
              </w:rPr>
              <w:t>Rata-rata (B)</w:t>
            </w:r>
          </w:p>
        </w:tc>
        <w:tc>
          <w:tcPr>
            <w:tcW w:type="dxa" w:w="964"/>
            <w:tcMar>
              <w:top w:w="100" w:type="dxa"/>
              <w:bottom w:w="100" w:type="dxa"/>
              <w:left w:w="100" w:type="dxa"/>
              <w:right w:w="100" w:type="dxa"/>
            </w:tcMar>
            <w:shd w:fill="143642"/>
            <w:vAlign w:val="center"/>
          </w:tcPr>
          <w:p>
            <w:pPr>
              <w:spacing w:before="0" w:after="0"/>
              <w:jc w:val="center"/>
            </w:pPr>
            <w:r>
              <w:rPr>
                <w:b/>
                <w:color w:val="FFFFFF"/>
                <w:sz w:val="16"/>
              </w:rPr>
              <w:t>Deviasi (C)</w:t>
            </w:r>
          </w:p>
        </w:tc>
        <w:tc>
          <w:tcPr>
            <w:tcW w:type="dxa" w:w="850"/>
            <w:tcMar>
              <w:top w:w="100" w:type="dxa"/>
              <w:bottom w:w="100" w:type="dxa"/>
              <w:left w:w="100" w:type="dxa"/>
              <w:right w:w="100" w:type="dxa"/>
            </w:tcMar>
            <w:shd w:fill="143642"/>
            <w:vAlign w:val="center"/>
          </w:tcPr>
          <w:p>
            <w:pPr>
              <w:spacing w:before="0" w:after="0"/>
              <w:jc w:val="center"/>
            </w:pPr>
            <w:r>
              <w:rPr>
                <w:b/>
                <w:color w:val="FFFFFF"/>
                <w:sz w:val="16"/>
              </w:rPr>
              <w:t>Z-Score</w:t>
            </w:r>
          </w:p>
        </w:tc>
        <w:tc>
          <w:tcPr>
            <w:tcW w:type="dxa" w:w="850"/>
            <w:tcMar>
              <w:top w:w="100" w:type="dxa"/>
              <w:bottom w:w="100" w:type="dxa"/>
              <w:left w:w="100" w:type="dxa"/>
              <w:right w:w="100" w:type="dxa"/>
            </w:tcMar>
            <w:shd w:fill="143642"/>
            <w:vAlign w:val="center"/>
          </w:tcPr>
          <w:p>
            <w:pPr>
              <w:spacing w:before="0" w:after="0"/>
              <w:jc w:val="center"/>
            </w:pPr>
            <w:r>
              <w:rPr>
                <w:b/>
                <w:color w:val="FFFFFF"/>
                <w:sz w:val="16"/>
              </w:rPr>
              <w:t>Bobot EWM</w:t>
            </w:r>
          </w:p>
        </w:tc>
        <w:tc>
          <w:tcPr>
            <w:tcW w:type="dxa" w:w="907"/>
            <w:tcMar>
              <w:top w:w="100" w:type="dxa"/>
              <w:bottom w:w="100" w:type="dxa"/>
              <w:left w:w="100" w:type="dxa"/>
              <w:right w:w="100" w:type="dxa"/>
            </w:tcMar>
            <w:shd w:fill="143642"/>
            <w:vAlign w:val="center"/>
          </w:tcPr>
          <w:p>
            <w:pPr>
              <w:spacing w:before="0" w:after="0"/>
              <w:jc w:val="center"/>
            </w:pPr>
            <w:r>
              <w:rPr>
                <w:b/>
                <w:color w:val="FFFFFF"/>
                <w:sz w:val="16"/>
              </w:rPr>
              <w:t>Likert</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Status Ekologis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1814"/>
            <w:tcMar>
              <w:top w:w="80" w:type="dxa"/>
              <w:bottom w:w="80" w:type="dxa"/>
              <w:left w:w="80" w:type="dxa"/>
              <w:right w:w="80" w:type="dxa"/>
            </w:tcMar>
            <w:shd w:fill="FFFFFF"/>
            <w:vAlign w:val="center"/>
          </w:tcPr>
          <w:p>
            <w:pPr>
              <w:spacing w:before="0" w:after="0"/>
              <w:jc w:val="left"/>
            </w:pPr>
            <w:r>
              <w:rPr>
                <w:color w:val="202426"/>
                <w:sz w:val="15"/>
              </w:rPr>
              <w:t>Kapasitas PLTU Captive Beroperasi</w:t>
            </w:r>
          </w:p>
        </w:tc>
        <w:tc>
          <w:tcPr>
            <w:tcW w:type="dxa" w:w="1134"/>
            <w:tcMar>
              <w:top w:w="80" w:type="dxa"/>
              <w:bottom w:w="80" w:type="dxa"/>
              <w:left w:w="80" w:type="dxa"/>
              <w:right w:w="80" w:type="dxa"/>
            </w:tcMar>
            <w:shd w:fill="FFFFFF"/>
            <w:vAlign w:val="center"/>
          </w:tcPr>
          <w:p>
            <w:pPr>
              <w:spacing w:before="0" w:after="0"/>
              <w:jc w:val="right"/>
            </w:pPr>
            <w:r>
              <w:rPr>
                <w:color w:val="202426"/>
                <w:sz w:val="15"/>
              </w:rPr>
              <w:t>7,325 MW</w:t>
            </w:r>
          </w:p>
        </w:tc>
        <w:tc>
          <w:tcPr>
            <w:tcW w:type="dxa" w:w="1020"/>
            <w:tcMar>
              <w:top w:w="80" w:type="dxa"/>
              <w:bottom w:w="80" w:type="dxa"/>
              <w:left w:w="80" w:type="dxa"/>
              <w:right w:w="80" w:type="dxa"/>
            </w:tcMar>
            <w:shd w:fill="FFFFFF"/>
            <w:vAlign w:val="center"/>
          </w:tcPr>
          <w:p>
            <w:pPr>
              <w:spacing w:before="0" w:after="0"/>
              <w:jc w:val="right"/>
            </w:pPr>
            <w:r>
              <w:rPr>
                <w:color w:val="202426"/>
                <w:sz w:val="15"/>
              </w:rPr>
              <w:t>1,638</w:t>
            </w:r>
          </w:p>
        </w:tc>
        <w:tc>
          <w:tcPr>
            <w:tcW w:type="dxa" w:w="964"/>
            <w:tcMar>
              <w:top w:w="80" w:type="dxa"/>
              <w:bottom w:w="80" w:type="dxa"/>
              <w:left w:w="80" w:type="dxa"/>
              <w:right w:w="80" w:type="dxa"/>
            </w:tcMar>
            <w:shd w:fill="FFFFFF"/>
            <w:vAlign w:val="center"/>
          </w:tcPr>
          <w:p>
            <w:pPr>
              <w:spacing w:before="0" w:after="0"/>
              <w:jc w:val="right"/>
            </w:pPr>
            <w:r>
              <w:rPr>
                <w:color w:val="202426"/>
                <w:sz w:val="15"/>
              </w:rPr>
              <w:t>2,882</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+1.97</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0.0773</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1814"/>
            <w:tcMar>
              <w:top w:w="80" w:type="dxa"/>
              <w:bottom w:w="80" w:type="dxa"/>
              <w:left w:w="80" w:type="dxa"/>
              <w:right w:w="80" w:type="dxa"/>
            </w:tcMar>
            <w:shd w:fill="F4F5F6"/>
            <w:vAlign w:val="center"/>
          </w:tcPr>
          <w:p>
            <w:pPr>
              <w:spacing w:before="0" w:after="0"/>
              <w:jc w:val="left"/>
            </w:pPr>
            <w:r>
              <w:rPr>
                <w:color w:val="202426"/>
                <w:sz w:val="15"/>
              </w:rPr>
              <w:t>Konsentrasi Gas NO2 Troposferik Satelit</w:t>
            </w:r>
          </w:p>
        </w:tc>
        <w:tc>
          <w:tcPr>
            <w:tcW w:type="dxa" w:w="1134"/>
            <w:tcMar>
              <w:top w:w="80" w:type="dxa"/>
              <w:bottom w:w="80" w:type="dxa"/>
              <w:left w:w="80" w:type="dxa"/>
              <w:right w:w="80" w:type="dxa"/>
            </w:tcMar>
            <w:shd w:fill="F4F5F6"/>
            <w:vAlign w:val="center"/>
          </w:tcPr>
          <w:p>
            <w:pPr>
              <w:spacing w:before="0" w:after="0"/>
              <w:jc w:val="right"/>
            </w:pPr>
            <w:r>
              <w:rPr>
                <w:color w:val="202426"/>
                <w:sz w:val="15"/>
              </w:rPr>
              <w:t>6.50e-06</w:t>
            </w:r>
          </w:p>
        </w:tc>
        <w:tc>
          <w:tcPr>
            <w:tcW w:type="dxa" w:w="1020"/>
            <w:tcMar>
              <w:top w:w="80" w:type="dxa"/>
              <w:bottom w:w="80" w:type="dxa"/>
              <w:left w:w="80" w:type="dxa"/>
              <w:right w:w="80" w:type="dxa"/>
            </w:tcMar>
            <w:shd w:fill="F4F5F6"/>
            <w:vAlign w:val="center"/>
          </w:tcPr>
          <w:p>
            <w:pPr>
              <w:spacing w:before="0" w:after="0"/>
              <w:jc w:val="right"/>
            </w:pPr>
            <w:r>
              <w:rPr>
                <w:color w:val="202426"/>
                <w:sz w:val="15"/>
              </w:rPr>
              <w:t>5.56e-06</w:t>
            </w:r>
          </w:p>
        </w:tc>
        <w:tc>
          <w:tcPr>
            <w:tcW w:type="dxa" w:w="964"/>
            <w:tcMar>
              <w:top w:w="80" w:type="dxa"/>
              <w:bottom w:w="80" w:type="dxa"/>
              <w:left w:w="80" w:type="dxa"/>
              <w:right w:w="80" w:type="dxa"/>
            </w:tcMar>
            <w:shd w:fill="F4F5F6"/>
            <w:vAlign w:val="center"/>
          </w:tcPr>
          <w:p>
            <w:pPr>
              <w:spacing w:before="0" w:after="0"/>
              <w:jc w:val="right"/>
            </w:pPr>
            <w:r>
              <w:rPr>
                <w:color w:val="202426"/>
                <w:sz w:val="15"/>
              </w:rPr>
              <w:t>1.29e-06</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+0.73</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0.0224</w:t>
            </w:r>
          </w:p>
        </w:tc>
        <w:tc>
          <w:tcPr>
            <w:tcW w:type="dxa" w:w="907"/>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1814"/>
            <w:tcMar>
              <w:top w:w="80" w:type="dxa"/>
              <w:bottom w:w="80" w:type="dxa"/>
              <w:left w:w="80" w:type="dxa"/>
              <w:right w:w="80" w:type="dxa"/>
            </w:tcMar>
            <w:shd w:fill="FFFFFF"/>
            <w:vAlign w:val="center"/>
          </w:tcPr>
          <w:p>
            <w:pPr>
              <w:spacing w:before="0" w:after="0"/>
              <w:jc w:val="left"/>
            </w:pPr>
            <w:r>
              <w:rPr>
                <w:color w:val="202426"/>
                <w:sz w:val="15"/>
              </w:rPr>
              <w:t>Morbiditas ISPA (Incidence Rate Ratio)</w:t>
            </w:r>
          </w:p>
        </w:tc>
        <w:tc>
          <w:tcPr>
            <w:tcW w:type="dxa" w:w="1134"/>
            <w:tcMar>
              <w:top w:w="80" w:type="dxa"/>
              <w:bottom w:w="80" w:type="dxa"/>
              <w:left w:w="80" w:type="dxa"/>
              <w:right w:w="80" w:type="dxa"/>
            </w:tcMar>
            <w:shd w:fill="FFFFFF"/>
            <w:vAlign w:val="center"/>
          </w:tcPr>
          <w:p>
            <w:pPr>
              <w:spacing w:before="0" w:after="0"/>
              <w:jc w:val="right"/>
            </w:pPr>
            <w:r>
              <w:rPr>
                <w:color w:val="202426"/>
                <w:sz w:val="15"/>
              </w:rPr>
              <w:t>3.50x</w:t>
            </w:r>
          </w:p>
        </w:tc>
        <w:tc>
          <w:tcPr>
            <w:tcW w:type="dxa" w:w="1020"/>
            <w:tcMar>
              <w:top w:w="80" w:type="dxa"/>
              <w:bottom w:w="80" w:type="dxa"/>
              <w:left w:w="80" w:type="dxa"/>
              <w:right w:w="80" w:type="dxa"/>
            </w:tcMar>
            <w:shd w:fill="FFFFFF"/>
            <w:vAlign w:val="center"/>
          </w:tcPr>
          <w:p>
            <w:pPr>
              <w:spacing w:before="0" w:after="0"/>
              <w:jc w:val="right"/>
            </w:pPr>
            <w:r>
              <w:rPr>
                <w:color w:val="202426"/>
                <w:sz w:val="15"/>
              </w:rPr>
              <w:t>1.41x</w:t>
            </w:r>
          </w:p>
        </w:tc>
        <w:tc>
          <w:tcPr>
            <w:tcW w:type="dxa" w:w="964"/>
            <w:tcMar>
              <w:top w:w="80" w:type="dxa"/>
              <w:bottom w:w="80" w:type="dxa"/>
              <w:left w:w="80" w:type="dxa"/>
              <w:right w:w="80" w:type="dxa"/>
            </w:tcMar>
            <w:shd w:fill="FFFFFF"/>
            <w:vAlign w:val="center"/>
          </w:tcPr>
          <w:p>
            <w:pPr>
              <w:spacing w:before="0" w:after="0"/>
              <w:jc w:val="right"/>
            </w:pPr>
            <w:r>
              <w:rPr>
                <w:color w:val="202426"/>
                <w:sz w:val="15"/>
              </w:rPr>
              <w:t>1.26x</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+1.66</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0.0461</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Udara</w:t>
            </w:r>
          </w:p>
        </w:tc>
        <w:tc>
          <w:tcPr>
            <w:tcW w:type="dxa" w:w="1814"/>
            <w:tcMar>
              <w:top w:w="80" w:type="dxa"/>
              <w:bottom w:w="80" w:type="dxa"/>
              <w:left w:w="80" w:type="dxa"/>
              <w:right w:w="80" w:type="dxa"/>
            </w:tcMar>
            <w:shd w:fill="F4F5F6"/>
            <w:vAlign w:val="center"/>
          </w:tcPr>
          <w:p>
            <w:pPr>
              <w:spacing w:before="0" w:after="0"/>
              <w:jc w:val="left"/>
            </w:pPr>
            <w:r>
              <w:rPr>
                <w:color w:val="202426"/>
                <w:sz w:val="15"/>
              </w:rPr>
              <w:t>Proporsi Timbulan Limbah B3 Industri</w:t>
            </w:r>
          </w:p>
        </w:tc>
        <w:tc>
          <w:tcPr>
            <w:tcW w:type="dxa" w:w="1134"/>
            <w:tcMar>
              <w:top w:w="80" w:type="dxa"/>
              <w:bottom w:w="80" w:type="dxa"/>
              <w:left w:w="80" w:type="dxa"/>
              <w:right w:w="80" w:type="dxa"/>
            </w:tcMar>
            <w:shd w:fill="F4F5F6"/>
            <w:vAlign w:val="center"/>
          </w:tcPr>
          <w:p>
            <w:pPr>
              <w:spacing w:before="0" w:after="0"/>
              <w:jc w:val="right"/>
            </w:pPr>
            <w:r>
              <w:rPr>
                <w:color w:val="202426"/>
                <w:sz w:val="15"/>
              </w:rPr>
              <w:t>25.30 Jt Ton</w:t>
            </w:r>
          </w:p>
        </w:tc>
        <w:tc>
          <w:tcPr>
            <w:tcW w:type="dxa" w:w="1020"/>
            <w:tcMar>
              <w:top w:w="80" w:type="dxa"/>
              <w:bottom w:w="80" w:type="dxa"/>
              <w:left w:w="80" w:type="dxa"/>
              <w:right w:w="80" w:type="dxa"/>
            </w:tcMar>
            <w:shd w:fill="F4F5F6"/>
            <w:vAlign w:val="center"/>
          </w:tcPr>
          <w:p>
            <w:pPr>
              <w:spacing w:before="0" w:after="0"/>
              <w:jc w:val="right"/>
            </w:pPr>
            <w:r>
              <w:rPr>
                <w:color w:val="202426"/>
                <w:sz w:val="15"/>
              </w:rPr>
              <w:t>5.47</w:t>
            </w:r>
          </w:p>
        </w:tc>
        <w:tc>
          <w:tcPr>
            <w:tcW w:type="dxa" w:w="964"/>
            <w:tcMar>
              <w:top w:w="80" w:type="dxa"/>
              <w:bottom w:w="80" w:type="dxa"/>
              <w:left w:w="80" w:type="dxa"/>
              <w:right w:w="80" w:type="dxa"/>
            </w:tcMar>
            <w:shd w:fill="F4F5F6"/>
            <w:vAlign w:val="center"/>
          </w:tcPr>
          <w:p>
            <w:pPr>
              <w:spacing w:before="0" w:after="0"/>
              <w:jc w:val="right"/>
            </w:pPr>
            <w:r>
              <w:rPr>
                <w:color w:val="202426"/>
                <w:sz w:val="15"/>
              </w:rPr>
              <w:t>10.04</w:t>
            </w:r>
          </w:p>
        </w:tc>
        <w:tc>
          <w:tcPr>
            <w:tcW w:type="dxa" w:w="850"/>
            <w:tcMar>
              <w:top w:w="80" w:type="dxa"/>
              <w:bottom w:w="80" w:type="dxa"/>
              <w:left w:w="80" w:type="dxa"/>
              <w:right w:w="80" w:type="dxa"/>
            </w:tcMar>
            <w:shd w:fill="F4F5F6"/>
            <w:vAlign w:val="center"/>
          </w:tcPr>
          <w:p>
            <w:pPr>
              <w:spacing w:before="0" w:after="0"/>
              <w:jc w:val="center"/>
            </w:pPr>
            <w:r>
              <w:rPr>
                <w:color w:val="202426"/>
                <w:sz w:val="15"/>
              </w:rPr>
              <w:t>+1.97</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0.0829</w:t>
            </w:r>
          </w:p>
        </w:tc>
        <w:tc>
          <w:tcPr>
            <w:tcW w:type="dxa" w:w="907"/>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Udara</w:t>
            </w:r>
          </w:p>
        </w:tc>
        <w:tc>
          <w:tcPr>
            <w:tcW w:type="dxa" w:w="1814"/>
            <w:tcMar>
              <w:top w:w="80" w:type="dxa"/>
              <w:bottom w:w="80" w:type="dxa"/>
              <w:left w:w="80" w:type="dxa"/>
              <w:right w:w="80" w:type="dxa"/>
            </w:tcMar>
            <w:shd w:fill="FFFFFF"/>
            <w:vAlign w:val="center"/>
          </w:tcPr>
          <w:p>
            <w:pPr>
              <w:spacing w:before="0" w:after="0"/>
              <w:jc w:val="left"/>
            </w:pPr>
            <w:r>
              <w:rPr>
                <w:color w:val="202426"/>
                <w:sz w:val="15"/>
              </w:rPr>
              <w:t>Pelepasan Emisi Karbon Deforestasi GFW</w:t>
            </w:r>
          </w:p>
        </w:tc>
        <w:tc>
          <w:tcPr>
            <w:tcW w:type="dxa" w:w="1134"/>
            <w:tcMar>
              <w:top w:w="80" w:type="dxa"/>
              <w:bottom w:w="80" w:type="dxa"/>
              <w:left w:w="80" w:type="dxa"/>
              <w:right w:w="80" w:type="dxa"/>
            </w:tcMar>
            <w:shd w:fill="FFFFFF"/>
            <w:vAlign w:val="center"/>
          </w:tcPr>
          <w:p>
            <w:pPr>
              <w:spacing w:before="0" w:after="0"/>
              <w:jc w:val="right"/>
            </w:pPr>
            <w:r>
              <w:rPr>
                <w:color w:val="202426"/>
                <w:sz w:val="15"/>
              </w:rPr>
              <w:t>291.34 Jt Ton CO2e</w:t>
            </w:r>
          </w:p>
        </w:tc>
        <w:tc>
          <w:tcPr>
            <w:tcW w:type="dxa" w:w="1020"/>
            <w:tcMar>
              <w:top w:w="80" w:type="dxa"/>
              <w:bottom w:w="80" w:type="dxa"/>
              <w:left w:w="80" w:type="dxa"/>
              <w:right w:w="80" w:type="dxa"/>
            </w:tcMar>
            <w:shd w:fill="FFFFFF"/>
            <w:vAlign w:val="center"/>
          </w:tcPr>
          <w:p>
            <w:pPr>
              <w:spacing w:before="0" w:after="0"/>
              <w:jc w:val="right"/>
            </w:pPr>
            <w:r>
              <w:rPr>
                <w:color w:val="202426"/>
                <w:sz w:val="15"/>
              </w:rPr>
              <w:t>134.01</w:t>
            </w:r>
          </w:p>
        </w:tc>
        <w:tc>
          <w:tcPr>
            <w:tcW w:type="dxa" w:w="964"/>
            <w:tcMar>
              <w:top w:w="80" w:type="dxa"/>
              <w:bottom w:w="80" w:type="dxa"/>
              <w:left w:w="80" w:type="dxa"/>
              <w:right w:w="80" w:type="dxa"/>
            </w:tcMar>
            <w:shd w:fill="FFFFFF"/>
            <w:vAlign w:val="center"/>
          </w:tcPr>
          <w:p>
            <w:pPr>
              <w:spacing w:before="0" w:after="0"/>
              <w:jc w:val="right"/>
            </w:pPr>
            <w:r>
              <w:rPr>
                <w:color w:val="202426"/>
                <w:sz w:val="15"/>
              </w:rPr>
              <w:t>93.99</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+1.67</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0.0395</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1814"/>
            <w:tcMar>
              <w:top w:w="80" w:type="dxa"/>
              <w:bottom w:w="80" w:type="dxa"/>
              <w:left w:w="80" w:type="dxa"/>
              <w:right w:w="80" w:type="dxa"/>
            </w:tcMar>
            <w:shd w:fill="F4F5F6"/>
            <w:vAlign w:val="center"/>
          </w:tcPr>
          <w:p>
            <w:pPr>
              <w:spacing w:before="0" w:after="0"/>
              <w:jc w:val="left"/>
            </w:pPr>
            <w:r>
              <w:rPr>
                <w:color w:val="202426"/>
                <w:sz w:val="15"/>
              </w:rPr>
              <w:t>Indeks Kualitas Air (IKA) Terkini</w:t>
            </w:r>
          </w:p>
        </w:tc>
        <w:tc>
          <w:tcPr>
            <w:tcW w:type="dxa" w:w="1134"/>
            <w:tcMar>
              <w:top w:w="80" w:type="dxa"/>
              <w:bottom w:w="80" w:type="dxa"/>
              <w:left w:w="80" w:type="dxa"/>
              <w:right w:w="80" w:type="dxa"/>
            </w:tcMar>
            <w:shd w:fill="F4F5F6"/>
            <w:vAlign w:val="center"/>
          </w:tcPr>
          <w:p>
            <w:pPr>
              <w:spacing w:before="0" w:after="0"/>
              <w:jc w:val="right"/>
            </w:pPr>
            <w:r>
              <w:rPr>
                <w:color w:val="202426"/>
                <w:sz w:val="15"/>
              </w:rPr>
              <w:t>62.1 Poin</w:t>
            </w:r>
          </w:p>
        </w:tc>
        <w:tc>
          <w:tcPr>
            <w:tcW w:type="dxa" w:w="1020"/>
            <w:tcMar>
              <w:top w:w="80" w:type="dxa"/>
              <w:bottom w:w="80" w:type="dxa"/>
              <w:left w:w="80" w:type="dxa"/>
              <w:right w:w="80" w:type="dxa"/>
            </w:tcMar>
            <w:shd w:fill="F4F5F6"/>
            <w:vAlign w:val="center"/>
          </w:tcPr>
          <w:p>
            <w:pPr>
              <w:spacing w:before="0" w:after="0"/>
              <w:jc w:val="right"/>
            </w:pPr>
            <w:r>
              <w:rPr>
                <w:color w:val="202426"/>
                <w:sz w:val="15"/>
              </w:rPr>
              <w:t>59.7</w:t>
            </w:r>
          </w:p>
        </w:tc>
        <w:tc>
          <w:tcPr>
            <w:tcW w:type="dxa" w:w="964"/>
            <w:tcMar>
              <w:top w:w="80" w:type="dxa"/>
              <w:bottom w:w="80" w:type="dxa"/>
              <w:left w:w="80" w:type="dxa"/>
              <w:right w:w="80" w:type="dxa"/>
            </w:tcMar>
            <w:shd w:fill="F4F5F6"/>
            <w:vAlign w:val="center"/>
          </w:tcPr>
          <w:p>
            <w:pPr>
              <w:spacing w:before="0" w:after="0"/>
              <w:jc w:val="right"/>
            </w:pPr>
            <w:r>
              <w:rPr>
                <w:color w:val="202426"/>
                <w:sz w:val="15"/>
              </w:rPr>
              <w:t>3.4</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-0.70</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0.0262</w:t>
            </w:r>
          </w:p>
        </w:tc>
        <w:tc>
          <w:tcPr>
            <w:tcW w:type="dxa" w:w="907"/>
            <w:tcMar>
              <w:top w:w="80" w:type="dxa"/>
              <w:bottom w:w="80" w:type="dxa"/>
              <w:left w:w="80" w:type="dxa"/>
              <w:right w:w="80" w:type="dxa"/>
            </w:tcMar>
            <w:shd w:fill="F4F5F6"/>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1814"/>
            <w:tcMar>
              <w:top w:w="80" w:type="dxa"/>
              <w:bottom w:w="80" w:type="dxa"/>
              <w:left w:w="80" w:type="dxa"/>
              <w:right w:w="80" w:type="dxa"/>
            </w:tcMar>
            <w:shd w:fill="FFFFFF"/>
            <w:vAlign w:val="center"/>
          </w:tcPr>
          <w:p>
            <w:pPr>
              <w:spacing w:before="0" w:after="0"/>
              <w:jc w:val="left"/>
            </w:pPr>
            <w:r>
              <w:rPr>
                <w:color w:val="202426"/>
                <w:sz w:val="15"/>
              </w:rPr>
              <w:t>Morbiditas Diare (Incidence Rate Ratio)</w:t>
            </w:r>
          </w:p>
        </w:tc>
        <w:tc>
          <w:tcPr>
            <w:tcW w:type="dxa" w:w="1134"/>
            <w:tcMar>
              <w:top w:w="80" w:type="dxa"/>
              <w:bottom w:w="80" w:type="dxa"/>
              <w:left w:w="80" w:type="dxa"/>
              <w:right w:w="80" w:type="dxa"/>
            </w:tcMar>
            <w:shd w:fill="FFFFFF"/>
            <w:vAlign w:val="center"/>
          </w:tcPr>
          <w:p>
            <w:pPr>
              <w:spacing w:before="0" w:after="0"/>
              <w:jc w:val="right"/>
            </w:pPr>
            <w:r>
              <w:rPr>
                <w:color w:val="202426"/>
                <w:sz w:val="15"/>
              </w:rPr>
              <w:t>1.52x</w:t>
            </w:r>
          </w:p>
        </w:tc>
        <w:tc>
          <w:tcPr>
            <w:tcW w:type="dxa" w:w="1020"/>
            <w:tcMar>
              <w:top w:w="80" w:type="dxa"/>
              <w:bottom w:w="80" w:type="dxa"/>
              <w:left w:w="80" w:type="dxa"/>
              <w:right w:w="80" w:type="dxa"/>
            </w:tcMar>
            <w:shd w:fill="FFFFFF"/>
            <w:vAlign w:val="center"/>
          </w:tcPr>
          <w:p>
            <w:pPr>
              <w:spacing w:before="0" w:after="0"/>
              <w:jc w:val="right"/>
            </w:pPr>
            <w:r>
              <w:rPr>
                <w:color w:val="202426"/>
                <w:sz w:val="15"/>
              </w:rPr>
              <w:t>1.04x</w:t>
            </w:r>
          </w:p>
        </w:tc>
        <w:tc>
          <w:tcPr>
            <w:tcW w:type="dxa" w:w="964"/>
            <w:tcMar>
              <w:top w:w="80" w:type="dxa"/>
              <w:bottom w:w="80" w:type="dxa"/>
              <w:left w:w="80" w:type="dxa"/>
              <w:right w:w="80" w:type="dxa"/>
            </w:tcMar>
            <w:shd w:fill="FFFFFF"/>
            <w:vAlign w:val="center"/>
          </w:tcPr>
          <w:p>
            <w:pPr>
              <w:spacing w:before="0" w:after="0"/>
              <w:jc w:val="right"/>
            </w:pPr>
            <w:r>
              <w:rPr>
                <w:color w:val="202426"/>
                <w:sz w:val="15"/>
              </w:rPr>
              <w:t>0.36x</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+1.34</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0.0164</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Air</w:t>
            </w:r>
          </w:p>
        </w:tc>
        <w:tc>
          <w:tcPr>
            <w:tcW w:type="dxa" w:w="1814"/>
            <w:tcMar>
              <w:top w:w="80" w:type="dxa"/>
              <w:bottom w:w="80" w:type="dxa"/>
              <w:left w:w="80" w:type="dxa"/>
              <w:right w:w="80" w:type="dxa"/>
            </w:tcMar>
            <w:shd w:fill="F4F5F6"/>
            <w:vAlign w:val="center"/>
          </w:tcPr>
          <w:p>
            <w:pPr>
              <w:spacing w:before="0" w:after="0"/>
              <w:jc w:val="left"/>
            </w:pPr>
            <w:r>
              <w:rPr>
                <w:color w:val="202426"/>
                <w:sz w:val="15"/>
              </w:rPr>
              <w:t>Konflik Ruang Laut Nelayan vs Tambang</w:t>
            </w:r>
          </w:p>
        </w:tc>
        <w:tc>
          <w:tcPr>
            <w:tcW w:type="dxa" w:w="1134"/>
            <w:tcMar>
              <w:top w:w="80" w:type="dxa"/>
              <w:bottom w:w="80" w:type="dxa"/>
              <w:left w:w="80" w:type="dxa"/>
              <w:right w:w="80" w:type="dxa"/>
            </w:tcMar>
            <w:shd w:fill="F4F5F6"/>
            <w:vAlign w:val="center"/>
          </w:tcPr>
          <w:p>
            <w:pPr>
              <w:spacing w:before="0" w:after="0"/>
              <w:jc w:val="right"/>
            </w:pPr>
            <w:r>
              <w:rPr>
                <w:color w:val="202426"/>
                <w:sz w:val="15"/>
              </w:rPr>
              <w:t>1 Kasus</w:t>
            </w:r>
          </w:p>
        </w:tc>
        <w:tc>
          <w:tcPr>
            <w:tcW w:type="dxa" w:w="1020"/>
            <w:tcMar>
              <w:top w:w="80" w:type="dxa"/>
              <w:bottom w:w="80" w:type="dxa"/>
              <w:left w:w="80" w:type="dxa"/>
              <w:right w:w="80" w:type="dxa"/>
            </w:tcMar>
            <w:shd w:fill="F4F5F6"/>
            <w:vAlign w:val="center"/>
          </w:tcPr>
          <w:p>
            <w:pPr>
              <w:spacing w:before="0" w:after="0"/>
              <w:jc w:val="right"/>
            </w:pPr>
            <w:r>
              <w:rPr>
                <w:color w:val="202426"/>
                <w:sz w:val="15"/>
              </w:rPr>
              <w:t>2.5</w:t>
            </w:r>
          </w:p>
        </w:tc>
        <w:tc>
          <w:tcPr>
            <w:tcW w:type="dxa" w:w="964"/>
            <w:tcMar>
              <w:top w:w="80" w:type="dxa"/>
              <w:bottom w:w="80" w:type="dxa"/>
              <w:left w:w="80" w:type="dxa"/>
              <w:right w:w="80" w:type="dxa"/>
            </w:tcMar>
            <w:shd w:fill="F4F5F6"/>
            <w:vAlign w:val="center"/>
          </w:tcPr>
          <w:p>
            <w:pPr>
              <w:spacing w:before="0" w:after="0"/>
              <w:jc w:val="right"/>
            </w:pPr>
            <w:r>
              <w:rPr>
                <w:color w:val="202426"/>
                <w:sz w:val="15"/>
              </w:rPr>
              <w:t>2.9</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-0.52</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0.0442</w:t>
            </w:r>
          </w:p>
        </w:tc>
        <w:tc>
          <w:tcPr>
            <w:tcW w:type="dxa" w:w="907"/>
            <w:tcMar>
              <w:top w:w="80" w:type="dxa"/>
              <w:bottom w:w="80" w:type="dxa"/>
              <w:left w:w="80" w:type="dxa"/>
              <w:right w:w="80" w:type="dxa"/>
            </w:tcMar>
            <w:shd w:fill="F4F5F6"/>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Air</w:t>
            </w:r>
          </w:p>
        </w:tc>
        <w:tc>
          <w:tcPr>
            <w:tcW w:type="dxa" w:w="1814"/>
            <w:tcMar>
              <w:top w:w="80" w:type="dxa"/>
              <w:bottom w:w="80" w:type="dxa"/>
              <w:left w:w="80" w:type="dxa"/>
              <w:right w:w="80" w:type="dxa"/>
            </w:tcMar>
            <w:shd w:fill="FFFFFF"/>
            <w:vAlign w:val="center"/>
          </w:tcPr>
          <w:p>
            <w:pPr>
              <w:spacing w:before="0" w:after="0"/>
              <w:jc w:val="left"/>
            </w:pPr>
            <w:r>
              <w:rPr>
                <w:color w:val="202426"/>
                <w:sz w:val="15"/>
              </w:rPr>
              <w:t>Akumulasi Beban Tailing, Slag &amp; DSTP</w:t>
            </w:r>
          </w:p>
        </w:tc>
        <w:tc>
          <w:tcPr>
            <w:tcW w:type="dxa" w:w="1134"/>
            <w:tcMar>
              <w:top w:w="80" w:type="dxa"/>
              <w:bottom w:w="80" w:type="dxa"/>
              <w:left w:w="80" w:type="dxa"/>
              <w:right w:w="80" w:type="dxa"/>
            </w:tcMar>
            <w:shd w:fill="FFFFFF"/>
            <w:vAlign w:val="center"/>
          </w:tcPr>
          <w:p>
            <w:pPr>
              <w:spacing w:before="0" w:after="0"/>
              <w:jc w:val="right"/>
            </w:pPr>
            <w:r>
              <w:rPr>
                <w:color w:val="202426"/>
                <w:sz w:val="15"/>
              </w:rPr>
              <w:t>24.50 Jt Ton</w:t>
            </w:r>
          </w:p>
        </w:tc>
        <w:tc>
          <w:tcPr>
            <w:tcW w:type="dxa" w:w="1020"/>
            <w:tcMar>
              <w:top w:w="80" w:type="dxa"/>
              <w:bottom w:w="80" w:type="dxa"/>
              <w:left w:w="80" w:type="dxa"/>
              <w:right w:w="80" w:type="dxa"/>
            </w:tcMar>
            <w:shd w:fill="FFFFFF"/>
            <w:vAlign w:val="center"/>
          </w:tcPr>
          <w:p>
            <w:pPr>
              <w:spacing w:before="0" w:after="0"/>
              <w:jc w:val="right"/>
            </w:pPr>
            <w:r>
              <w:rPr>
                <w:color w:val="202426"/>
                <w:sz w:val="15"/>
              </w:rPr>
              <w:t>5.34</w:t>
            </w:r>
          </w:p>
        </w:tc>
        <w:tc>
          <w:tcPr>
            <w:tcW w:type="dxa" w:w="964"/>
            <w:tcMar>
              <w:top w:w="80" w:type="dxa"/>
              <w:bottom w:w="80" w:type="dxa"/>
              <w:left w:w="80" w:type="dxa"/>
              <w:right w:w="80" w:type="dxa"/>
            </w:tcMar>
            <w:shd w:fill="FFFFFF"/>
            <w:vAlign w:val="center"/>
          </w:tcPr>
          <w:p>
            <w:pPr>
              <w:spacing w:before="0" w:after="0"/>
              <w:jc w:val="right"/>
            </w:pPr>
            <w:r>
              <w:rPr>
                <w:color w:val="202426"/>
                <w:sz w:val="15"/>
              </w:rPr>
              <w:t>9.73</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+1.97</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0.0822</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1814"/>
            <w:tcMar>
              <w:top w:w="80" w:type="dxa"/>
              <w:bottom w:w="80" w:type="dxa"/>
              <w:left w:w="80" w:type="dxa"/>
              <w:right w:w="80" w:type="dxa"/>
            </w:tcMar>
            <w:shd w:fill="F4F5F6"/>
            <w:vAlign w:val="center"/>
          </w:tcPr>
          <w:p>
            <w:pPr>
              <w:spacing w:before="0" w:after="0"/>
              <w:jc w:val="left"/>
            </w:pPr>
            <w:r>
              <w:rPr>
                <w:color w:val="202426"/>
                <w:sz w:val="15"/>
              </w:rPr>
              <w:t>Bencana Hidrometeorologi (Banjir &amp; Longsor)</w:t>
            </w:r>
          </w:p>
        </w:tc>
        <w:tc>
          <w:tcPr>
            <w:tcW w:type="dxa" w:w="1134"/>
            <w:tcMar>
              <w:top w:w="80" w:type="dxa"/>
              <w:bottom w:w="80" w:type="dxa"/>
              <w:left w:w="80" w:type="dxa"/>
              <w:right w:w="80" w:type="dxa"/>
            </w:tcMar>
            <w:shd w:fill="F4F5F6"/>
            <w:vAlign w:val="center"/>
          </w:tcPr>
          <w:p>
            <w:pPr>
              <w:spacing w:before="0" w:after="0"/>
              <w:jc w:val="right"/>
            </w:pPr>
            <w:r>
              <w:rPr>
                <w:color w:val="202426"/>
                <w:sz w:val="15"/>
              </w:rPr>
              <w:t>458 Kejadian</w:t>
            </w:r>
          </w:p>
        </w:tc>
        <w:tc>
          <w:tcPr>
            <w:tcW w:type="dxa" w:w="1020"/>
            <w:tcMar>
              <w:top w:w="80" w:type="dxa"/>
              <w:bottom w:w="80" w:type="dxa"/>
              <w:left w:w="80" w:type="dxa"/>
              <w:right w:w="80" w:type="dxa"/>
            </w:tcMar>
            <w:shd w:fill="F4F5F6"/>
            <w:vAlign w:val="center"/>
          </w:tcPr>
          <w:p>
            <w:pPr>
              <w:spacing w:before="0" w:after="0"/>
              <w:jc w:val="right"/>
            </w:pPr>
            <w:r>
              <w:rPr>
                <w:color w:val="202426"/>
                <w:sz w:val="15"/>
              </w:rPr>
              <w:t>268.2</w:t>
            </w:r>
          </w:p>
        </w:tc>
        <w:tc>
          <w:tcPr>
            <w:tcW w:type="dxa" w:w="964"/>
            <w:tcMar>
              <w:top w:w="80" w:type="dxa"/>
              <w:bottom w:w="80" w:type="dxa"/>
              <w:left w:w="80" w:type="dxa"/>
              <w:right w:w="80" w:type="dxa"/>
            </w:tcMar>
            <w:shd w:fill="F4F5F6"/>
            <w:vAlign w:val="center"/>
          </w:tcPr>
          <w:p>
            <w:pPr>
              <w:spacing w:before="0" w:after="0"/>
              <w:jc w:val="right"/>
            </w:pPr>
            <w:r>
              <w:rPr>
                <w:color w:val="202426"/>
                <w:sz w:val="15"/>
              </w:rPr>
              <w:t>246.6</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+0.77</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0.0271</w:t>
            </w:r>
          </w:p>
        </w:tc>
        <w:tc>
          <w:tcPr>
            <w:tcW w:type="dxa" w:w="907"/>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1814"/>
            <w:tcMar>
              <w:top w:w="80" w:type="dxa"/>
              <w:bottom w:w="80" w:type="dxa"/>
              <w:left w:w="80" w:type="dxa"/>
              <w:right w:w="80" w:type="dxa"/>
            </w:tcMar>
            <w:shd w:fill="FFFFFF"/>
            <w:vAlign w:val="center"/>
          </w:tcPr>
          <w:p>
            <w:pPr>
              <w:spacing w:before="0" w:after="0"/>
              <w:jc w:val="left"/>
            </w:pPr>
            <w:r>
              <w:rPr>
                <w:color w:val="202426"/>
                <w:sz w:val="15"/>
              </w:rPr>
              <w:t>Deforestasi Hutan Alam Primer GFW</w:t>
            </w:r>
          </w:p>
        </w:tc>
        <w:tc>
          <w:tcPr>
            <w:tcW w:type="dxa" w:w="1134"/>
            <w:tcMar>
              <w:top w:w="80" w:type="dxa"/>
              <w:bottom w:w="80" w:type="dxa"/>
              <w:left w:w="80" w:type="dxa"/>
              <w:right w:w="80" w:type="dxa"/>
            </w:tcMar>
            <w:shd w:fill="FFFFFF"/>
            <w:vAlign w:val="center"/>
          </w:tcPr>
          <w:p>
            <w:pPr>
              <w:spacing w:before="0" w:after="0"/>
              <w:jc w:val="right"/>
            </w:pPr>
            <w:r>
              <w:rPr>
                <w:color w:val="202426"/>
                <w:sz w:val="15"/>
              </w:rPr>
              <w:t>481,908 Ha</w:t>
            </w:r>
          </w:p>
        </w:tc>
        <w:tc>
          <w:tcPr>
            <w:tcW w:type="dxa" w:w="1020"/>
            <w:tcMar>
              <w:top w:w="80" w:type="dxa"/>
              <w:bottom w:w="80" w:type="dxa"/>
              <w:left w:w="80" w:type="dxa"/>
              <w:right w:w="80" w:type="dxa"/>
            </w:tcMar>
            <w:shd w:fill="FFFFFF"/>
            <w:vAlign w:val="center"/>
          </w:tcPr>
          <w:p>
            <w:pPr>
              <w:spacing w:before="0" w:after="0"/>
              <w:jc w:val="right"/>
            </w:pPr>
            <w:r>
              <w:rPr>
                <w:color w:val="202426"/>
                <w:sz w:val="15"/>
              </w:rPr>
              <w:t>231,009</w:t>
            </w:r>
          </w:p>
        </w:tc>
        <w:tc>
          <w:tcPr>
            <w:tcW w:type="dxa" w:w="964"/>
            <w:tcMar>
              <w:top w:w="80" w:type="dxa"/>
              <w:bottom w:w="80" w:type="dxa"/>
              <w:left w:w="80" w:type="dxa"/>
              <w:right w:w="80" w:type="dxa"/>
            </w:tcMar>
            <w:shd w:fill="FFFFFF"/>
            <w:vAlign w:val="center"/>
          </w:tcPr>
          <w:p>
            <w:pPr>
              <w:spacing w:before="0" w:after="0"/>
              <w:jc w:val="right"/>
            </w:pPr>
            <w:r>
              <w:rPr>
                <w:color w:val="202426"/>
                <w:sz w:val="15"/>
              </w:rPr>
              <w:t>159,368</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+1.57</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0.0346</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1814"/>
            <w:tcMar>
              <w:top w:w="80" w:type="dxa"/>
              <w:bottom w:w="80" w:type="dxa"/>
              <w:left w:w="80" w:type="dxa"/>
              <w:right w:w="80" w:type="dxa"/>
            </w:tcMar>
            <w:shd w:fill="F4F5F6"/>
            <w:vAlign w:val="center"/>
          </w:tcPr>
          <w:p>
            <w:pPr>
              <w:spacing w:before="0" w:after="0"/>
              <w:jc w:val="left"/>
            </w:pPr>
            <w:r>
              <w:rPr>
                <w:color w:val="202426"/>
                <w:sz w:val="15"/>
              </w:rPr>
              <w:t>Perambahan Tambang di Kawasan Hutan Lindung</w:t>
            </w:r>
          </w:p>
        </w:tc>
        <w:tc>
          <w:tcPr>
            <w:tcW w:type="dxa" w:w="1134"/>
            <w:tcMar>
              <w:top w:w="80" w:type="dxa"/>
              <w:bottom w:w="80" w:type="dxa"/>
              <w:left w:w="80" w:type="dxa"/>
              <w:right w:w="80" w:type="dxa"/>
            </w:tcMar>
            <w:shd w:fill="F4F5F6"/>
            <w:vAlign w:val="center"/>
          </w:tcPr>
          <w:p>
            <w:pPr>
              <w:spacing w:before="0" w:after="0"/>
              <w:jc w:val="right"/>
            </w:pPr>
            <w:r>
              <w:rPr>
                <w:color w:val="202426"/>
                <w:sz w:val="15"/>
              </w:rPr>
              <w:t>19,804 Ha</w:t>
            </w:r>
          </w:p>
        </w:tc>
        <w:tc>
          <w:tcPr>
            <w:tcW w:type="dxa" w:w="1020"/>
            <w:tcMar>
              <w:top w:w="80" w:type="dxa"/>
              <w:bottom w:w="80" w:type="dxa"/>
              <w:left w:w="80" w:type="dxa"/>
              <w:right w:w="80" w:type="dxa"/>
            </w:tcMar>
            <w:shd w:fill="F4F5F6"/>
            <w:vAlign w:val="center"/>
          </w:tcPr>
          <w:p>
            <w:pPr>
              <w:spacing w:before="0" w:after="0"/>
              <w:jc w:val="right"/>
            </w:pPr>
            <w:r>
              <w:rPr>
                <w:color w:val="202426"/>
                <w:sz w:val="15"/>
              </w:rPr>
              <w:t>6,964</w:t>
            </w:r>
          </w:p>
        </w:tc>
        <w:tc>
          <w:tcPr>
            <w:tcW w:type="dxa" w:w="964"/>
            <w:tcMar>
              <w:top w:w="80" w:type="dxa"/>
              <w:bottom w:w="80" w:type="dxa"/>
              <w:left w:w="80" w:type="dxa"/>
              <w:right w:w="80" w:type="dxa"/>
            </w:tcMar>
            <w:shd w:fill="F4F5F6"/>
            <w:vAlign w:val="center"/>
          </w:tcPr>
          <w:p>
            <w:pPr>
              <w:spacing w:before="0" w:after="0"/>
              <w:jc w:val="right"/>
            </w:pPr>
            <w:r>
              <w:rPr>
                <w:color w:val="202426"/>
                <w:sz w:val="15"/>
              </w:rPr>
              <w:t>6,775</w:t>
            </w:r>
          </w:p>
        </w:tc>
        <w:tc>
          <w:tcPr>
            <w:tcW w:type="dxa" w:w="850"/>
            <w:tcMar>
              <w:top w:w="80" w:type="dxa"/>
              <w:bottom w:w="80" w:type="dxa"/>
              <w:left w:w="80" w:type="dxa"/>
              <w:right w:w="80" w:type="dxa"/>
            </w:tcMar>
            <w:shd w:fill="F4F5F6"/>
            <w:vAlign w:val="center"/>
          </w:tcPr>
          <w:p>
            <w:pPr>
              <w:spacing w:before="0" w:after="0"/>
              <w:jc w:val="center"/>
            </w:pPr>
            <w:r>
              <w:rPr>
                <w:color w:val="202426"/>
                <w:sz w:val="15"/>
              </w:rPr>
              <w:t>+1.89</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0.0392</w:t>
            </w:r>
          </w:p>
        </w:tc>
        <w:tc>
          <w:tcPr>
            <w:tcW w:type="dxa" w:w="907"/>
            <w:tcMar>
              <w:top w:w="80" w:type="dxa"/>
              <w:bottom w:w="80" w:type="dxa"/>
              <w:left w:w="80" w:type="dxa"/>
              <w:right w:w="80" w:type="dxa"/>
            </w:tcMar>
            <w:shd w:fill="F4F5F6"/>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Lahan</w:t>
            </w:r>
          </w:p>
        </w:tc>
        <w:tc>
          <w:tcPr>
            <w:tcW w:type="dxa" w:w="1814"/>
            <w:tcMar>
              <w:top w:w="80" w:type="dxa"/>
              <w:bottom w:w="80" w:type="dxa"/>
              <w:left w:w="80" w:type="dxa"/>
              <w:right w:w="80" w:type="dxa"/>
            </w:tcMar>
            <w:shd w:fill="FFFFFF"/>
            <w:vAlign w:val="center"/>
          </w:tcPr>
          <w:p>
            <w:pPr>
              <w:spacing w:before="0" w:after="0"/>
              <w:jc w:val="left"/>
            </w:pPr>
            <w:r>
              <w:rPr>
                <w:color w:val="202426"/>
                <w:sz w:val="15"/>
              </w:rPr>
              <w:t>Aktor Deforestasi Komoditas Tambang &amp; Sawit</w:t>
            </w:r>
          </w:p>
        </w:tc>
        <w:tc>
          <w:tcPr>
            <w:tcW w:type="dxa" w:w="1134"/>
            <w:tcMar>
              <w:top w:w="80" w:type="dxa"/>
              <w:bottom w:w="80" w:type="dxa"/>
              <w:left w:w="80" w:type="dxa"/>
              <w:right w:w="80" w:type="dxa"/>
            </w:tcMar>
            <w:shd w:fill="FFFFFF"/>
            <w:vAlign w:val="center"/>
          </w:tcPr>
          <w:p>
            <w:pPr>
              <w:spacing w:before="0" w:after="0"/>
              <w:jc w:val="right"/>
            </w:pPr>
            <w:r>
              <w:rPr>
                <w:color w:val="202426"/>
                <w:sz w:val="15"/>
              </w:rPr>
              <w:t>383,304 Ha</w:t>
            </w:r>
          </w:p>
        </w:tc>
        <w:tc>
          <w:tcPr>
            <w:tcW w:type="dxa" w:w="1020"/>
            <w:tcMar>
              <w:top w:w="80" w:type="dxa"/>
              <w:bottom w:w="80" w:type="dxa"/>
              <w:left w:w="80" w:type="dxa"/>
              <w:right w:w="80" w:type="dxa"/>
            </w:tcMar>
            <w:shd w:fill="FFFFFF"/>
            <w:vAlign w:val="center"/>
          </w:tcPr>
          <w:p>
            <w:pPr>
              <w:spacing w:before="0" w:after="0"/>
              <w:jc w:val="right"/>
            </w:pPr>
            <w:r>
              <w:rPr>
                <w:color w:val="202426"/>
                <w:sz w:val="15"/>
              </w:rPr>
              <w:t>166,942</w:t>
            </w:r>
          </w:p>
        </w:tc>
        <w:tc>
          <w:tcPr>
            <w:tcW w:type="dxa" w:w="964"/>
            <w:tcMar>
              <w:top w:w="80" w:type="dxa"/>
              <w:bottom w:w="80" w:type="dxa"/>
              <w:left w:w="80" w:type="dxa"/>
              <w:right w:w="80" w:type="dxa"/>
            </w:tcMar>
            <w:shd w:fill="FFFFFF"/>
            <w:vAlign w:val="center"/>
          </w:tcPr>
          <w:p>
            <w:pPr>
              <w:spacing w:before="0" w:after="0"/>
              <w:jc w:val="right"/>
            </w:pPr>
            <w:r>
              <w:rPr>
                <w:color w:val="202426"/>
                <w:sz w:val="15"/>
              </w:rPr>
              <w:t>128,370</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+1.69</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0.0361</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Lahan</w:t>
            </w:r>
          </w:p>
        </w:tc>
        <w:tc>
          <w:tcPr>
            <w:tcW w:type="dxa" w:w="1814"/>
            <w:tcMar>
              <w:top w:w="80" w:type="dxa"/>
              <w:bottom w:w="80" w:type="dxa"/>
              <w:left w:w="80" w:type="dxa"/>
              <w:right w:w="80" w:type="dxa"/>
            </w:tcMar>
            <w:shd w:fill="F4F5F6"/>
            <w:vAlign w:val="center"/>
          </w:tcPr>
          <w:p>
            <w:pPr>
              <w:spacing w:before="0" w:after="0"/>
              <w:jc w:val="left"/>
            </w:pPr>
            <w:r>
              <w:rPr>
                <w:color w:val="202426"/>
                <w:sz w:val="15"/>
              </w:rPr>
              <w:t>Kepadatan Konsesi IUP Nikel vs Daratan</w:t>
            </w:r>
          </w:p>
        </w:tc>
        <w:tc>
          <w:tcPr>
            <w:tcW w:type="dxa" w:w="1134"/>
            <w:tcMar>
              <w:top w:w="80" w:type="dxa"/>
              <w:bottom w:w="80" w:type="dxa"/>
              <w:left w:w="80" w:type="dxa"/>
              <w:right w:w="80" w:type="dxa"/>
            </w:tcMar>
            <w:shd w:fill="F4F5F6"/>
            <w:vAlign w:val="center"/>
          </w:tcPr>
          <w:p>
            <w:pPr>
              <w:spacing w:before="0" w:after="0"/>
              <w:jc w:val="right"/>
            </w:pPr>
            <w:r>
              <w:rPr>
                <w:color w:val="202426"/>
                <w:sz w:val="15"/>
              </w:rPr>
              <w:t>7.33%</w:t>
            </w:r>
          </w:p>
        </w:tc>
        <w:tc>
          <w:tcPr>
            <w:tcW w:type="dxa" w:w="1020"/>
            <w:tcMar>
              <w:top w:w="80" w:type="dxa"/>
              <w:bottom w:w="80" w:type="dxa"/>
              <w:left w:w="80" w:type="dxa"/>
              <w:right w:w="80" w:type="dxa"/>
            </w:tcMar>
            <w:shd w:fill="F4F5F6"/>
            <w:vAlign w:val="center"/>
          </w:tcPr>
          <w:p>
            <w:pPr>
              <w:spacing w:before="0" w:after="0"/>
              <w:jc w:val="right"/>
            </w:pPr>
            <w:r>
              <w:rPr>
                <w:color w:val="202426"/>
                <w:sz w:val="15"/>
              </w:rPr>
              <w:t>5.08%</w:t>
            </w:r>
          </w:p>
        </w:tc>
        <w:tc>
          <w:tcPr>
            <w:tcW w:type="dxa" w:w="964"/>
            <w:tcMar>
              <w:top w:w="80" w:type="dxa"/>
              <w:bottom w:w="80" w:type="dxa"/>
              <w:left w:w="80" w:type="dxa"/>
              <w:right w:w="80" w:type="dxa"/>
            </w:tcMar>
            <w:shd w:fill="F4F5F6"/>
            <w:vAlign w:val="center"/>
          </w:tcPr>
          <w:p>
            <w:pPr>
              <w:spacing w:before="0" w:after="0"/>
              <w:jc w:val="right"/>
            </w:pPr>
            <w:r>
              <w:rPr>
                <w:color w:val="202426"/>
                <w:sz w:val="15"/>
              </w:rPr>
              <w:t>4.43%</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+0.51</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0.0320</w:t>
            </w:r>
          </w:p>
        </w:tc>
        <w:tc>
          <w:tcPr>
            <w:tcW w:type="dxa" w:w="907"/>
            <w:tcMar>
              <w:top w:w="80" w:type="dxa"/>
              <w:bottom w:w="80" w:type="dxa"/>
              <w:left w:w="80" w:type="dxa"/>
              <w:right w:w="80" w:type="dxa"/>
            </w:tcMar>
            <w:shd w:fill="F4F5F6"/>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1814"/>
            <w:tcMar>
              <w:top w:w="80" w:type="dxa"/>
              <w:bottom w:w="80" w:type="dxa"/>
              <w:left w:w="80" w:type="dxa"/>
              <w:right w:w="80" w:type="dxa"/>
            </w:tcMar>
            <w:shd w:fill="FFFFFF"/>
            <w:vAlign w:val="center"/>
          </w:tcPr>
          <w:p>
            <w:pPr>
              <w:spacing w:before="0" w:after="0"/>
              <w:jc w:val="left"/>
            </w:pPr>
            <w:r>
              <w:rPr>
                <w:color w:val="202426"/>
                <w:sz w:val="15"/>
              </w:rPr>
              <w:t>Manipulasi Persetujuan Konsultasi Warga (FPIC)</w:t>
            </w:r>
          </w:p>
        </w:tc>
        <w:tc>
          <w:tcPr>
            <w:tcW w:type="dxa" w:w="1134"/>
            <w:tcMar>
              <w:top w:w="80" w:type="dxa"/>
              <w:bottom w:w="80" w:type="dxa"/>
              <w:left w:w="80" w:type="dxa"/>
              <w:right w:w="80" w:type="dxa"/>
            </w:tcMar>
            <w:shd w:fill="FFFFFF"/>
            <w:vAlign w:val="center"/>
          </w:tcPr>
          <w:p>
            <w:pPr>
              <w:spacing w:before="0" w:after="0"/>
              <w:jc w:val="right"/>
            </w:pPr>
            <w:r>
              <w:rPr>
                <w:color w:val="202426"/>
                <w:sz w:val="15"/>
              </w:rPr>
              <w:t>1 Kasus</w:t>
            </w:r>
          </w:p>
        </w:tc>
        <w:tc>
          <w:tcPr>
            <w:tcW w:type="dxa" w:w="1020"/>
            <w:tcMar>
              <w:top w:w="80" w:type="dxa"/>
              <w:bottom w:w="80" w:type="dxa"/>
              <w:left w:w="80" w:type="dxa"/>
              <w:right w:w="80" w:type="dxa"/>
            </w:tcMar>
            <w:shd w:fill="FFFFFF"/>
            <w:vAlign w:val="center"/>
          </w:tcPr>
          <w:p>
            <w:pPr>
              <w:spacing w:before="0" w:after="0"/>
              <w:jc w:val="right"/>
            </w:pPr>
            <w:r>
              <w:rPr>
                <w:color w:val="202426"/>
                <w:sz w:val="15"/>
              </w:rPr>
              <w:t>1.3</w:t>
            </w:r>
          </w:p>
        </w:tc>
        <w:tc>
          <w:tcPr>
            <w:tcW w:type="dxa" w:w="964"/>
            <w:tcMar>
              <w:top w:w="80" w:type="dxa"/>
              <w:bottom w:w="80" w:type="dxa"/>
              <w:left w:w="80" w:type="dxa"/>
              <w:right w:w="80" w:type="dxa"/>
            </w:tcMar>
            <w:shd w:fill="FFFFFF"/>
            <w:vAlign w:val="center"/>
          </w:tcPr>
          <w:p>
            <w:pPr>
              <w:spacing w:before="0" w:after="0"/>
              <w:jc w:val="right"/>
            </w:pPr>
            <w:r>
              <w:rPr>
                <w:color w:val="202426"/>
                <w:sz w:val="15"/>
              </w:rPr>
              <w:t>2.0</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-0.17</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0.0635</w:t>
            </w:r>
          </w:p>
        </w:tc>
        <w:tc>
          <w:tcPr>
            <w:tcW w:type="dxa" w:w="907"/>
            <w:tcMar>
              <w:top w:w="80" w:type="dxa"/>
              <w:bottom w:w="80" w:type="dxa"/>
              <w:left w:w="80" w:type="dxa"/>
              <w:right w:w="80" w:type="dxa"/>
            </w:tcMar>
            <w:shd w:fill="FFFFFF"/>
            <w:vAlign w:val="center"/>
          </w:tcPr>
          <w:p>
            <w:pPr>
              <w:spacing w:before="0" w:after="0"/>
              <w:jc w:val="center"/>
            </w:pPr>
            <w:r>
              <w:rPr>
                <w:color w:val="202426"/>
                <w:sz w:val="15"/>
              </w:rPr>
              <w:t>2.0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Tidak 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1814"/>
            <w:tcMar>
              <w:top w:w="80" w:type="dxa"/>
              <w:bottom w:w="80" w:type="dxa"/>
              <w:left w:w="80" w:type="dxa"/>
              <w:right w:w="80" w:type="dxa"/>
            </w:tcMar>
            <w:shd w:fill="F4F5F6"/>
            <w:vAlign w:val="center"/>
          </w:tcPr>
          <w:p>
            <w:pPr>
              <w:spacing w:before="0" w:after="0"/>
              <w:jc w:val="left"/>
            </w:pPr>
            <w:r>
              <w:rPr>
                <w:color w:val="202426"/>
                <w:sz w:val="15"/>
              </w:rPr>
              <w:t>Korban Perampasan Ruang Hidup &amp; Krisis Agraria</w:t>
            </w:r>
          </w:p>
        </w:tc>
        <w:tc>
          <w:tcPr>
            <w:tcW w:type="dxa" w:w="1134"/>
            <w:tcMar>
              <w:top w:w="80" w:type="dxa"/>
              <w:bottom w:w="80" w:type="dxa"/>
              <w:left w:w="80" w:type="dxa"/>
              <w:right w:w="80" w:type="dxa"/>
            </w:tcMar>
            <w:shd w:fill="F4F5F6"/>
            <w:vAlign w:val="center"/>
          </w:tcPr>
          <w:p>
            <w:pPr>
              <w:spacing w:before="0" w:after="0"/>
              <w:jc w:val="right"/>
            </w:pPr>
            <w:r>
              <w:rPr>
                <w:color w:val="202426"/>
                <w:sz w:val="15"/>
              </w:rPr>
              <w:t>12,231 Jiwa</w:t>
            </w:r>
          </w:p>
        </w:tc>
        <w:tc>
          <w:tcPr>
            <w:tcW w:type="dxa" w:w="1020"/>
            <w:tcMar>
              <w:top w:w="80" w:type="dxa"/>
              <w:bottom w:w="80" w:type="dxa"/>
              <w:left w:w="80" w:type="dxa"/>
              <w:right w:w="80" w:type="dxa"/>
            </w:tcMar>
            <w:shd w:fill="F4F5F6"/>
            <w:vAlign w:val="center"/>
          </w:tcPr>
          <w:p>
            <w:pPr>
              <w:spacing w:before="0" w:after="0"/>
              <w:jc w:val="right"/>
            </w:pPr>
            <w:r>
              <w:rPr>
                <w:color w:val="202426"/>
                <w:sz w:val="15"/>
              </w:rPr>
              <w:t>9,052</w:t>
            </w:r>
          </w:p>
        </w:tc>
        <w:tc>
          <w:tcPr>
            <w:tcW w:type="dxa" w:w="964"/>
            <w:tcMar>
              <w:top w:w="80" w:type="dxa"/>
              <w:bottom w:w="80" w:type="dxa"/>
              <w:left w:w="80" w:type="dxa"/>
              <w:right w:w="80" w:type="dxa"/>
            </w:tcMar>
            <w:shd w:fill="F4F5F6"/>
            <w:vAlign w:val="center"/>
          </w:tcPr>
          <w:p>
            <w:pPr>
              <w:spacing w:before="0" w:after="0"/>
              <w:jc w:val="right"/>
            </w:pPr>
            <w:r>
              <w:rPr>
                <w:color w:val="202426"/>
                <w:sz w:val="15"/>
              </w:rPr>
              <w:t>15,804</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+0.20</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0.0781</w:t>
            </w:r>
          </w:p>
        </w:tc>
        <w:tc>
          <w:tcPr>
            <w:tcW w:type="dxa" w:w="907"/>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Sosial</w:t>
            </w:r>
          </w:p>
        </w:tc>
        <w:tc>
          <w:tcPr>
            <w:tcW w:type="dxa" w:w="1814"/>
            <w:tcMar>
              <w:top w:w="80" w:type="dxa"/>
              <w:bottom w:w="80" w:type="dxa"/>
              <w:left w:w="80" w:type="dxa"/>
              <w:right w:w="80" w:type="dxa"/>
            </w:tcMar>
            <w:shd w:fill="FFFFFF"/>
            <w:vAlign w:val="center"/>
          </w:tcPr>
          <w:p>
            <w:pPr>
              <w:spacing w:before="0" w:after="0"/>
              <w:jc w:val="left"/>
            </w:pPr>
            <w:r>
              <w:rPr>
                <w:color w:val="202426"/>
                <w:sz w:val="15"/>
              </w:rPr>
              <w:t>Insiden Kriminalisasi Warga &amp; Pembela HAM</w:t>
            </w:r>
          </w:p>
        </w:tc>
        <w:tc>
          <w:tcPr>
            <w:tcW w:type="dxa" w:w="1134"/>
            <w:tcMar>
              <w:top w:w="80" w:type="dxa"/>
              <w:bottom w:w="80" w:type="dxa"/>
              <w:left w:w="80" w:type="dxa"/>
              <w:right w:w="80" w:type="dxa"/>
            </w:tcMar>
            <w:shd w:fill="FFFFFF"/>
            <w:vAlign w:val="center"/>
          </w:tcPr>
          <w:p>
            <w:pPr>
              <w:spacing w:before="0" w:after="0"/>
              <w:jc w:val="right"/>
            </w:pPr>
            <w:r>
              <w:rPr>
                <w:color w:val="202426"/>
                <w:sz w:val="15"/>
              </w:rPr>
              <w:t>6 Insiden</w:t>
            </w:r>
          </w:p>
        </w:tc>
        <w:tc>
          <w:tcPr>
            <w:tcW w:type="dxa" w:w="1020"/>
            <w:tcMar>
              <w:top w:w="80" w:type="dxa"/>
              <w:bottom w:w="80" w:type="dxa"/>
              <w:left w:w="80" w:type="dxa"/>
              <w:right w:w="80" w:type="dxa"/>
            </w:tcMar>
            <w:shd w:fill="FFFFFF"/>
            <w:vAlign w:val="center"/>
          </w:tcPr>
          <w:p>
            <w:pPr>
              <w:spacing w:before="0" w:after="0"/>
              <w:jc w:val="right"/>
            </w:pPr>
            <w:r>
              <w:rPr>
                <w:color w:val="202426"/>
                <w:sz w:val="15"/>
              </w:rPr>
              <w:t>3.5</w:t>
            </w:r>
          </w:p>
        </w:tc>
        <w:tc>
          <w:tcPr>
            <w:tcW w:type="dxa" w:w="964"/>
            <w:tcMar>
              <w:top w:w="80" w:type="dxa"/>
              <w:bottom w:w="80" w:type="dxa"/>
              <w:left w:w="80" w:type="dxa"/>
              <w:right w:w="80" w:type="dxa"/>
            </w:tcMar>
            <w:shd w:fill="FFFFFF"/>
            <w:vAlign w:val="center"/>
          </w:tcPr>
          <w:p>
            <w:pPr>
              <w:spacing w:before="0" w:after="0"/>
              <w:jc w:val="right"/>
            </w:pPr>
            <w:r>
              <w:rPr>
                <w:color w:val="202426"/>
                <w:sz w:val="15"/>
              </w:rPr>
              <w:t>3.5</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+0.71</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0.0331</w:t>
            </w:r>
          </w:p>
        </w:tc>
        <w:tc>
          <w:tcPr>
            <w:tcW w:type="dxa" w:w="907"/>
            <w:tcMar>
              <w:top w:w="80" w:type="dxa"/>
              <w:bottom w:w="80" w:type="dxa"/>
              <w:left w:w="80" w:type="dxa"/>
              <w:right w:w="80" w:type="dxa"/>
            </w:tcMar>
            <w:shd w:fill="FFFFFF"/>
            <w:vAlign w:val="center"/>
          </w:tcPr>
          <w:p>
            <w:pPr>
              <w:spacing w:before="0" w:after="0"/>
              <w:jc w:val="center"/>
            </w:pPr>
            <w:r>
              <w:rPr>
                <w:color w:val="202426"/>
                <w:sz w:val="15"/>
              </w:rPr>
              <w:t>4.0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Sosial</w:t>
            </w:r>
          </w:p>
        </w:tc>
        <w:tc>
          <w:tcPr>
            <w:tcW w:type="dxa" w:w="1814"/>
            <w:tcMar>
              <w:top w:w="80" w:type="dxa"/>
              <w:bottom w:w="80" w:type="dxa"/>
              <w:left w:w="80" w:type="dxa"/>
              <w:right w:w="80" w:type="dxa"/>
            </w:tcMar>
            <w:shd w:fill="F4F5F6"/>
            <w:vAlign w:val="center"/>
          </w:tcPr>
          <w:p>
            <w:pPr>
              <w:spacing w:before="0" w:after="0"/>
              <w:jc w:val="left"/>
            </w:pPr>
            <w:r>
              <w:rPr>
                <w:color w:val="202426"/>
                <w:sz w:val="15"/>
              </w:rPr>
              <w:t>Defisit Kelayakan Standar Faskes SPA</w:t>
            </w:r>
          </w:p>
        </w:tc>
        <w:tc>
          <w:tcPr>
            <w:tcW w:type="dxa" w:w="1134"/>
            <w:tcMar>
              <w:top w:w="80" w:type="dxa"/>
              <w:bottom w:w="80" w:type="dxa"/>
              <w:left w:w="80" w:type="dxa"/>
              <w:right w:w="80" w:type="dxa"/>
            </w:tcMar>
            <w:shd w:fill="F4F5F6"/>
            <w:vAlign w:val="center"/>
          </w:tcPr>
          <w:p>
            <w:pPr>
              <w:spacing w:before="0" w:after="0"/>
              <w:jc w:val="right"/>
            </w:pPr>
            <w:r>
              <w:rPr>
                <w:color w:val="202426"/>
                <w:sz w:val="15"/>
              </w:rPr>
              <w:t>2.4 % Gap</w:t>
            </w:r>
          </w:p>
        </w:tc>
        <w:tc>
          <w:tcPr>
            <w:tcW w:type="dxa" w:w="1020"/>
            <w:tcMar>
              <w:top w:w="80" w:type="dxa"/>
              <w:bottom w:w="80" w:type="dxa"/>
              <w:left w:w="80" w:type="dxa"/>
              <w:right w:w="80" w:type="dxa"/>
            </w:tcMar>
            <w:shd w:fill="F4F5F6"/>
            <w:vAlign w:val="center"/>
          </w:tcPr>
          <w:p>
            <w:pPr>
              <w:spacing w:before="0" w:after="0"/>
              <w:jc w:val="right"/>
            </w:pPr>
            <w:r>
              <w:rPr>
                <w:color w:val="202426"/>
                <w:sz w:val="15"/>
              </w:rPr>
              <w:t>9.6</w:t>
            </w:r>
          </w:p>
        </w:tc>
        <w:tc>
          <w:tcPr>
            <w:tcW w:type="dxa" w:w="964"/>
            <w:tcMar>
              <w:top w:w="80" w:type="dxa"/>
              <w:bottom w:w="80" w:type="dxa"/>
              <w:left w:w="80" w:type="dxa"/>
              <w:right w:w="80" w:type="dxa"/>
            </w:tcMar>
            <w:shd w:fill="F4F5F6"/>
            <w:vAlign w:val="center"/>
          </w:tcPr>
          <w:p>
            <w:pPr>
              <w:spacing w:before="0" w:after="0"/>
              <w:jc w:val="right"/>
            </w:pPr>
            <w:r>
              <w:rPr>
                <w:color w:val="202426"/>
                <w:sz w:val="15"/>
              </w:rPr>
              <w:t>10.5</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-0.68</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0.0430</w:t>
            </w:r>
          </w:p>
        </w:tc>
        <w:tc>
          <w:tcPr>
            <w:tcW w:type="dxa" w:w="907"/>
            <w:tcMar>
              <w:top w:w="80" w:type="dxa"/>
              <w:bottom w:w="80" w:type="dxa"/>
              <w:left w:w="80" w:type="dxa"/>
              <w:right w:w="80" w:type="dxa"/>
            </w:tcMar>
            <w:shd w:fill="F4F5F6"/>
            <w:vAlign w:val="center"/>
          </w:tcPr>
          <w:p>
            <w:pPr>
              <w:spacing w:before="0" w:after="0"/>
              <w:jc w:val="center"/>
            </w:pPr>
            <w:r>
              <w:rPr>
                <w:color w:val="202426"/>
                <w:sz w:val="15"/>
              </w:rPr>
              <w:t>1.0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Tidak Melampaui Batas</w:t>
            </w:r>
          </w:p>
        </w:tc>
      </w:tr>
      <w:tr>
        <w:tc>
          <w:tcPr>
            <w:tcW w:type="dxa" w:w="850"/>
            <w:tcMar>
              <w:top w:w="80" w:type="dxa"/>
              <w:bottom w:w="80" w:type="dxa"/>
              <w:left w:w="80" w:type="dxa"/>
              <w:right w:w="80" w:type="dxa"/>
            </w:tcMar>
            <w:shd w:fill="FFFFFF"/>
            <w:vAlign w:val="center"/>
          </w:tcPr>
          <w:p>
            <w:pPr>
              <w:spacing w:before="0" w:after="0"/>
              <w:jc w:val="center"/>
            </w:pPr>
            <w:r>
              <w:rPr>
                <w:color w:val="202426"/>
                <w:sz w:val="15"/>
              </w:rPr>
              <w:t>Pilar Veto</w:t>
            </w:r>
          </w:p>
        </w:tc>
        <w:tc>
          <w:tcPr>
            <w:tcW w:type="dxa" w:w="1814"/>
            <w:tcMar>
              <w:top w:w="80" w:type="dxa"/>
              <w:bottom w:w="80" w:type="dxa"/>
              <w:left w:w="80" w:type="dxa"/>
              <w:right w:w="80" w:type="dxa"/>
            </w:tcMar>
            <w:shd w:fill="FFFFFF"/>
            <w:vAlign w:val="center"/>
          </w:tcPr>
          <w:p>
            <w:pPr>
              <w:spacing w:before="0" w:after="0"/>
              <w:jc w:val="left"/>
            </w:pPr>
            <w:r>
              <w:rPr>
                <w:color w:val="202426"/>
                <w:sz w:val="15"/>
              </w:rPr>
              <w:t>Penerbitan Obral Konsesi WIUP Baru Pasca-2014</w:t>
            </w:r>
          </w:p>
        </w:tc>
        <w:tc>
          <w:tcPr>
            <w:tcW w:type="dxa" w:w="1134"/>
            <w:tcMar>
              <w:top w:w="80" w:type="dxa"/>
              <w:bottom w:w="80" w:type="dxa"/>
              <w:left w:w="80" w:type="dxa"/>
              <w:right w:w="80" w:type="dxa"/>
            </w:tcMar>
            <w:shd w:fill="FFFFFF"/>
            <w:vAlign w:val="center"/>
          </w:tcPr>
          <w:p>
            <w:pPr>
              <w:spacing w:before="0" w:after="0"/>
              <w:jc w:val="right"/>
            </w:pPr>
            <w:r>
              <w:rPr>
                <w:color w:val="202426"/>
                <w:sz w:val="15"/>
              </w:rPr>
              <w:t>260 Izin</w:t>
            </w:r>
          </w:p>
        </w:tc>
        <w:tc>
          <w:tcPr>
            <w:tcW w:type="dxa" w:w="1020"/>
            <w:tcMar>
              <w:top w:w="80" w:type="dxa"/>
              <w:bottom w:w="80" w:type="dxa"/>
              <w:left w:w="80" w:type="dxa"/>
              <w:right w:w="80" w:type="dxa"/>
            </w:tcMar>
            <w:shd w:fill="FFFFFF"/>
            <w:vAlign w:val="center"/>
          </w:tcPr>
          <w:p>
            <w:pPr>
              <w:spacing w:before="0" w:after="0"/>
              <w:jc w:val="right"/>
            </w:pPr>
            <w:r>
              <w:rPr>
                <w:color w:val="202426"/>
                <w:sz w:val="15"/>
              </w:rPr>
              <w:t>95.7</w:t>
            </w:r>
          </w:p>
        </w:tc>
        <w:tc>
          <w:tcPr>
            <w:tcW w:type="dxa" w:w="964"/>
            <w:tcMar>
              <w:top w:w="80" w:type="dxa"/>
              <w:bottom w:w="80" w:type="dxa"/>
              <w:left w:w="80" w:type="dxa"/>
              <w:right w:w="80" w:type="dxa"/>
            </w:tcMar>
            <w:shd w:fill="FFFFFF"/>
            <w:vAlign w:val="center"/>
          </w:tcPr>
          <w:p>
            <w:pPr>
              <w:spacing w:before="0" w:after="0"/>
              <w:jc w:val="right"/>
            </w:pPr>
            <w:r>
              <w:rPr>
                <w:color w:val="202426"/>
                <w:sz w:val="15"/>
              </w:rPr>
              <w:t>100.3</w:t>
            </w:r>
          </w:p>
        </w:tc>
        <w:tc>
          <w:tcPr>
            <w:tcW w:type="dxa" w:w="850"/>
            <w:tcMar>
              <w:top w:w="80" w:type="dxa"/>
              <w:bottom w:w="80" w:type="dxa"/>
              <w:left w:w="80" w:type="dxa"/>
              <w:right w:w="80" w:type="dxa"/>
            </w:tcMar>
            <w:shd w:fill="FFFFFF"/>
            <w:vAlign w:val="center"/>
          </w:tcPr>
          <w:p>
            <w:pPr>
              <w:spacing w:before="0" w:after="0"/>
              <w:jc w:val="center"/>
            </w:pPr>
            <w:r>
              <w:rPr>
                <w:color w:val="202426"/>
                <w:sz w:val="15"/>
              </w:rPr>
              <w:t>+1.64</w:t>
            </w:r>
          </w:p>
        </w:tc>
        <w:tc>
          <w:tcPr>
            <w:tcW w:type="dxa" w:w="850"/>
            <w:tcMar>
              <w:top w:w="80" w:type="dxa"/>
              <w:bottom w:w="80" w:type="dxa"/>
              <w:left w:w="80" w:type="dxa"/>
              <w:right w:w="80" w:type="dxa"/>
            </w:tcMar>
            <w:shd w:fill="FFFFFF"/>
            <w:vAlign w:val="center"/>
          </w:tcPr>
          <w:p>
            <w:pPr>
              <w:spacing w:before="0" w:after="0"/>
              <w:jc w:val="center"/>
            </w:pPr>
            <w:r>
              <w:rPr>
                <w:color w:val="202426"/>
                <w:sz w:val="15"/>
              </w:rPr>
              <w:t>0.0415</w:t>
            </w:r>
          </w:p>
        </w:tc>
        <w:tc>
          <w:tcPr>
            <w:tcW w:type="dxa" w:w="907"/>
            <w:tcMar>
              <w:top w:w="80" w:type="dxa"/>
              <w:bottom w:w="80" w:type="dxa"/>
              <w:left w:w="80" w:type="dxa"/>
              <w:right w:w="80" w:type="dxa"/>
            </w:tcMar>
            <w:shd w:fill="FFFFFF"/>
            <w:vAlign w:val="center"/>
          </w:tcPr>
          <w:p>
            <w:pPr>
              <w:spacing w:before="0" w:after="0"/>
              <w:jc w:val="center"/>
            </w:pPr>
            <w:r>
              <w:rPr>
                <w:color w:val="202426"/>
                <w:sz w:val="15"/>
              </w:rPr>
              <w:t>5.0 / 5</w:t>
            </w:r>
          </w:p>
        </w:tc>
        <w:tc>
          <w:tcPr>
            <w:tcW w:type="dxa" w:w="1247"/>
            <w:tcMar>
              <w:top w:w="80" w:type="dxa"/>
              <w:bottom w:w="80" w:type="dxa"/>
              <w:left w:w="80" w:type="dxa"/>
              <w:right w:w="80" w:type="dxa"/>
            </w:tcMar>
            <w:shd w:fill="FFFFFF"/>
            <w:vAlign w:val="center"/>
          </w:tcPr>
          <w:p>
            <w:pPr>
              <w:spacing w:before="0" w:after="0"/>
              <w:jc w:val="center"/>
            </w:pPr>
            <w:r>
              <w:rPr>
                <w:color w:val="202426"/>
                <w:sz w:val="15"/>
              </w:rPr>
              <w:t>Melampaui Batas</w:t>
            </w:r>
          </w:p>
        </w:tc>
      </w:tr>
      <w:tr>
        <w:tc>
          <w:tcPr>
            <w:tcW w:type="dxa" w:w="850"/>
            <w:tcMar>
              <w:top w:w="80" w:type="dxa"/>
              <w:bottom w:w="80" w:type="dxa"/>
              <w:left w:w="80" w:type="dxa"/>
              <w:right w:w="80" w:type="dxa"/>
            </w:tcMar>
            <w:shd w:fill="F4F5F6"/>
            <w:vAlign w:val="center"/>
          </w:tcPr>
          <w:p>
            <w:pPr>
              <w:spacing w:before="0" w:after="0"/>
              <w:jc w:val="center"/>
            </w:pPr>
            <w:r>
              <w:rPr>
                <w:color w:val="202426"/>
                <w:sz w:val="15"/>
              </w:rPr>
              <w:t>Pilar Veto</w:t>
            </w:r>
          </w:p>
        </w:tc>
        <w:tc>
          <w:tcPr>
            <w:tcW w:type="dxa" w:w="1814"/>
            <w:tcMar>
              <w:top w:w="80" w:type="dxa"/>
              <w:bottom w:w="80" w:type="dxa"/>
              <w:left w:w="80" w:type="dxa"/>
              <w:right w:w="80" w:type="dxa"/>
            </w:tcMar>
            <w:shd w:fill="F4F5F6"/>
            <w:vAlign w:val="center"/>
          </w:tcPr>
          <w:p>
            <w:pPr>
              <w:spacing w:before="0" w:after="0"/>
              <w:jc w:val="left"/>
            </w:pPr>
            <w:r>
              <w:rPr>
                <w:color w:val="202426"/>
                <w:sz w:val="15"/>
              </w:rPr>
              <w:t>Korporat Tambang Pelanggar Hukum Beroperasi Ilegal</w:t>
            </w:r>
          </w:p>
        </w:tc>
        <w:tc>
          <w:tcPr>
            <w:tcW w:type="dxa" w:w="1134"/>
            <w:tcMar>
              <w:top w:w="80" w:type="dxa"/>
              <w:bottom w:w="80" w:type="dxa"/>
              <w:left w:w="80" w:type="dxa"/>
              <w:right w:w="80" w:type="dxa"/>
            </w:tcMar>
            <w:shd w:fill="F4F5F6"/>
            <w:vAlign w:val="center"/>
          </w:tcPr>
          <w:p>
            <w:pPr>
              <w:spacing w:before="0" w:after="0"/>
              <w:jc w:val="right"/>
            </w:pPr>
            <w:r>
              <w:rPr>
                <w:color w:val="202426"/>
                <w:sz w:val="15"/>
              </w:rPr>
              <w:t>3 Korporasi</w:t>
            </w:r>
          </w:p>
        </w:tc>
        <w:tc>
          <w:tcPr>
            <w:tcW w:type="dxa" w:w="1020"/>
            <w:tcMar>
              <w:top w:w="80" w:type="dxa"/>
              <w:bottom w:w="80" w:type="dxa"/>
              <w:left w:w="80" w:type="dxa"/>
              <w:right w:w="80" w:type="dxa"/>
            </w:tcMar>
            <w:shd w:fill="F4F5F6"/>
            <w:vAlign w:val="center"/>
          </w:tcPr>
          <w:p>
            <w:pPr>
              <w:spacing w:before="0" w:after="0"/>
              <w:jc w:val="right"/>
            </w:pPr>
            <w:r>
              <w:rPr>
                <w:color w:val="202426"/>
                <w:sz w:val="15"/>
              </w:rPr>
              <w:t>2.7</w:t>
            </w:r>
          </w:p>
        </w:tc>
        <w:tc>
          <w:tcPr>
            <w:tcW w:type="dxa" w:w="964"/>
            <w:tcMar>
              <w:top w:w="80" w:type="dxa"/>
              <w:bottom w:w="80" w:type="dxa"/>
              <w:left w:w="80" w:type="dxa"/>
              <w:right w:w="80" w:type="dxa"/>
            </w:tcMar>
            <w:shd w:fill="F4F5F6"/>
            <w:vAlign w:val="center"/>
          </w:tcPr>
          <w:p>
            <w:pPr>
              <w:spacing w:before="0" w:after="0"/>
              <w:jc w:val="right"/>
            </w:pPr>
            <w:r>
              <w:rPr>
                <w:color w:val="202426"/>
                <w:sz w:val="15"/>
              </w:rPr>
              <w:t>3.7</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+0.09</w:t>
            </w:r>
          </w:p>
        </w:tc>
        <w:tc>
          <w:tcPr>
            <w:tcW w:type="dxa" w:w="850"/>
            <w:tcMar>
              <w:top w:w="80" w:type="dxa"/>
              <w:bottom w:w="80" w:type="dxa"/>
              <w:left w:w="80" w:type="dxa"/>
              <w:right w:w="80" w:type="dxa"/>
            </w:tcMar>
            <w:shd w:fill="F4F5F6"/>
            <w:vAlign w:val="center"/>
          </w:tcPr>
          <w:p>
            <w:pPr>
              <w:spacing w:before="0" w:after="0"/>
              <w:jc w:val="center"/>
            </w:pPr>
            <w:r>
              <w:rPr>
                <w:color w:val="202426"/>
                <w:sz w:val="15"/>
              </w:rPr>
              <w:t>0.0473</w:t>
            </w:r>
          </w:p>
        </w:tc>
        <w:tc>
          <w:tcPr>
            <w:tcW w:type="dxa" w:w="907"/>
            <w:tcMar>
              <w:top w:w="80" w:type="dxa"/>
              <w:bottom w:w="80" w:type="dxa"/>
              <w:left w:w="80" w:type="dxa"/>
              <w:right w:w="80" w:type="dxa"/>
            </w:tcMar>
            <w:shd w:fill="F4F5F6"/>
            <w:vAlign w:val="center"/>
          </w:tcPr>
          <w:p>
            <w:pPr>
              <w:spacing w:before="0" w:after="0"/>
              <w:jc w:val="center"/>
            </w:pPr>
            <w:r>
              <w:rPr>
                <w:color w:val="202426"/>
                <w:sz w:val="15"/>
              </w:rPr>
              <w:t>3.0 / 5</w:t>
            </w:r>
          </w:p>
        </w:tc>
        <w:tc>
          <w:tcPr>
            <w:tcW w:type="dxa" w:w="1247"/>
            <w:tcMar>
              <w:top w:w="80" w:type="dxa"/>
              <w:bottom w:w="80" w:type="dxa"/>
              <w:left w:w="80" w:type="dxa"/>
              <w:right w:w="80" w:type="dxa"/>
            </w:tcMar>
            <w:shd w:fill="F4F5F6"/>
            <w:vAlign w:val="center"/>
          </w:tcPr>
          <w:p>
            <w:pPr>
              <w:spacing w:before="0" w:after="0"/>
              <w:jc w:val="center"/>
            </w:pPr>
            <w:r>
              <w:rPr>
                <w:color w:val="202426"/>
                <w:sz w:val="15"/>
              </w:rPr>
              <w:t>Mendekati Batas</w:t>
            </w:r>
          </w:p>
        </w:tc>
      </w:tr>
    </w:tbl>
    <w:p>
      <w:pPr>
        <w:spacing w:before="0" w:after="120"/>
      </w:pPr>
    </w:p>
    <w:p>
      <w:pPr>
        <w:keepNext/>
        <w:spacing w:before="160" w:after="60"/>
      </w:pPr>
      <w:r>
        <w:rPr>
          <w:b/>
          <w:i/>
          <w:color w:val="143642"/>
          <w:sz w:val="17"/>
        </w:rPr>
        <w:t>Tabel 6.13: Rekapitulasi Skor 5 Pilar &amp; Status Ekologis Komposit Provinsi Sulawesi Tengah</w:t>
      </w:r>
    </w:p>
    <w:tbl>
      <w:tblPr>
        <w:tblW w:type="auto" w:w="0"/>
        <w:jc w:val="center"/>
        <w:tblLook w:firstColumn="1" w:firstRow="1" w:lastColumn="0" w:lastRow="0" w:noHBand="0" w:noVBand="1" w:val="04A0"/>
        <w:tblBorders>
          <w:top w:val="single" w:sz="6" w:space="0" w:color="D3D3D3"/>
          <w:bottom w:val="single" w:sz="8" w:space="0" w:color="143642"/>
          <w:insideH w:val="single" w:sz="4" w:space="0" w:color="D3D3D3"/>
          <w:insideV w:val="none"/>
          <w:left w:val="none"/>
          <w:right w:val="none"/>
        </w:tblBorders>
      </w:tblPr>
      <w:tblGrid>
        <w:gridCol w:w="1928"/>
        <w:gridCol w:w="1928"/>
        <w:gridCol w:w="1928"/>
        <w:gridCol w:w="1928"/>
        <w:gridCol w:w="1928"/>
      </w:tblGrid>
      <w:tr>
        <w:trPr>
          <w:tblHeader/>
        </w:trPr>
        <w:tc>
          <w:tcPr>
            <w:tcW w:type="dxa" w:w="1417"/>
            <w:tcMar>
              <w:top w:w="100" w:type="dxa"/>
              <w:bottom w:w="100" w:type="dxa"/>
              <w:left w:w="100" w:type="dxa"/>
              <w:right w:w="100" w:type="dxa"/>
            </w:tcMar>
            <w:shd w:fill="143642"/>
            <w:vAlign w:val="center"/>
          </w:tcPr>
          <w:p>
            <w:pPr>
              <w:spacing w:before="0" w:after="0"/>
              <w:jc w:val="center"/>
            </w:pPr>
            <w:r>
              <w:rPr>
                <w:b/>
                <w:color w:val="FFFFFF"/>
                <w:sz w:val="16"/>
              </w:rPr>
              <w:t>Pilar / Dimensi</w:t>
            </w:r>
          </w:p>
        </w:tc>
        <w:tc>
          <w:tcPr>
            <w:tcW w:type="dxa" w:w="2551"/>
            <w:tcMar>
              <w:top w:w="100" w:type="dxa"/>
              <w:bottom w:w="100" w:type="dxa"/>
              <w:left w:w="100" w:type="dxa"/>
              <w:right w:w="100" w:type="dxa"/>
            </w:tcMar>
            <w:shd w:fill="143642"/>
            <w:vAlign w:val="center"/>
          </w:tcPr>
          <w:p>
            <w:pPr>
              <w:spacing w:before="0" w:after="0"/>
              <w:jc w:val="center"/>
            </w:pPr>
            <w:r>
              <w:rPr>
                <w:b/>
                <w:color w:val="FFFFFF"/>
                <w:sz w:val="16"/>
              </w:rPr>
              <w:t>Cakupan Indikator Kunci</w:t>
            </w:r>
          </w:p>
        </w:tc>
        <w:tc>
          <w:tcPr>
            <w:tcW w:type="dxa" w:w="1247"/>
            <w:tcMar>
              <w:top w:w="100" w:type="dxa"/>
              <w:bottom w:w="100" w:type="dxa"/>
              <w:left w:w="100" w:type="dxa"/>
              <w:right w:w="100" w:type="dxa"/>
            </w:tcMar>
            <w:shd w:fill="143642"/>
            <w:vAlign w:val="center"/>
          </w:tcPr>
          <w:p>
            <w:pPr>
              <w:spacing w:before="0" w:after="0"/>
              <w:jc w:val="center"/>
            </w:pPr>
            <w:r>
              <w:rPr>
                <w:b/>
                <w:color w:val="FFFFFF"/>
                <w:sz w:val="16"/>
              </w:rPr>
              <w:t>Skor Likert Pilar (0-5)</w:t>
            </w:r>
          </w:p>
        </w:tc>
        <w:tc>
          <w:tcPr>
            <w:tcW w:type="dxa" w:w="1587"/>
            <w:tcMar>
              <w:top w:w="100" w:type="dxa"/>
              <w:bottom w:w="100" w:type="dxa"/>
              <w:left w:w="100" w:type="dxa"/>
              <w:right w:w="100" w:type="dxa"/>
            </w:tcMar>
            <w:shd w:fill="143642"/>
            <w:vAlign w:val="center"/>
          </w:tcPr>
          <w:p>
            <w:pPr>
              <w:spacing w:before="0" w:after="0"/>
              <w:jc w:val="center"/>
            </w:pPr>
            <w:r>
              <w:rPr>
                <w:b/>
                <w:color w:val="FFFFFF"/>
                <w:sz w:val="16"/>
              </w:rPr>
              <w:t>Status Ekologis</w:t>
            </w:r>
          </w:p>
        </w:tc>
        <w:tc>
          <w:tcPr>
            <w:tcW w:type="dxa" w:w="2835"/>
            <w:tcMar>
              <w:top w:w="100" w:type="dxa"/>
              <w:bottom w:w="100" w:type="dxa"/>
              <w:left w:w="100" w:type="dxa"/>
              <w:right w:w="100" w:type="dxa"/>
            </w:tcMar>
            <w:shd w:fill="143642"/>
            <w:vAlign w:val="center"/>
          </w:tcPr>
          <w:p>
            <w:pPr>
              <w:spacing w:before="0" w:after="0"/>
              <w:jc w:val="center"/>
            </w:pPr>
            <w:r>
              <w:rPr>
                <w:b/>
                <w:color w:val="FFFFFF"/>
                <w:sz w:val="16"/>
              </w:rPr>
              <w:t>Interpretasi Temuan Lapangan Sulteng</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1: Udara</w:t>
            </w:r>
          </w:p>
        </w:tc>
        <w:tc>
          <w:tcPr>
            <w:tcW w:type="dxa" w:w="2551"/>
            <w:tcMar>
              <w:top w:w="80" w:type="dxa"/>
              <w:bottom w:w="80" w:type="dxa"/>
              <w:left w:w="80" w:type="dxa"/>
              <w:right w:w="80" w:type="dxa"/>
            </w:tcMar>
            <w:shd w:fill="FFFFFF"/>
            <w:vAlign w:val="center"/>
          </w:tcPr>
          <w:p>
            <w:pPr>
              <w:spacing w:before="0" w:after="0"/>
              <w:jc w:val="left"/>
            </w:pPr>
            <w:r>
              <w:rPr>
                <w:color w:val="202426"/>
                <w:sz w:val="16"/>
              </w:rPr>
              <w:t>PLTU (7.325 MW), NO2 (6.5e-6), ISPA (3.5x), B3 (25.3 Jt Ton), CO2 (291 Jt Ton)</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4.9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Episentrum PLTU Captive Terbesar &amp; Konsentrasi B3</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2: Air</w:t>
            </w:r>
          </w:p>
        </w:tc>
        <w:tc>
          <w:tcPr>
            <w:tcW w:type="dxa" w:w="2551"/>
            <w:tcMar>
              <w:top w:w="80" w:type="dxa"/>
              <w:bottom w:w="80" w:type="dxa"/>
              <w:left w:w="80" w:type="dxa"/>
              <w:right w:w="80" w:type="dxa"/>
            </w:tcMar>
            <w:shd w:fill="F4F5F6"/>
            <w:vAlign w:val="center"/>
          </w:tcPr>
          <w:p>
            <w:pPr>
              <w:spacing w:before="0" w:after="0"/>
              <w:jc w:val="left"/>
            </w:pPr>
            <w:r>
              <w:rPr>
                <w:color w:val="202426"/>
                <w:sz w:val="16"/>
              </w:rPr>
              <w:t>IKA (62.07), Diare (1.52x), Tailing (24.5 Jt Ton), Logam Cr6+</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3.3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Mendekati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Beban Tailing Raksasa &amp; Morbiditas Pencernaan Tinggi</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3: Lahan</w:t>
            </w:r>
          </w:p>
        </w:tc>
        <w:tc>
          <w:tcPr>
            <w:tcW w:type="dxa" w:w="2551"/>
            <w:tcMar>
              <w:top w:w="80" w:type="dxa"/>
              <w:bottom w:w="80" w:type="dxa"/>
              <w:left w:w="80" w:type="dxa"/>
              <w:right w:w="80" w:type="dxa"/>
            </w:tcMar>
            <w:shd w:fill="FFFFFF"/>
            <w:vAlign w:val="center"/>
          </w:tcPr>
          <w:p>
            <w:pPr>
              <w:spacing w:before="0" w:after="0"/>
              <w:jc w:val="left"/>
            </w:pPr>
            <w:r>
              <w:rPr>
                <w:color w:val="202426"/>
                <w:sz w:val="16"/>
              </w:rPr>
              <w:t>Bencana (458), Deforestasi (481k Ha), Lindung (19.8k Ha), Driver (383k Ha)</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4.7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Deforestasi Primer Masif &amp; Perambahan Hutan Lindung</w:t>
            </w:r>
          </w:p>
        </w:tc>
      </w:tr>
      <w:tr>
        <w:tc>
          <w:tcPr>
            <w:tcW w:type="dxa" w:w="1417"/>
            <w:tcMar>
              <w:top w:w="80" w:type="dxa"/>
              <w:bottom w:w="80" w:type="dxa"/>
              <w:left w:w="80" w:type="dxa"/>
              <w:right w:w="80" w:type="dxa"/>
            </w:tcMar>
            <w:shd w:fill="F4F5F6"/>
            <w:vAlign w:val="center"/>
          </w:tcPr>
          <w:p>
            <w:pPr>
              <w:spacing w:before="0" w:after="0"/>
              <w:jc w:val="center"/>
            </w:pPr>
            <w:r>
              <w:rPr>
                <w:color w:val="202426"/>
                <w:sz w:val="16"/>
              </w:rPr>
              <w:t>Pilar 4: Sosial</w:t>
            </w:r>
          </w:p>
        </w:tc>
        <w:tc>
          <w:tcPr>
            <w:tcW w:type="dxa" w:w="2551"/>
            <w:tcMar>
              <w:top w:w="80" w:type="dxa"/>
              <w:bottom w:w="80" w:type="dxa"/>
              <w:left w:w="80" w:type="dxa"/>
              <w:right w:w="80" w:type="dxa"/>
            </w:tcMar>
            <w:shd w:fill="F4F5F6"/>
            <w:vAlign w:val="center"/>
          </w:tcPr>
          <w:p>
            <w:pPr>
              <w:spacing w:before="0" w:after="0"/>
              <w:jc w:val="left"/>
            </w:pPr>
            <w:r>
              <w:rPr>
                <w:color w:val="202426"/>
                <w:sz w:val="16"/>
              </w:rPr>
              <w:t>FPIC (1 Kasus), Korban (12.231 Jiwa), Kriminalisasi (6 Insiden), Defisit SPA</w:t>
            </w:r>
          </w:p>
        </w:tc>
        <w:tc>
          <w:tcPr>
            <w:tcW w:type="dxa" w:w="1247"/>
            <w:tcMar>
              <w:top w:w="80" w:type="dxa"/>
              <w:bottom w:w="80" w:type="dxa"/>
              <w:left w:w="80" w:type="dxa"/>
              <w:right w:w="80" w:type="dxa"/>
            </w:tcMar>
            <w:shd w:fill="F4F5F6"/>
            <w:vAlign w:val="center"/>
          </w:tcPr>
          <w:p>
            <w:pPr>
              <w:spacing w:before="0" w:after="0"/>
              <w:jc w:val="center"/>
            </w:pPr>
            <w:r>
              <w:rPr>
                <w:color w:val="202426"/>
                <w:sz w:val="16"/>
              </w:rPr>
              <w:t>2.5 / 5</w:t>
            </w:r>
          </w:p>
        </w:tc>
        <w:tc>
          <w:tcPr>
            <w:tcW w:type="dxa" w:w="1587"/>
            <w:tcMar>
              <w:top w:w="80" w:type="dxa"/>
              <w:bottom w:w="80" w:type="dxa"/>
              <w:left w:w="80" w:type="dxa"/>
              <w:right w:w="80" w:type="dxa"/>
            </w:tcMar>
            <w:shd w:fill="F4F5F6"/>
            <w:vAlign w:val="center"/>
          </w:tcPr>
          <w:p>
            <w:pPr>
              <w:spacing w:before="0" w:after="0"/>
              <w:jc w:val="center"/>
            </w:pPr>
            <w:r>
              <w:rPr>
                <w:color w:val="202426"/>
                <w:sz w:val="16"/>
              </w:rPr>
              <w:t>Tidak Melampaui Batas</w:t>
            </w:r>
          </w:p>
        </w:tc>
        <w:tc>
          <w:tcPr>
            <w:tcW w:type="dxa" w:w="2835"/>
            <w:tcMar>
              <w:top w:w="80" w:type="dxa"/>
              <w:bottom w:w="80" w:type="dxa"/>
              <w:left w:w="80" w:type="dxa"/>
              <w:right w:w="80" w:type="dxa"/>
            </w:tcMar>
            <w:shd w:fill="F4F5F6"/>
            <w:vAlign w:val="center"/>
          </w:tcPr>
          <w:p>
            <w:pPr>
              <w:spacing w:before="0" w:after="0"/>
              <w:jc w:val="left"/>
            </w:pPr>
            <w:r>
              <w:rPr>
                <w:color w:val="202426"/>
                <w:sz w:val="16"/>
              </w:rPr>
              <w:t>Kriminalisasi Warga Pembela HAM &amp; Defisit Sarana Kesehatan</w:t>
            </w:r>
          </w:p>
        </w:tc>
      </w:tr>
      <w:tr>
        <w:tc>
          <w:tcPr>
            <w:tcW w:type="dxa" w:w="1417"/>
            <w:tcMar>
              <w:top w:w="80" w:type="dxa"/>
              <w:bottom w:w="80" w:type="dxa"/>
              <w:left w:w="80" w:type="dxa"/>
              <w:right w:w="80" w:type="dxa"/>
            </w:tcMar>
            <w:shd w:fill="FFFFFF"/>
            <w:vAlign w:val="center"/>
          </w:tcPr>
          <w:p>
            <w:pPr>
              <w:spacing w:before="0" w:after="0"/>
              <w:jc w:val="center"/>
            </w:pPr>
            <w:r>
              <w:rPr>
                <w:color w:val="202426"/>
                <w:sz w:val="16"/>
              </w:rPr>
              <w:t>Pilar 5: Veto</w:t>
            </w:r>
          </w:p>
        </w:tc>
        <w:tc>
          <w:tcPr>
            <w:tcW w:type="dxa" w:w="2551"/>
            <w:tcMar>
              <w:top w:w="80" w:type="dxa"/>
              <w:bottom w:w="80" w:type="dxa"/>
              <w:left w:w="80" w:type="dxa"/>
              <w:right w:w="80" w:type="dxa"/>
            </w:tcMar>
            <w:shd w:fill="FFFFFF"/>
            <w:vAlign w:val="center"/>
          </w:tcPr>
          <w:p>
            <w:pPr>
              <w:spacing w:before="0" w:after="0"/>
              <w:jc w:val="left"/>
            </w:pPr>
            <w:r>
              <w:rPr>
                <w:color w:val="202426"/>
                <w:sz w:val="16"/>
              </w:rPr>
              <w:t>Obral Izin (260 IUP Baru), Korporat Ilegal (3 Perusahaan), PLTU Ekspansi</w:t>
            </w:r>
          </w:p>
        </w:tc>
        <w:tc>
          <w:tcPr>
            <w:tcW w:type="dxa" w:w="1247"/>
            <w:tcMar>
              <w:top w:w="80" w:type="dxa"/>
              <w:bottom w:w="80" w:type="dxa"/>
              <w:left w:w="80" w:type="dxa"/>
              <w:right w:w="80" w:type="dxa"/>
            </w:tcMar>
            <w:shd w:fill="FFFFFF"/>
            <w:vAlign w:val="center"/>
          </w:tcPr>
          <w:p>
            <w:pPr>
              <w:spacing w:before="0" w:after="0"/>
              <w:jc w:val="center"/>
            </w:pPr>
            <w:r>
              <w:rPr>
                <w:color w:val="202426"/>
                <w:sz w:val="16"/>
              </w:rPr>
              <w:t>4.4 / 5</w:t>
            </w:r>
          </w:p>
        </w:tc>
        <w:tc>
          <w:tcPr>
            <w:tcW w:type="dxa" w:w="1587"/>
            <w:tcMar>
              <w:top w:w="80" w:type="dxa"/>
              <w:bottom w:w="80" w:type="dxa"/>
              <w:left w:w="80" w:type="dxa"/>
              <w:right w:w="80" w:type="dxa"/>
            </w:tcMar>
            <w:shd w:fill="FFFFFF"/>
            <w:vAlign w:val="center"/>
          </w:tcPr>
          <w:p>
            <w:pPr>
              <w:spacing w:before="0" w:after="0"/>
              <w:jc w:val="center"/>
            </w:pPr>
            <w:r>
              <w:rPr>
                <w:color w:val="202426"/>
                <w:sz w:val="16"/>
              </w:rPr>
              <w:t>Melampaui Batas</w:t>
            </w:r>
          </w:p>
        </w:tc>
        <w:tc>
          <w:tcPr>
            <w:tcW w:type="dxa" w:w="2835"/>
            <w:tcMar>
              <w:top w:w="80" w:type="dxa"/>
              <w:bottom w:w="80" w:type="dxa"/>
              <w:left w:w="80" w:type="dxa"/>
              <w:right w:w="80" w:type="dxa"/>
            </w:tcMar>
            <w:shd w:fill="FFFFFF"/>
            <w:vAlign w:val="center"/>
          </w:tcPr>
          <w:p>
            <w:pPr>
              <w:spacing w:before="0" w:after="0"/>
              <w:jc w:val="left"/>
            </w:pPr>
            <w:r>
              <w:rPr>
                <w:color w:val="202426"/>
                <w:sz w:val="16"/>
              </w:rPr>
              <w:t>Kegagalan Pengendalian Izin &amp; Impunitas Pelanggaran</w:t>
            </w:r>
          </w:p>
        </w:tc>
      </w:tr>
      <w:tr>
        <w:tc>
          <w:tcPr>
            <w:tcW w:type="dxa" w:w="1417"/>
            <w:tcMar>
              <w:top w:w="80" w:type="dxa"/>
              <w:bottom w:w="80" w:type="dxa"/>
              <w:left w:w="80" w:type="dxa"/>
              <w:right w:w="80" w:type="dxa"/>
            </w:tcMar>
            <w:shd w:fill="E6ECF0"/>
            <w:vAlign w:val="center"/>
          </w:tcPr>
          <w:p>
            <w:pPr>
              <w:spacing w:before="0" w:after="0"/>
              <w:jc w:val="center"/>
            </w:pPr>
            <w:r>
              <w:rPr>
                <w:b/>
                <w:color w:val="202426"/>
                <w:sz w:val="16"/>
              </w:rPr>
              <w:t>SKOR KOMPOSIT SULTENG</w:t>
            </w:r>
          </w:p>
        </w:tc>
        <w:tc>
          <w:tcPr>
            <w:tcW w:type="dxa" w:w="2551"/>
            <w:tcMar>
              <w:top w:w="80" w:type="dxa"/>
              <w:bottom w:w="80" w:type="dxa"/>
              <w:left w:w="80" w:type="dxa"/>
              <w:right w:w="80" w:type="dxa"/>
            </w:tcMar>
            <w:shd w:fill="E6ECF0"/>
            <w:vAlign w:val="center"/>
          </w:tcPr>
          <w:p>
            <w:pPr>
              <w:spacing w:before="0" w:after="0"/>
              <w:jc w:val="left"/>
            </w:pPr>
            <w:r>
              <w:rPr>
                <w:b/>
                <w:color w:val="202426"/>
                <w:sz w:val="16"/>
              </w:rPr>
              <w:t>Agregasi 5 Pilar EWM Weighted Average (Z-Score Standardization)</w:t>
            </w:r>
          </w:p>
        </w:tc>
        <w:tc>
          <w:tcPr>
            <w:tcW w:type="dxa" w:w="1247"/>
            <w:tcMar>
              <w:top w:w="80" w:type="dxa"/>
              <w:bottom w:w="80" w:type="dxa"/>
              <w:left w:w="80" w:type="dxa"/>
              <w:right w:w="80" w:type="dxa"/>
            </w:tcMar>
            <w:shd w:fill="E6ECF0"/>
            <w:vAlign w:val="center"/>
          </w:tcPr>
          <w:p>
            <w:pPr>
              <w:spacing w:before="0" w:after="0"/>
              <w:jc w:val="center"/>
            </w:pPr>
            <w:r>
              <w:rPr>
                <w:b/>
                <w:color w:val="202426"/>
                <w:sz w:val="16"/>
              </w:rPr>
              <w:t>4.0 / 5</w:t>
            </w:r>
          </w:p>
        </w:tc>
        <w:tc>
          <w:tcPr>
            <w:tcW w:type="dxa" w:w="1587"/>
            <w:tcMar>
              <w:top w:w="80" w:type="dxa"/>
              <w:bottom w:w="80" w:type="dxa"/>
              <w:left w:w="80" w:type="dxa"/>
              <w:right w:w="80" w:type="dxa"/>
            </w:tcMar>
            <w:shd w:fill="E6ECF0"/>
            <w:vAlign w:val="center"/>
          </w:tcPr>
          <w:p>
            <w:pPr>
              <w:spacing w:before="0" w:after="0"/>
              <w:jc w:val="center"/>
            </w:pPr>
            <w:r>
              <w:rPr>
                <w:b/>
                <w:color w:val="202426"/>
                <w:sz w:val="16"/>
              </w:rPr>
              <w:t>Melampaui Batas</w:t>
            </w:r>
          </w:p>
        </w:tc>
        <w:tc>
          <w:tcPr>
            <w:tcW w:type="dxa" w:w="2835"/>
            <w:tcMar>
              <w:top w:w="80" w:type="dxa"/>
              <w:bottom w:w="80" w:type="dxa"/>
              <w:left w:w="80" w:type="dxa"/>
              <w:right w:w="80" w:type="dxa"/>
            </w:tcMar>
            <w:shd w:fill="E6ECF0"/>
            <w:vAlign w:val="center"/>
          </w:tcPr>
          <w:p>
            <w:pPr>
              <w:spacing w:before="0" w:after="0"/>
              <w:jc w:val="left"/>
            </w:pPr>
            <w:r>
              <w:rPr>
                <w:b/>
                <w:color w:val="202426"/>
                <w:sz w:val="16"/>
              </w:rPr>
              <w:t>STATUS RED ALERT: DARURAT DAYA DUKUNG LINGKUNGAN</w:t>
            </w:r>
          </w:p>
        </w:tc>
      </w:tr>
    </w:tbl>
    <w:p>
      <w:pPr>
        <w:spacing w:before="0" w:after="120"/>
      </w:pPr>
    </w:p>
    <w:p>
      <w:pPr>
        <w:keepNext/>
        <w:spacing w:before="160" w:after="60"/>
      </w:pPr>
      <w:r>
        <w:rPr>
          <w:b/>
          <w:color w:val="143642"/>
          <w:sz w:val="19"/>
        </w:rPr>
        <w:t>E. Analisis Temuan Empiris</w:t>
      </w:r>
    </w:p>
    <w:p>
      <w:pPr>
        <w:spacing w:before="0" w:after="100" w:line="276" w:lineRule="auto"/>
      </w:pPr>
      <w:r>
        <w:rPr>
          <w:b/>
          <w:i w:val="0"/>
          <w:color w:val="202426"/>
          <w:sz w:val="18"/>
        </w:rPr>
        <w:t xml:space="preserve">1. </w:t>
      </w:r>
      <w:r>
        <w:rPr>
          <w:b/>
          <w:i w:val="0"/>
          <w:color w:val="202426"/>
          <w:sz w:val="18"/>
        </w:rPr>
        <w:t xml:space="preserve">Daya Tampung Udara (Skor 4.9 / 5 — Melampaui Batas): </w:t>
      </w:r>
      <w:r>
        <w:rPr>
          <w:b w:val="0"/>
          <w:i w:val="0"/>
          <w:color w:val="202426"/>
          <w:sz w:val="18"/>
        </w:rPr>
        <w:t>Sulawesi Tengah memikul beban polusi udara paling parah se-Sulawesi. Kapasitas PLTU captive batubara mencapai 7.325,0 MW (Z = +1.97σ), timbulan limbah B3 menyentuh 25,30 Juta Ton (Z = +1.97σ), emisi karbon 291,34 Juta Ton CO2e (Z = +1.67σ), dan rasio anomali ISPA mencapai 3,50x lipat (Z = +1.66σ). Keempat indikator ini berada pada status outlier ekstrem Likert 5.0.</w:t>
        <w:br/>
      </w:r>
      <w:r>
        <w:rPr>
          <w:b/>
          <w:i w:val="0"/>
          <w:color w:val="202426"/>
          <w:sz w:val="18"/>
        </w:rPr>
        <w:t xml:space="preserve">2. </w:t>
      </w:r>
      <w:r>
        <w:rPr>
          <w:b/>
          <w:i w:val="0"/>
          <w:color w:val="202426"/>
          <w:sz w:val="18"/>
        </w:rPr>
        <w:t xml:space="preserve">Daya Tampung Air (Skor 3.3 / 5 — Mendekati Batas): </w:t>
      </w:r>
      <w:r>
        <w:rPr>
          <w:b w:val="0"/>
          <w:i w:val="0"/>
          <w:color w:val="202426"/>
          <w:sz w:val="18"/>
        </w:rPr>
        <w:t>Meskipun rerata IKA bernilai 62,07, tekanan limbah padat dan tailing tambang nikel mencapai 24,50 Juta Ton/Tahun (Z = +1.97σ) serta memicu lonjakan morbiditas diare sebesar 1,52x lipat dibanding populasi kontrol (Z = +1.34σ, Likert 5.0).</w:t>
        <w:br/>
      </w:r>
      <w:r>
        <w:rPr>
          <w:b/>
          <w:i w:val="0"/>
          <w:color w:val="202426"/>
          <w:sz w:val="18"/>
        </w:rPr>
        <w:t xml:space="preserve">3. </w:t>
      </w:r>
      <w:r>
        <w:rPr>
          <w:b/>
          <w:i w:val="0"/>
          <w:color w:val="202426"/>
          <w:sz w:val="18"/>
        </w:rPr>
        <w:t xml:space="preserve">Daya Dukung Lahan (Skor 4.7 / 5 — Melampaui Batas): </w:t>
      </w:r>
      <w:r>
        <w:rPr>
          <w:b w:val="0"/>
          <w:i w:val="0"/>
          <w:color w:val="202426"/>
          <w:sz w:val="18"/>
        </w:rPr>
        <w:t>Sulawesi Tengah mengalami kehancuran lanskap daratan terberat dengan total deforestasi primer 481.908 Ha (Z = +1.57σ), perambahan 19.804 Ha di kawasan hutan lindung (Z = +1.89σ), 383.304 Ha deforestasi pendorong tambang/sawit (Z = +1.69σ), serta 458 kejadian bencana banjir dan longsor (Z = +0.77σ).</w:t>
        <w:br/>
      </w:r>
      <w:r>
        <w:rPr>
          <w:b/>
          <w:i w:val="0"/>
          <w:color w:val="202426"/>
          <w:sz w:val="18"/>
        </w:rPr>
        <w:t xml:space="preserve">4. </w:t>
      </w:r>
      <w:r>
        <w:rPr>
          <w:b/>
          <w:i w:val="0"/>
          <w:color w:val="202426"/>
          <w:sz w:val="18"/>
        </w:rPr>
        <w:t xml:space="preserve">Daya Dukung Sosial (Skor 2.5 / 5 — Tidak Melampaui Batas): </w:t>
      </w:r>
      <w:r>
        <w:rPr>
          <w:b w:val="0"/>
          <w:i w:val="0"/>
          <w:color w:val="202426"/>
          <w:sz w:val="18"/>
        </w:rPr>
        <w:t>Walaupun persentase kesiapan SPA Puskesmas relatif tinggi (77,57% atau gap 2,43%), tercatat 12.231 jiwa masyarakat adat dan petani terancam kehilangan ruang hidup, serta terjadi 6 insiden kriminalisasi warga dan aktivis lingkungan hidup (Z = +0.71σ, Likert 4.0).</w:t>
        <w:br/>
      </w:r>
      <w:r>
        <w:rPr>
          <w:b/>
          <w:i w:val="0"/>
          <w:color w:val="202426"/>
          <w:sz w:val="18"/>
        </w:rPr>
        <w:t xml:space="preserve">5. </w:t>
      </w:r>
      <w:r>
        <w:rPr>
          <w:b/>
          <w:i w:val="0"/>
          <w:color w:val="202426"/>
          <w:sz w:val="18"/>
        </w:rPr>
        <w:t xml:space="preserve">Veto Kebijakan (Skor 4.4 / 5 — Melampaui Batas): </w:t>
      </w:r>
      <w:r>
        <w:rPr>
          <w:b w:val="0"/>
          <w:i w:val="0"/>
          <w:color w:val="202426"/>
          <w:sz w:val="18"/>
        </w:rPr>
        <w:t>Terjadi kegagalan pengendalian perizinan fatal dengan diterbitkannya 260 IUP baru pasca-2014 (Z = +1.64σ, Likert 5.0) dan pembiaran 3 korporasi besar beroperasi tanpa izin yang sah di kawasan hutan.</w:t>
        <w:br/>
      </w:r>
      <w:r>
        <w:rPr>
          <w:b/>
          <w:i w:val="0"/>
          <w:color w:val="202426"/>
          <w:sz w:val="18"/>
        </w:rPr>
        <w:t xml:space="preserve">6. </w:t>
      </w:r>
      <w:r>
        <w:rPr>
          <w:b/>
          <w:i w:val="0"/>
          <w:color w:val="202426"/>
          <w:sz w:val="18"/>
        </w:rPr>
        <w:t xml:space="preserve">Vonis Komposit Sulawesi Tengah (Skor 4.0 / 5.0 — Melampaui Batas): </w:t>
      </w:r>
      <w:r>
        <w:rPr>
          <w:b w:val="0"/>
          <w:i w:val="0"/>
          <w:color w:val="202426"/>
          <w:sz w:val="18"/>
        </w:rPr>
        <w:t>Secara agregat, Sulawesi Tengah memperoleh Skor Komposit 4.0 / 5.0 (Ekuivalen WSM 7.92 / 10.0) dengan status MELAMPAUI BATAS (RED ALERT). Fakta ini mengonfirmasi secara ilmiah bahwa daya dukung dan daya tampung lingkungan hidup di Sulawesi Tengah telah mengalami keruntuhan sistemik akibat hilirisasi nikel yang tidak terkendali.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