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Sum(Luas_Konsesi_i) for i in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Pengklasifikasian Kategori Data (Binning Threshold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keseluruhan observasi panel (N=60).</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Frekuensi_Observasi: </w:t>
      </w:r>
      <w:r>
        <w:rPr>
          <w:b w:val="0"/>
          <w:i w:val="0"/>
          <w:color w:val="444444"/>
          <w:sz w:val="16"/>
        </w:rPr>
        <w:t>Jumlah aktual pada sel tabel kontinjensi 2x2.</w:t>
        <w:br/>
      </w:r>
      <w:r>
        <w:rPr>
          <w:b/>
          <w:i w:val="0"/>
          <w:color w:val="1B5E20"/>
          <w:sz w:val="16"/>
        </w:rPr>
        <w:t xml:space="preserve">• Frekuensi_Harapan: </w:t>
      </w:r>
      <w:r>
        <w:rPr>
          <w:b w:val="0"/>
          <w:i w:val="0"/>
          <w:color w:val="444444"/>
          <w:sz w:val="16"/>
        </w:rPr>
        <w:t>Jumlah teoretis jika kedua variabel saling independen.</w:t>
      </w:r>
    </w:p>
    <w:p>
      <w:pPr>
        <w:spacing w:before="120" w:after="20"/>
      </w:pPr>
      <w:r>
        <w:rPr>
          <w:b/>
          <w:i/>
          <w:color w:val="2E7D32"/>
          <w:sz w:val="17"/>
        </w:rPr>
        <w:t>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Sum(Area_Loss_i) for i in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Sum(Area_Loss_j) for j where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Sum(Area_Loss_c * Faktor_Emisi_Biomassa_c)</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Investasi PMDN keseluruhan observasi panel (N=48).</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(Ha) di Daerah Sentra Tambang vs Non-Sentra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Sentra Tambang (Ha)</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Non-Sentra (Ha)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58,268.1</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16,418.2</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(N=48)</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0.1530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0.0662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Pengantar &amp; Kerangka Narasi</w:t>
      </w:r>
    </w:p>
    <w:p>
      <w:pPr>
        <w:spacing w:after="100"/>
        <w:jc w:val="both"/>
      </w:pPr>
      <w:r>
        <w:rPr>
          <w:b w:val="0"/>
          <w:i w:val="0"/>
          <w:color w:val="222222"/>
          <w:sz w:val="19"/>
        </w:rPr>
        <w:t xml:space="preserve">Metode analisis pada tahapan ini difokuskan pada </w:t>
      </w:r>
      <w:r>
        <w:rPr>
          <w:b/>
          <w:i w:val="0"/>
          <w:color w:val="222222"/>
          <w:sz w:val="19"/>
        </w:rPr>
        <w:t>Pemetaan Kausalitas (Spasial)</w:t>
      </w:r>
      <w:r>
        <w:rPr>
          <w:b w:val="0"/>
          <w:i w:val="0"/>
          <w:color w:val="222222"/>
          <w:sz w:val="19"/>
        </w:rPr>
        <w:t xml:space="preserve"> untuk membedah asimetri penguasaan ruang antara wilayah hulu (origin: sumber ekstraksi di Sulawesi) dan hilir (destination: pusat industrialisasi luar negeri). Garis diplot menggunakan rute pelayaran untuk merepresentasikan jarak tempuh aktual kapal logistik di permukaan bumi.</w:t>
      </w:r>
    </w:p>
    <w:p>
      <w:pPr>
        <w:spacing w:before="160" w:after="40"/>
      </w:pPr>
      <w:r>
        <w:rPr>
          <w:b/>
          <w:i w:val="0"/>
          <w:color w:val="2E7D32"/>
          <w:sz w:val="19"/>
        </w:rPr>
        <w:t>B. Alur Logika Metodologis (Flowchart Analisis Spasial)</w:t>
      </w:r>
    </w:p>
    <w:p>
      <w:pPr>
        <w:spacing w:after="100"/>
        <w:jc w:val="both"/>
      </w:pPr>
      <w:r>
        <w:rPr>
          <w:b w:val="0"/>
          <w:i w:val="0"/>
          <w:color w:val="222222"/>
          <w:sz w:val="19"/>
        </w:rPr>
        <w:t xml:space="preserve">Rangkaian proses ekstraksi koordinat hingga visualisasi spasial menggunakan pustaka *Scattergeo* direpresentasikan pada </w:t>
      </w:r>
      <w:r>
        <w:rPr>
          <w:b/>
          <w:i w:val="0"/>
          <w:color w:val="222222"/>
          <w:sz w:val="19"/>
        </w:rPr>
        <w:t>Bagan Alur 1.6</w:t>
      </w:r>
      <w:r>
        <w:rPr>
          <w:b w:val="0"/>
          <w:i w:val="0"/>
          <w:color w:val="222222"/>
          <w:sz w:val="19"/>
        </w:rPr>
        <w:t xml:space="preserve"> berikut:</w:t>
      </w:r>
    </w:p>
    <w:p>
      <w:pPr>
        <w:spacing w:before="120" w:after="40"/>
      </w:pPr>
      <w:r>
        <w:rPr>
          <w:b/>
          <w:i/>
          <w:color w:val="2E7D32"/>
          <w:sz w:val="17"/>
        </w:rPr>
        <w:t>Bagan Alur 1.6: Alur Logika Metodologis Pemetaan Jalur Logistik Maritim (Bézier Curve)</w:t>
      </w:r>
    </w:p>
    <w:p>
      <w:pPr>
        <w:jc w:val="center"/>
      </w:pPr>
      <w:r>
        <w:drawing>
          <wp:inline xmlns:a="http://schemas.openxmlformats.org/drawingml/2006/main" xmlns:pic="http://schemas.openxmlformats.org/drawingml/2006/picture">
            <wp:extent cx="5400000" cy="413355"/>
            <wp:docPr id="8" name="Picture 8"/>
            <wp:cNvGraphicFramePr>
              <a:graphicFrameLocks noChangeAspect="1"/>
            </wp:cNvGraphicFramePr>
            <a:graphic>
              <a:graphicData uri="http://schemas.openxmlformats.org/drawingml/2006/picture">
                <pic:pic>
                  <pic:nvPicPr>
                    <pic:cNvPr id="0" name="mermaid_flowchart_1_6.png"/>
                    <pic:cNvPicPr/>
                  </pic:nvPicPr>
                  <pic:blipFill>
                    <a:blip r:embed="rId16"/>
                    <a:stretch>
                      <a:fillRect/>
                    </a:stretch>
                  </pic:blipFill>
                  <pic:spPr>
                    <a:xfrm>
                      <a:off x="0" y="0"/>
                      <a:ext cx="5400000" cy="413355"/>
                    </a:xfrm>
                    <a:prstGeom prst="rect"/>
                  </pic:spPr>
                </pic:pic>
              </a:graphicData>
            </a:graphic>
          </wp:inline>
        </w:drawing>
      </w:r>
    </w:p>
    <w:p>
      <w:pPr>
        <w:spacing w:before="160" w:after="40"/>
      </w:pPr>
      <w:r>
        <w:rPr>
          <w:b/>
          <w:i w:val="0"/>
          <w:color w:val="2E7D32"/>
          <w:sz w:val="19"/>
        </w:rPr>
        <w:t>C.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D. Matriks Hasil Pemetaan Spasial</w:t>
      </w:r>
    </w:p>
    <w:p>
      <w:pPr>
        <w:spacing w:after="100"/>
        <w:jc w:val="both"/>
      </w:pPr>
      <w:r>
        <w:rPr>
          <w:b w:val="0"/>
          <w:i w:val="0"/>
          <w:color w:val="222222"/>
          <w:sz w:val="19"/>
        </w:rPr>
        <w:t xml:space="preserve">Agregasi titik asal (Origin) dan tujuan akhir (Destination) di-render langsung ke dalam proyeksi spasial. Struktur data logistik yang menggerakkan pemetaan ini memetakan pelabuhan asal menuju pasar utama, yaitu </w:t>
      </w:r>
      <w:r>
        <w:rPr>
          <w:b/>
          <w:i w:val="0"/>
          <w:color w:val="222222"/>
          <w:sz w:val="19"/>
        </w:rPr>
        <w:t>Tiongkok, Jepang, dan Korea Selatan</w:t>
      </w:r>
      <w:r>
        <w:rPr>
          <w:b w:val="0"/>
          <w:i w:val="0"/>
          <w:color w:val="222222"/>
          <w:sz w:val="19"/>
        </w:rPr>
        <w:t>.</w:t>
      </w:r>
    </w:p>
    <w:p>
      <w:pPr>
        <w:spacing w:before="160" w:after="40"/>
      </w:pPr>
      <w:r>
        <w:rPr>
          <w:b/>
          <w:i w:val="0"/>
          <w:color w:val="2E7D32"/>
          <w:sz w:val="19"/>
        </w:rPr>
        <w:t>E. Interpretasi Spasial Industri (Anatomi Rantai Pasok)</w:t>
      </w:r>
    </w:p>
    <w:p>
      <w:pPr>
        <w:spacing w:after="100"/>
        <w:jc w:val="both"/>
      </w:pPr>
      <w:r>
        <w:rPr>
          <w:b w:val="0"/>
          <w:i w:val="0"/>
          <w:color w:val="222222"/>
          <w:sz w:val="19"/>
        </w:rPr>
        <w:t>Peta rute logistik maritim mengilustrasikan alur distribusi produk olahan nikel dari kawasan industri di Sulawesi:</w:t>
      </w:r>
    </w:p>
    <w:p>
      <w:pPr>
        <w:spacing w:after="100"/>
        <w:jc w:val="both"/>
      </w:pPr>
      <w:r>
        <w:rPr>
          <w:b/>
          <w:i w:val="0"/>
          <w:color w:val="222222"/>
          <w:sz w:val="19"/>
        </w:rPr>
        <w:t xml:space="preserve">1. </w:t>
      </w:r>
      <w:r>
        <w:rPr>
          <w:b/>
          <w:i w:val="0"/>
          <w:color w:val="222222"/>
          <w:sz w:val="19"/>
        </w:rPr>
        <w:t xml:space="preserve">Orientasi Ekspor: </w:t>
      </w:r>
      <w:r>
        <w:rPr>
          <w:b w:val="0"/>
          <w:i w:val="0"/>
          <w:color w:val="222222"/>
          <w:sz w:val="19"/>
        </w:rPr>
        <w:t>Kawasan industri utama yang berstatus Proyek Strategis Nasional (PSN) mengalirkan produk olahan ke sentra-sentra industri manufaktur di pasar internasional.</w:t>
        <w:br/>
      </w:r>
      <w:r>
        <w:rPr>
          <w:b/>
          <w:i w:val="0"/>
          <w:color w:val="222222"/>
          <w:sz w:val="19"/>
        </w:rPr>
        <w:t xml:space="preserve">2. </w:t>
      </w:r>
      <w:r>
        <w:rPr>
          <w:b/>
          <w:i w:val="0"/>
          <w:color w:val="222222"/>
          <w:sz w:val="19"/>
        </w:rPr>
        <w:t xml:space="preserve">Integrasi Rantai Pasok: </w:t>
      </w:r>
      <w:r>
        <w:rPr>
          <w:b w:val="0"/>
          <w:i w:val="0"/>
          <w:color w:val="222222"/>
          <w:sz w:val="19"/>
        </w:rPr>
        <w:t>Mayoritas rute pengapalan terhubung langsung dengan pelabuhan ekspor tujuan, yang mengindikasikan posisi kawasan pemurnian di Sulawesi sebagai pemasok bahan baku setengah jadi pada rantai pasok global.</w:t>
        <w:br/>
      </w:r>
      <w:r>
        <w:rPr>
          <w:b/>
          <w:i w:val="0"/>
          <w:color w:val="222222"/>
          <w:sz w:val="19"/>
        </w:rPr>
        <w:t xml:space="preserve">3. </w:t>
      </w:r>
      <w:r>
        <w:rPr>
          <w:b/>
          <w:i w:val="0"/>
          <w:color w:val="222222"/>
          <w:sz w:val="19"/>
        </w:rPr>
        <w:t xml:space="preserve">Dinamika Rute Maritim: </w:t>
      </w:r>
      <w:r>
        <w:rPr>
          <w:b w:val="0"/>
          <w:i w:val="0"/>
          <w:color w:val="222222"/>
          <w:sz w:val="19"/>
        </w:rPr>
        <w:t>Peta rute mencerminkan diversifikasi pasar ekspor (Asia Timur) dan jaringan logistik kawasan.</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(Minerbaone)</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Energy Monitor (GEM)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Pengolahan &amp; Pemurnian (Smelter)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ESDM &amp; Basis Data Industri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Kementerian Investasi / BKPM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Menurut 17 Lapangan Usaha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Provinsi se-Sulawesi)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Badan Pusat Statistik (BPS Kabupaten se-Sulteng)</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Kehilangan Hutan Komoditas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Perubahan Tutupan Lahan</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 Univ. of Maryland)</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Dermaga &amp; Terminal Khusus Ekspor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KNKT Kemenhub, Perpres PSN, Laporan Korporasi</w:t>
            </w:r>
          </w:p>
        </w:tc>
      </w:tr>
    </w:tbl>
    <w:p>
      <w:pPr>
        <w:spacing w:before="40" w:after="80"/>
      </w:pPr>
    </w:p>
    <w:p>
      <w:pPr>
        <w:spacing w:before="240" w:after="80"/>
        <w:pBdr>
          <w:bottom w:val="single" w:sz="6" w:space="2" w:color="2E7D32"/>
        </w:pBdr>
      </w:pPr>
      <w:r>
        <w:rPr>
          <w:b/>
          <w:i w:val="0"/>
          <w:color w:val="2E7D32"/>
          <w:sz w:val="22"/>
        </w:rPr>
        <w:t>1.8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