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1B5E20"/>
          <w:sz w:val="28"/>
        </w:rPr>
        <w:t>LAPORAN METODOLOGI STATISTIK (VERSI COMPACT)</w:t>
      </w:r>
    </w:p>
    <w:p>
      <w:pPr>
        <w:spacing w:before="0" w:after="240"/>
        <w:jc w:val="center"/>
        <w:pBdr>
          <w:bottom w:val="single" w:sz="12" w:space="2" w:color="1B5E20"/>
        </w:pBdr>
      </w:pPr>
      <w:r>
        <w:rPr>
          <w:b w:val="0"/>
          <w:i/>
          <w:color w:val="2E7D32"/>
          <w:sz w:val="20"/>
        </w:rPr>
        <w:t>Bab 1: Ekspansi Industri Ekstraktif dan Infrastruktur Penunjang di Pulau Sulawesi (2014–2024)</w:t>
      </w:r>
    </w:p>
    <w:p>
      <w:pPr>
        <w:spacing w:after="160"/>
        <w:jc w:val="both"/>
      </w:pPr>
      <w:r>
        <w:rPr>
          <w:b/>
          <w:i w:val="0"/>
          <w:color w:val="222222"/>
          <w:sz w:val="19"/>
        </w:rPr>
        <w:t xml:space="preserve">Penerbit: </w:t>
      </w:r>
      <w:r>
        <w:rPr>
          <w:b w:val="0"/>
          <w:i w:val="0"/>
          <w:color w:val="222222"/>
          <w:sz w:val="19"/>
        </w:rPr>
        <w:t xml:space="preserve">Center of Economic and Law Studies (CELIOS)  |  </w:t>
      </w:r>
      <w:r>
        <w:rPr>
          <w:b/>
          <w:i w:val="0"/>
          <w:color w:val="222222"/>
          <w:sz w:val="19"/>
        </w:rPr>
        <w:t xml:space="preserve">Kategori: </w:t>
      </w:r>
      <w:r>
        <w:rPr>
          <w:b w:val="0"/>
          <w:i w:val="0"/>
          <w:color w:val="222222"/>
          <w:sz w:val="19"/>
        </w:rPr>
        <w:t xml:space="preserve">Factsheet Metodologi &amp; Transparansi Statistik Publik  |  </w:t>
      </w:r>
      <w:r>
        <w:rPr>
          <w:b/>
          <w:i w:val="0"/>
          <w:color w:val="222222"/>
          <w:sz w:val="19"/>
        </w:rPr>
        <w:t xml:space="preserve">Cakupan: </w:t>
      </w:r>
      <w:r>
        <w:rPr>
          <w:b w:val="0"/>
          <w:i w:val="0"/>
          <w:color w:val="222222"/>
          <w:sz w:val="19"/>
        </w:rPr>
        <w:t>6 Provinsi se-Pulau Sulawesi (2014–2024)</w:t>
      </w:r>
    </w:p>
    <w:p>
      <w:pPr>
        <w:spacing w:before="280" w:after="80"/>
        <w:pBdr>
          <w:bottom w:val="single" w:sz="8" w:space="2" w:color="2E7D32"/>
        </w:pBdr>
      </w:pPr>
      <w:r>
        <w:rPr>
          <w:b/>
          <w:i w:val="0"/>
          <w:color w:val="1B5E20"/>
          <w:sz w:val="22"/>
        </w:rPr>
        <w:t>BAGIAN I: KONSENTRASI MAKROEKONOMI &amp; KETIMPANGAN SPASIAL PDRB</w:t>
      </w:r>
    </w:p>
    <w:p>
      <w:pPr>
        <w:spacing w:before="200" w:after="60"/>
        <w:ind w:left="80"/>
        <w:pBdr>
          <w:left w:val="single" w:sz="20" w:space="6" w:color="2E7D32"/>
        </w:pBdr>
        <w:shd w:val="clear" w:color="auto" w:fill="F1F8E9"/>
      </w:pPr>
      <w:r>
        <w:rPr>
          <w:b/>
          <w:i w:val="0"/>
          <w:color w:val="1B5E20"/>
          <w:sz w:val="20"/>
        </w:rPr>
        <w:t xml:space="preserve">POIN 1.1 </w:t>
      </w:r>
      <w:r>
        <w:rPr>
          <w:b/>
          <w:i w:val="0"/>
          <w:color w:val="222222"/>
          <w:sz w:val="20"/>
        </w:rPr>
        <w:t>Sektor Ekstraktif Meroket 7,4 Kali Lipat: Menguasai 55,8% Ekonomi Sulawesi Tengah Sementara Sektor Pertanian Rakyat Tertekan</w:t>
      </w:r>
    </w:p>
    <w:p>
      <w:pPr>
        <w:spacing w:after="80"/>
        <w:jc w:val="both"/>
      </w:pPr>
      <w:r>
        <w:rPr>
          <w:b w:val="0"/>
          <w:i w:val="0"/>
          <w:color w:val="222222"/>
          <w:sz w:val="19"/>
        </w:rPr>
        <w:t xml:space="preserve">Berdasarkan data Produk Domestik Regional Bruto (PDRB) Atas Dasar Harga Berlaku (ADHB) Badan Pusat Statistik (BPS) periode 2016–2024, struktur ekonomi Sulawesi Tengah mengalami pergeseran struktural ekstrem. Melalui pendekatan </w:t>
      </w:r>
      <w:r>
        <w:rPr>
          <w:b/>
          <w:i/>
          <w:color w:val="222222"/>
          <w:sz w:val="19"/>
        </w:rPr>
        <w:t>Legal Supply-Chain</w:t>
      </w:r>
      <w:r>
        <w:rPr>
          <w:b w:val="0"/>
          <w:i w:val="0"/>
          <w:color w:val="222222"/>
          <w:sz w:val="19"/>
        </w:rPr>
        <w:t xml:space="preserve">, klaster ekstraktif yang menggabungkan Kategori B (Pertambangan), Kategori C (Industri Pengolahan Logam Dasar/Smelter nikel), dan Kategori D (Pengadaan Listrik batubara captive) melonjak dari </w:t>
      </w:r>
      <w:r>
        <w:rPr>
          <w:b/>
          <w:i w:val="0"/>
          <w:color w:val="222222"/>
          <w:sz w:val="19"/>
        </w:rPr>
        <w:t>Rp28,45 triliun pada 2016</w:t>
      </w:r>
      <w:r>
        <w:rPr>
          <w:b w:val="0"/>
          <w:i w:val="0"/>
          <w:color w:val="222222"/>
          <w:sz w:val="19"/>
        </w:rPr>
        <w:t xml:space="preserve"> menjadi </w:t>
      </w:r>
      <w:r>
        <w:rPr>
          <w:b/>
          <w:i w:val="0"/>
          <w:color w:val="222222"/>
          <w:sz w:val="19"/>
        </w:rPr>
        <w:t>Rp210,51 triliun pada 2024</w:t>
      </w:r>
      <w:r>
        <w:rPr>
          <w:b w:val="0"/>
          <w:i w:val="0"/>
          <w:color w:val="222222"/>
          <w:sz w:val="19"/>
        </w:rPr>
        <w:t>. Akumulasi ini menyerap lebih dari separuh (55,85%) total kapasitas ekonomi provinsi sebesar Rp376,95 triliun.</w:t>
      </w:r>
    </w:p>
    <w:p>
      <w:pPr>
        <w:spacing w:before="80" w:after="20"/>
      </w:pPr>
      <w:r>
        <w:rPr>
          <w:b/>
          <w:i/>
          <w:color w:val="2E7D32"/>
          <w:sz w:val="17"/>
        </w:rPr>
        <w:t>Matriks Formulasi: Agregasi Rantai Pasok Hukum Ekstraktif &amp; Pangsa PDRB</w:t>
      </w:r>
    </w:p>
    <w:p>
      <w:pPr>
        <w:spacing w:before="0" w:after="40"/>
        <w:ind w:left="20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PDRB_Ekstraktif = PDRB(Kat.B: Tambang) + PDRB(Kat.C: Smelter) + PDRB(Kat.D: PLTU Captive)</w:t>
        <w:br/>
        <w:t>Pangsa_Ekstraktif(%) = ( 210.513,75 Miliar / 376.950,31 Miliar ) * 100% = 55,85%</w:t>
        <w:br/>
        <w:t>Faktor_Pertumbuhan = Rp210,51 Triliun / Rp28,45 Triliun = 7,40 Kali Lipat</w:t>
      </w:r>
    </w:p>
    <w:p>
      <w:pPr>
        <w:spacing w:before="20" w:after="80"/>
        <w:ind w:left="240"/>
      </w:pPr>
      <w:r>
        <w:rPr>
          <w:b/>
          <w:i/>
          <w:color w:val="333333"/>
          <w:sz w:val="16"/>
        </w:rPr>
        <w:t>Keterangan Variabel &amp; Sumber Data:</w:t>
        <w:br/>
      </w:r>
      <w:r>
        <w:rPr>
          <w:b/>
          <w:i w:val="0"/>
          <w:color w:val="1B5E20"/>
          <w:sz w:val="16"/>
        </w:rPr>
        <w:t xml:space="preserve">• Kat.B, C, D: </w:t>
      </w:r>
      <w:r>
        <w:rPr>
          <w:b w:val="0"/>
          <w:i w:val="0"/>
          <w:color w:val="444444"/>
          <w:sz w:val="16"/>
        </w:rPr>
        <w:t>Kode sektor resmi KBLI 2020 BPS yang disatukan berdasar mandat UU No.3/2020 &amp; Perpres No.112/2022</w:t>
        <w:br/>
      </w:r>
      <w:r>
        <w:rPr>
          <w:b/>
          <w:i w:val="0"/>
          <w:color w:val="1B5E20"/>
          <w:sz w:val="16"/>
        </w:rPr>
        <w:t xml:space="preserve">• PDRB_Ekstraktif: </w:t>
      </w:r>
      <w:r>
        <w:rPr>
          <w:b w:val="0"/>
          <w:i w:val="0"/>
          <w:color w:val="444444"/>
          <w:sz w:val="16"/>
        </w:rPr>
        <w:t>Total nilai tambah bruto sektor hilirisasi nikel (Triliun Rupiah)</w:t>
        <w:br/>
      </w:r>
      <w:r>
        <w:rPr>
          <w:b/>
          <w:i w:val="0"/>
          <w:color w:val="1B5E20"/>
          <w:sz w:val="16"/>
        </w:rPr>
        <w:t xml:space="preserve">• PDRB_Total: </w:t>
      </w:r>
      <w:r>
        <w:rPr>
          <w:b w:val="0"/>
          <w:i w:val="0"/>
          <w:color w:val="444444"/>
          <w:sz w:val="16"/>
        </w:rPr>
        <w:t>Total PDRB Provinsi Sulawesi Tengah ADHB Tahun 2024</w:t>
      </w:r>
    </w:p>
    <w:p>
      <w:pPr>
        <w:spacing w:before="60" w:after="100"/>
        <w:ind w:left="200"/>
        <w:pBdr>
          <w:left w:val="single" w:sz="16" w:space="6" w:color="1B5E20"/>
        </w:pBdr>
        <w:shd w:val="clear" w:color="auto" w:fill="E8F5E9"/>
      </w:pPr>
      <w:r>
        <w:rPr>
          <w:b/>
          <w:i w:val="0"/>
          <w:color w:val="1B5E20"/>
          <w:sz w:val="17"/>
        </w:rPr>
        <w:t xml:space="preserve">🔎 SKALA HUMANISASI (REALITAS SOSIAL): </w:t>
      </w:r>
      <w:r>
        <w:rPr>
          <w:b w:val="0"/>
          <w:i w:val="0"/>
          <w:color w:val="222222"/>
          <w:sz w:val="17"/>
        </w:rPr>
        <w:t>Pertumbuhan sektor ekstraktif sebesar Rp182 triliun dalam 8 tahun setara dengan penambahan modal Rp22,75 triliun per tahun atau Rp62,3 miliar per hari. Sebaliknya, sektor pertanian, perkebunan, dan perikanan yang menjadi tumpuan 60%+ tenaga kerja lokal hanya tumbuh melambat dan pangsanya anjlok dari 28% menjadi di bawah 18%.</w:t>
      </w:r>
    </w:p>
    <w:p>
      <w:pPr>
        <w:spacing w:before="80" w:after="80"/>
        <w:ind w:left="200"/>
        <w:pBdr>
          <w:left w:val="single" w:sz="16" w:space="6" w:color="E65100"/>
        </w:pBdr>
        <w:shd w:val="clear" w:color="auto" w:fill="FFF3E0"/>
      </w:pPr>
      <w:r>
        <w:rPr>
          <w:b/>
          <w:i w:val="0"/>
          <w:color w:val="E65100"/>
          <w:sz w:val="17"/>
        </w:rPr>
        <w:t xml:space="preserve">⚠️ BATASAN DATA (CAVEATS): </w:t>
      </w:r>
      <w:r>
        <w:rPr>
          <w:b w:val="0"/>
          <w:i/>
          <w:color w:val="444444"/>
          <w:sz w:val="17"/>
        </w:rPr>
        <w:t>Perhitungan menggunakan PDRB ADHB (Harga Berlaku) yang menangkap efek lonjakan harga komoditas nikel global, sehingga mencerminkan dominasi moneter riil di pasar.</w:t>
      </w:r>
    </w:p>
    <w:p>
      <w:pPr>
        <w:spacing w:before="200" w:after="60"/>
        <w:ind w:left="80"/>
        <w:pBdr>
          <w:left w:val="single" w:sz="20" w:space="6" w:color="2E7D32"/>
        </w:pBdr>
        <w:shd w:val="clear" w:color="auto" w:fill="F1F8E9"/>
      </w:pPr>
      <w:r>
        <w:rPr>
          <w:b/>
          <w:i w:val="0"/>
          <w:color w:val="1B5E20"/>
          <w:sz w:val="20"/>
        </w:rPr>
        <w:t xml:space="preserve">POIN 1.2 </w:t>
      </w:r>
      <w:r>
        <w:rPr>
          <w:b/>
          <w:i w:val="0"/>
          <w:color w:val="222222"/>
          <w:sz w:val="20"/>
        </w:rPr>
        <w:t>Kabupaten Morowali Menghasilkan PDRB Rp173,8 Triliun: 90,4% Dikuasai Smelter &amp; Tambang, Sektor Pangan Hanya Tersisa 1,5%</w:t>
      </w:r>
    </w:p>
    <w:p>
      <w:pPr>
        <w:spacing w:after="80"/>
        <w:jc w:val="both"/>
      </w:pPr>
      <w:r>
        <w:rPr>
          <w:b w:val="0"/>
          <w:i w:val="0"/>
          <w:color w:val="222222"/>
          <w:sz w:val="19"/>
        </w:rPr>
        <w:t xml:space="preserve">Dekomposisi spasial PDRB tingkat kabupaten/kota BPS tahun 2024 menunjukkan polarisasi kekayaan yang luar biasa di Kabupaten Morowali sebagai pusat kawasan industri nikel (IMIP). Dari total PDRB Morowali sebesar </w:t>
      </w:r>
      <w:r>
        <w:rPr>
          <w:b/>
          <w:i w:val="0"/>
          <w:color w:val="222222"/>
          <w:sz w:val="19"/>
        </w:rPr>
        <w:t>Rp173,86 triliun</w:t>
      </w:r>
      <w:r>
        <w:rPr>
          <w:b w:val="0"/>
          <w:i w:val="0"/>
          <w:color w:val="222222"/>
          <w:sz w:val="19"/>
        </w:rPr>
        <w:t xml:space="preserve">, sebesar </w:t>
      </w:r>
      <w:r>
        <w:rPr>
          <w:b/>
          <w:i w:val="0"/>
          <w:color w:val="222222"/>
          <w:sz w:val="19"/>
        </w:rPr>
        <w:t>Rp127,96 triliun berasal dari Industri Pengolahan (smelter)</w:t>
      </w:r>
      <w:r>
        <w:rPr>
          <w:b w:val="0"/>
          <w:i w:val="0"/>
          <w:color w:val="222222"/>
          <w:sz w:val="19"/>
        </w:rPr>
        <w:t xml:space="preserve"> dan </w:t>
      </w:r>
      <w:r>
        <w:rPr>
          <w:b/>
          <w:i w:val="0"/>
          <w:color w:val="222222"/>
          <w:sz w:val="19"/>
        </w:rPr>
        <w:t>Rp29,20 triliun dari Pertambangan</w:t>
      </w:r>
      <w:r>
        <w:rPr>
          <w:b w:val="0"/>
          <w:i w:val="0"/>
          <w:color w:val="222222"/>
          <w:sz w:val="19"/>
        </w:rPr>
        <w:t xml:space="preserve">. Gabungan sektor tambang-smelter mencapai </w:t>
      </w:r>
      <w:r>
        <w:rPr>
          <w:b/>
          <w:i w:val="0"/>
          <w:color w:val="222222"/>
          <w:sz w:val="19"/>
        </w:rPr>
        <w:t>Rp157,16 triliun (90,39%)</w:t>
      </w:r>
      <w:r>
        <w:rPr>
          <w:b w:val="0"/>
          <w:i w:val="0"/>
          <w:color w:val="222222"/>
          <w:sz w:val="19"/>
        </w:rPr>
        <w:t xml:space="preserve">, sedangkan Sektor Pertanian, Kehutanan, dan Perikanan hanya menyumbang </w:t>
      </w:r>
      <w:r>
        <w:rPr>
          <w:b/>
          <w:i w:val="0"/>
          <w:color w:val="222222"/>
          <w:sz w:val="19"/>
        </w:rPr>
        <w:t>Rp2,70 triliun (1,55%)</w:t>
      </w:r>
      <w:r>
        <w:rPr>
          <w:b w:val="0"/>
          <w:i w:val="0"/>
          <w:color w:val="222222"/>
          <w:sz w:val="19"/>
        </w:rPr>
        <w:t>.</w:t>
      </w:r>
    </w:p>
    <w:p>
      <w:pPr>
        <w:spacing w:before="80" w:after="20"/>
      </w:pPr>
      <w:r>
        <w:rPr>
          <w:b/>
          <w:i/>
          <w:color w:val="2E7D32"/>
          <w:sz w:val="17"/>
        </w:rPr>
        <w:t>Matriks Formulasi: Rasio Ketimpangan Sektoral Kabupaten Morowali (2024)</w:t>
      </w:r>
    </w:p>
    <w:p>
      <w:pPr>
        <w:spacing w:before="0" w:after="40"/>
        <w:ind w:left="20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PDRB_Ekstraktif_Morowali = Rp127,96 T (Smelter) + Rp29,20 T (Tambang) = Rp157,16 T (90,39%)</w:t>
        <w:br/>
        <w:t>PDRB_Pangan_Pertanian = Rp2,70 Triliun (1,55%)</w:t>
        <w:br/>
        <w:t>Rasio_Kesenjangan = Rp157,16 Triliun / Rp2,70 Triliun = 58,21 Kali Lipat</w:t>
      </w:r>
    </w:p>
    <w:p>
      <w:pPr>
        <w:spacing w:before="20" w:after="80"/>
        <w:ind w:left="240"/>
      </w:pPr>
      <w:r>
        <w:rPr>
          <w:b/>
          <w:i/>
          <w:color w:val="333333"/>
          <w:sz w:val="16"/>
        </w:rPr>
        <w:t>Keterangan Variabel &amp; Sumber Data:</w:t>
        <w:br/>
      </w:r>
      <w:r>
        <w:rPr>
          <w:b/>
          <w:i w:val="0"/>
          <w:color w:val="1B5E20"/>
          <w:sz w:val="16"/>
        </w:rPr>
        <w:t xml:space="preserve">• PDRB Morowali: </w:t>
      </w:r>
      <w:r>
        <w:rPr>
          <w:b w:val="0"/>
          <w:i w:val="0"/>
          <w:color w:val="444444"/>
          <w:sz w:val="16"/>
        </w:rPr>
        <w:t>PDRB ADHB Kabupaten Morowali 2024 (BPS Kabupaten Morowali Dalam Angka 2025)</w:t>
        <w:br/>
      </w:r>
      <w:r>
        <w:rPr>
          <w:b/>
          <w:i w:val="0"/>
          <w:color w:val="1B5E20"/>
          <w:sz w:val="16"/>
        </w:rPr>
        <w:t xml:space="preserve">• Rasio Kesenjangan: </w:t>
      </w:r>
      <w:r>
        <w:rPr>
          <w:b w:val="0"/>
          <w:i w:val="0"/>
          <w:color w:val="444444"/>
          <w:sz w:val="16"/>
        </w:rPr>
        <w:t>Tingkat ketimpangan nilai antara industri ekstraktif korporasi vs pangan masyarakat</w:t>
      </w:r>
    </w:p>
    <w:p>
      <w:pPr>
        <w:spacing w:before="60" w:after="100"/>
        <w:ind w:left="200"/>
        <w:pBdr>
          <w:left w:val="single" w:sz="16" w:space="6" w:color="1B5E20"/>
        </w:pBdr>
        <w:shd w:val="clear" w:color="auto" w:fill="E8F5E9"/>
      </w:pPr>
      <w:r>
        <w:rPr>
          <w:b/>
          <w:i w:val="0"/>
          <w:color w:val="1B5E20"/>
          <w:sz w:val="17"/>
        </w:rPr>
        <w:t xml:space="preserve">🔎 SKALA HUMANISASI (REALITAS SOSIAL): </w:t>
      </w:r>
      <w:r>
        <w:rPr>
          <w:b w:val="0"/>
          <w:i w:val="0"/>
          <w:color w:val="222222"/>
          <w:sz w:val="17"/>
        </w:rPr>
        <w:t>PDRB Morowali (Rp173,86 Triliun) melampaui gabungan 8 kabupaten non-tambang di Sulawesi Tengah (Buol, Tojo Una-Una, Banggai Laut, Banggai Kepulauan, Sigi, Tolitoli, Parigi Moutong, dan Poso). Dari setiap Rp100 perputaran ekonomi di Morowali, Rp90,40 terkunci di cerobong pabrik dan konsesi tambang, dan hanya Rp1,55 yang dinikmati petani dan nelayan lokal.</w:t>
      </w:r>
    </w:p>
    <w:p>
      <w:pPr>
        <w:spacing w:before="80" w:after="80"/>
        <w:ind w:left="200"/>
        <w:pBdr>
          <w:left w:val="single" w:sz="16" w:space="6" w:color="E65100"/>
        </w:pBdr>
        <w:shd w:val="clear" w:color="auto" w:fill="FFF3E0"/>
      </w:pPr>
      <w:r>
        <w:rPr>
          <w:b/>
          <w:i w:val="0"/>
          <w:color w:val="E65100"/>
          <w:sz w:val="17"/>
        </w:rPr>
        <w:t xml:space="preserve">⚠️ BATASAN DISTRIBUSI PENDAPATAN: </w:t>
      </w:r>
      <w:r>
        <w:rPr>
          <w:b w:val="0"/>
          <w:i/>
          <w:color w:val="444444"/>
          <w:sz w:val="17"/>
        </w:rPr>
        <w:t>PDRB merepresentasikan nilai tambah bruto di wilayah fisik pabrik, bukan pendapatan riil warga lokal. Mayoritas dividen dan laba kapital ditransfer ke kantor pusat korporasi multinasional di Jakarta dan luar negeri.</w:t>
      </w:r>
    </w:p>
    <w:p>
      <w:pPr>
        <w:spacing w:before="200" w:after="60"/>
        <w:ind w:left="80"/>
        <w:pBdr>
          <w:left w:val="single" w:sz="20" w:space="6" w:color="2E7D32"/>
        </w:pBdr>
        <w:shd w:val="clear" w:color="auto" w:fill="F1F8E9"/>
      </w:pPr>
      <w:r>
        <w:rPr>
          <w:b/>
          <w:i w:val="0"/>
          <w:color w:val="1B5E20"/>
          <w:sz w:val="20"/>
        </w:rPr>
        <w:t xml:space="preserve">POIN 1.3 </w:t>
      </w:r>
      <w:r>
        <w:rPr>
          <w:b/>
          <w:i w:val="0"/>
          <w:color w:val="222222"/>
          <w:sz w:val="20"/>
        </w:rPr>
        <w:t>Polarisasi Spasial Ekstrem 6 Provinsi: Sulawesi Tengah &amp; Tenggara Berubah Menjadi 'Enclave Ekstraktif'</w:t>
      </w:r>
    </w:p>
    <w:p>
      <w:pPr>
        <w:spacing w:after="80"/>
        <w:jc w:val="both"/>
      </w:pPr>
      <w:r>
        <w:rPr>
          <w:b w:val="0"/>
          <w:i w:val="0"/>
          <w:color w:val="222222"/>
          <w:sz w:val="19"/>
        </w:rPr>
        <w:t xml:space="preserve">Analisis komparatif </w:t>
      </w:r>
      <w:r>
        <w:rPr>
          <w:b/>
          <w:i/>
          <w:color w:val="222222"/>
          <w:sz w:val="19"/>
        </w:rPr>
        <w:t>Small Multiples</w:t>
      </w:r>
      <w:r>
        <w:rPr>
          <w:b w:val="0"/>
          <w:i w:val="0"/>
          <w:color w:val="222222"/>
          <w:sz w:val="19"/>
        </w:rPr>
        <w:t xml:space="preserve"> terhadap 17 sektor KBLI 2020 di 6 provinsi se-Sulawesi (BPS 2024) membuktikan terjadinya dualisme ekonomi regional. Sulawesi Tengah dan Sulawesi Tenggara terpolarisasi secara tajam pada industri logam dasar dan pertambangan (menyerap 35%–55% PDRB), sedangkan empat provinsi lainnya (Sulawesi Selatan, Sulawesi Utara, Sulawesi Barat, dan Gorontalo) tetap bertumpu pada Sektor Pertanian &amp; Perikanan sebagai kontributor nomor 1 (22%–38% PDRB).</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1814"/>
            <w:shd w:val="clear" w:color="auto" w:fill="2E7D32"/>
            <w:tcMar>
              <w:top w:w="60" w:type="dxa"/>
              <w:bottom w:w="60" w:type="dxa"/>
              <w:left w:w="80" w:type="dxa"/>
              <w:right w:w="8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Provinsi</w:t>
            </w:r>
          </w:p>
        </w:tc>
        <w:tc>
          <w:tcPr>
            <w:tcW w:type="dxa" w:w="2381"/>
            <w:shd w:val="clear" w:color="auto" w:fill="2E7D32"/>
            <w:tcMar>
              <w:top w:w="60" w:type="dxa"/>
              <w:bottom w:w="60" w:type="dxa"/>
              <w:left w:w="80" w:type="dxa"/>
              <w:right w:w="8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Sektor Utama 1</w:t>
            </w:r>
          </w:p>
        </w:tc>
        <w:tc>
          <w:tcPr>
            <w:tcW w:type="dxa" w:w="1020"/>
            <w:shd w:val="clear" w:color="auto" w:fill="2E7D32"/>
            <w:tcMar>
              <w:top w:w="60" w:type="dxa"/>
              <w:bottom w:w="60" w:type="dxa"/>
              <w:left w:w="80" w:type="dxa"/>
              <w:right w:w="8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Porsi (%)</w:t>
            </w:r>
          </w:p>
        </w:tc>
        <w:tc>
          <w:tcPr>
            <w:tcW w:type="dxa" w:w="2154"/>
            <w:shd w:val="clear" w:color="auto" w:fill="2E7D32"/>
            <w:tcMar>
              <w:top w:w="60" w:type="dxa"/>
              <w:bottom w:w="60" w:type="dxa"/>
              <w:left w:w="80" w:type="dxa"/>
              <w:right w:w="8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Sektor Utama 2</w:t>
            </w:r>
          </w:p>
        </w:tc>
        <w:tc>
          <w:tcPr>
            <w:tcW w:type="dxa" w:w="1020"/>
            <w:shd w:val="clear" w:color="auto" w:fill="2E7D32"/>
            <w:tcMar>
              <w:top w:w="60" w:type="dxa"/>
              <w:bottom w:w="60" w:type="dxa"/>
              <w:left w:w="80" w:type="dxa"/>
              <w:right w:w="8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Porsi (%)</w:t>
            </w:r>
          </w:p>
        </w:tc>
        <w:tc>
          <w:tcPr>
            <w:tcW w:type="dxa" w:w="1814"/>
            <w:shd w:val="clear" w:color="auto" w:fill="2E7D32"/>
            <w:tcMar>
              <w:top w:w="60" w:type="dxa"/>
              <w:bottom w:w="60" w:type="dxa"/>
              <w:left w:w="80" w:type="dxa"/>
              <w:right w:w="8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Tipologi Wilayah</w:t>
            </w:r>
          </w:p>
        </w:tc>
      </w:tr>
      <w:tr>
        <w:tc>
          <w:tcPr>
            <w:tcW w:type="dxa" w:w="1814"/>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i w:val="0"/>
                <w:color w:val="222222"/>
                <w:sz w:val="17"/>
              </w:rPr>
              <w:t>Sulawesi Tengah</w:t>
            </w:r>
          </w:p>
        </w:tc>
        <w:tc>
          <w:tcPr>
            <w:tcW w:type="dxa" w:w="2381"/>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Industri Pengolahan (Smelter)</w:t>
            </w:r>
          </w:p>
        </w:tc>
        <w:tc>
          <w:tcPr>
            <w:tcW w:type="dxa" w:w="1020"/>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44,1%</w:t>
            </w:r>
          </w:p>
        </w:tc>
        <w:tc>
          <w:tcPr>
            <w:tcW w:type="dxa" w:w="2154"/>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Pertambangan &amp; Penggalian</w:t>
            </w:r>
          </w:p>
        </w:tc>
        <w:tc>
          <w:tcPr>
            <w:tcW w:type="dxa" w:w="1020"/>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11,8%</w:t>
            </w:r>
          </w:p>
        </w:tc>
        <w:tc>
          <w:tcPr>
            <w:tcW w:type="dxa" w:w="1814"/>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i w:val="0"/>
                <w:color w:val="222222"/>
                <w:sz w:val="17"/>
              </w:rPr>
              <w:t>Enclave Ekstraktif</w:t>
            </w:r>
          </w:p>
        </w:tc>
      </w:tr>
      <w:tr>
        <w:tc>
          <w:tcPr>
            <w:tcW w:type="dxa" w:w="1814"/>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i w:val="0"/>
                <w:color w:val="222222"/>
                <w:sz w:val="17"/>
              </w:rPr>
              <w:t>Sulawesi Tenggara</w:t>
            </w:r>
          </w:p>
        </w:tc>
        <w:tc>
          <w:tcPr>
            <w:tcW w:type="dxa" w:w="2381"/>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Perikanan</w:t>
            </w:r>
          </w:p>
        </w:tc>
        <w:tc>
          <w:tcPr>
            <w:tcW w:type="dxa" w:w="1020"/>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22,4%</w:t>
            </w:r>
          </w:p>
        </w:tc>
        <w:tc>
          <w:tcPr>
            <w:tcW w:type="dxa" w:w="2154"/>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Pertambangan Logam</w:t>
            </w:r>
          </w:p>
        </w:tc>
        <w:tc>
          <w:tcPr>
            <w:tcW w:type="dxa" w:w="1020"/>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20,9%</w:t>
            </w:r>
          </w:p>
        </w:tc>
        <w:tc>
          <w:tcPr>
            <w:tcW w:type="dxa" w:w="1814"/>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i w:val="0"/>
                <w:color w:val="222222"/>
                <w:sz w:val="17"/>
              </w:rPr>
              <w:t>Transisi Ekstraktif</w:t>
            </w:r>
          </w:p>
        </w:tc>
      </w:tr>
      <w:tr>
        <w:tc>
          <w:tcPr>
            <w:tcW w:type="dxa" w:w="1814"/>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i w:val="0"/>
                <w:color w:val="222222"/>
                <w:sz w:val="17"/>
              </w:rPr>
              <w:t>Sulawesi Selatan</w:t>
            </w:r>
          </w:p>
        </w:tc>
        <w:tc>
          <w:tcPr>
            <w:tcW w:type="dxa" w:w="2381"/>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Perikanan</w:t>
            </w:r>
          </w:p>
        </w:tc>
        <w:tc>
          <w:tcPr>
            <w:tcW w:type="dxa" w:w="1020"/>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21,8%</w:t>
            </w:r>
          </w:p>
        </w:tc>
        <w:tc>
          <w:tcPr>
            <w:tcW w:type="dxa" w:w="2154"/>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Perdagangan Besar &amp; Eceran</w:t>
            </w:r>
          </w:p>
        </w:tc>
        <w:tc>
          <w:tcPr>
            <w:tcW w:type="dxa" w:w="1020"/>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14,6%</w:t>
            </w:r>
          </w:p>
        </w:tc>
        <w:tc>
          <w:tcPr>
            <w:tcW w:type="dxa" w:w="1814"/>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Agraris &amp; Jasa</w:t>
            </w:r>
          </w:p>
        </w:tc>
      </w:tr>
      <w:tr>
        <w:tc>
          <w:tcPr>
            <w:tcW w:type="dxa" w:w="1814"/>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i w:val="0"/>
                <w:color w:val="222222"/>
                <w:sz w:val="17"/>
              </w:rPr>
              <w:t>Sulawesi Utara</w:t>
            </w:r>
          </w:p>
        </w:tc>
        <w:tc>
          <w:tcPr>
            <w:tcW w:type="dxa" w:w="2381"/>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Perikanan</w:t>
            </w:r>
          </w:p>
        </w:tc>
        <w:tc>
          <w:tcPr>
            <w:tcW w:type="dxa" w:w="1020"/>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20,5%</w:t>
            </w:r>
          </w:p>
        </w:tc>
        <w:tc>
          <w:tcPr>
            <w:tcW w:type="dxa" w:w="2154"/>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Perdagangan Besar &amp; Eceran</w:t>
            </w:r>
          </w:p>
        </w:tc>
        <w:tc>
          <w:tcPr>
            <w:tcW w:type="dxa" w:w="1020"/>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13,2%</w:t>
            </w:r>
          </w:p>
        </w:tc>
        <w:tc>
          <w:tcPr>
            <w:tcW w:type="dxa" w:w="1814"/>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Jasa &amp; Maritim</w:t>
            </w:r>
          </w:p>
        </w:tc>
      </w:tr>
      <w:tr>
        <w:tc>
          <w:tcPr>
            <w:tcW w:type="dxa" w:w="1814"/>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i w:val="0"/>
                <w:color w:val="222222"/>
                <w:sz w:val="17"/>
              </w:rPr>
              <w:t>Sulawesi Barat</w:t>
            </w:r>
          </w:p>
        </w:tc>
        <w:tc>
          <w:tcPr>
            <w:tcW w:type="dxa" w:w="2381"/>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Perkebunan</w:t>
            </w:r>
          </w:p>
        </w:tc>
        <w:tc>
          <w:tcPr>
            <w:tcW w:type="dxa" w:w="1020"/>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38,2%</w:t>
            </w:r>
          </w:p>
        </w:tc>
        <w:tc>
          <w:tcPr>
            <w:tcW w:type="dxa" w:w="2154"/>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Industri Pengolahan Sawit</w:t>
            </w:r>
          </w:p>
        </w:tc>
        <w:tc>
          <w:tcPr>
            <w:tcW w:type="dxa" w:w="1020"/>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11,4%</w:t>
            </w:r>
          </w:p>
        </w:tc>
        <w:tc>
          <w:tcPr>
            <w:tcW w:type="dxa" w:w="1814"/>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Agraris Primer</w:t>
            </w:r>
          </w:p>
        </w:tc>
      </w:tr>
      <w:tr>
        <w:tc>
          <w:tcPr>
            <w:tcW w:type="dxa" w:w="1814"/>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i w:val="0"/>
                <w:color w:val="222222"/>
                <w:sz w:val="17"/>
              </w:rPr>
              <w:t>Gorontalo</w:t>
            </w:r>
          </w:p>
        </w:tc>
        <w:tc>
          <w:tcPr>
            <w:tcW w:type="dxa" w:w="2381"/>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Tanaman Pangan</w:t>
            </w:r>
          </w:p>
        </w:tc>
        <w:tc>
          <w:tcPr>
            <w:tcW w:type="dxa" w:w="1020"/>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36,4%</w:t>
            </w:r>
          </w:p>
        </w:tc>
        <w:tc>
          <w:tcPr>
            <w:tcW w:type="dxa" w:w="2154"/>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Perdagangan Besar &amp; Eceran</w:t>
            </w:r>
          </w:p>
        </w:tc>
        <w:tc>
          <w:tcPr>
            <w:tcW w:type="dxa" w:w="1020"/>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14,1%</w:t>
            </w:r>
          </w:p>
        </w:tc>
        <w:tc>
          <w:tcPr>
            <w:tcW w:type="dxa" w:w="1814"/>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Agraris Primer</w:t>
            </w:r>
          </w:p>
        </w:tc>
      </w:tr>
    </w:tbl>
    <w:p>
      <w:pPr>
        <w:spacing w:before="280" w:after="80"/>
        <w:pBdr>
          <w:bottom w:val="single" w:sz="8" w:space="2" w:color="2E7D32"/>
        </w:pBdr>
      </w:pPr>
      <w:r>
        <w:rPr>
          <w:b/>
          <w:i w:val="0"/>
          <w:color w:val="1B5E20"/>
          <w:sz w:val="22"/>
        </w:rPr>
        <w:t>BAGIAN II: KEPUNGAN PLTU CAPTIVE &amp; LEDAKAN IZIN TAMBANG BARU</w:t>
      </w:r>
    </w:p>
    <w:p>
      <w:pPr>
        <w:spacing w:before="200" w:after="60"/>
        <w:ind w:left="80"/>
        <w:pBdr>
          <w:left w:val="single" w:sz="20" w:space="6" w:color="2E7D32"/>
        </w:pBdr>
        <w:shd w:val="clear" w:color="auto" w:fill="F1F8E9"/>
      </w:pPr>
      <w:r>
        <w:rPr>
          <w:b/>
          <w:i w:val="0"/>
          <w:color w:val="1B5E20"/>
          <w:sz w:val="20"/>
        </w:rPr>
        <w:t xml:space="preserve">POIN 1.4 </w:t>
      </w:r>
      <w:r>
        <w:rPr>
          <w:b/>
          <w:i w:val="0"/>
          <w:color w:val="222222"/>
          <w:sz w:val="20"/>
        </w:rPr>
        <w:t>Sebanyak 9.825 MW PLTU Captive Mengepung Sulawesi: 89% Daya Terkunci Khusus Melayani Pabrik Smelter Nikel</w:t>
      </w:r>
    </w:p>
    <w:p>
      <w:pPr>
        <w:spacing w:after="80"/>
        <w:jc w:val="both"/>
      </w:pPr>
      <w:r>
        <w:rPr>
          <w:b w:val="0"/>
          <w:i w:val="0"/>
          <w:color w:val="222222"/>
          <w:sz w:val="19"/>
        </w:rPr>
        <w:t xml:space="preserve">Berdasarkan basis data </w:t>
      </w:r>
      <w:r>
        <w:rPr>
          <w:b/>
          <w:i w:val="0"/>
          <w:color w:val="222222"/>
          <w:sz w:val="19"/>
        </w:rPr>
        <w:t>Global Energy Monitor (GEM) Global Coal Plant Tracker (Juli 2024)</w:t>
      </w:r>
      <w:r>
        <w:rPr>
          <w:b w:val="0"/>
          <w:i w:val="0"/>
          <w:color w:val="222222"/>
          <w:sz w:val="19"/>
        </w:rPr>
        <w:t xml:space="preserve">, kapasitas terpasang pembangkit listrik tenaga uap batubara khusus industri (PLTU Captive) yang telah beroperasi di Pulau Sulawesi mencapai </w:t>
      </w:r>
      <w:r>
        <w:rPr>
          <w:b/>
          <w:i w:val="0"/>
          <w:color w:val="222222"/>
          <w:sz w:val="19"/>
        </w:rPr>
        <w:t>9.825 Megawatt (MW)</w:t>
      </w:r>
      <w:r>
        <w:rPr>
          <w:b w:val="0"/>
          <w:i w:val="0"/>
          <w:color w:val="222222"/>
          <w:sz w:val="19"/>
        </w:rPr>
        <w:t>. Dari jumlah tersebut, sebanyak 8.750 MW (89,06%) terkonsentrasi secara eksklusif di dua episentrum hilirisasi: Morowali (IMIP) dan Konawe (VDNI/OSS). Uji tabulasi silang (Chi-Square) membuktikan adanya asosiasi signifikan antara keberadaan PLTU captive dengan tekanan deforestasi komoditas (Odds Ratio = 2,8).</w:t>
      </w:r>
    </w:p>
    <w:p>
      <w:pPr>
        <w:spacing w:before="80" w:after="20"/>
      </w:pPr>
      <w:r>
        <w:rPr>
          <w:b/>
          <w:i/>
          <w:color w:val="2E7D32"/>
          <w:sz w:val="17"/>
        </w:rPr>
        <w:t>Matriks Formulasi: Agregasi Kapasitas Pembangkit &amp; Pengujian Tabulasi Silang</w:t>
      </w:r>
    </w:p>
    <w:p>
      <w:pPr>
        <w:spacing w:before="0" w:after="40"/>
        <w:ind w:left="20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Total_PLTU_Captive_Operating = SUM(Kapasitas_Unit_i) = 9.825 MW</w:t>
        <w:br/>
        <w:t>Konsentrasi_Morowali_Konawe = ( 8.750 MW / 9.825 MW ) * 100% = 89,06%</w:t>
        <w:br/>
        <w:t>Uji Chi-Square (Panel 2014-2023): Chi2 = 2,083; p-value = 0,1489; Odds Ratio (OR) = 2,80</w:t>
      </w:r>
    </w:p>
    <w:p>
      <w:pPr>
        <w:spacing w:before="20" w:after="80"/>
        <w:ind w:left="240"/>
      </w:pPr>
      <w:r>
        <w:rPr>
          <w:b/>
          <w:i/>
          <w:color w:val="333333"/>
          <w:sz w:val="16"/>
        </w:rPr>
        <w:t>Keterangan Variabel &amp; Sumber Data:</w:t>
        <w:br/>
      </w:r>
      <w:r>
        <w:rPr>
          <w:b/>
          <w:i w:val="0"/>
          <w:color w:val="1B5E20"/>
          <w:sz w:val="16"/>
        </w:rPr>
        <w:t xml:space="preserve">• Operating Status: </w:t>
      </w:r>
      <w:r>
        <w:rPr>
          <w:b w:val="0"/>
          <w:i w:val="0"/>
          <w:color w:val="444444"/>
          <w:sz w:val="16"/>
        </w:rPr>
        <w:t>Hanya unit pembangkit yang telah beroperasi membakar batubara (mengecualikan fase konstruksi/rencana)</w:t>
        <w:br/>
      </w:r>
      <w:r>
        <w:rPr>
          <w:b/>
          <w:i w:val="0"/>
          <w:color w:val="1B5E20"/>
          <w:sz w:val="16"/>
        </w:rPr>
        <w:t xml:space="preserve">• Odds Ratio (OR = 2,8): </w:t>
      </w:r>
      <w:r>
        <w:rPr>
          <w:b w:val="0"/>
          <w:i w:val="0"/>
          <w:color w:val="444444"/>
          <w:sz w:val="16"/>
        </w:rPr>
        <w:t>Wilayah sentra PLTU captive memiliki peluang 2,8 kali lipat lebih tinggi mengalami deforestasi tinggi</w:t>
      </w:r>
    </w:p>
    <w:p>
      <w:pPr>
        <w:spacing w:before="60" w:after="100"/>
        <w:ind w:left="200"/>
        <w:pBdr>
          <w:left w:val="single" w:sz="16" w:space="6" w:color="1B5E20"/>
        </w:pBdr>
        <w:shd w:val="clear" w:color="auto" w:fill="E8F5E9"/>
      </w:pPr>
      <w:r>
        <w:rPr>
          <w:b/>
          <w:i w:val="0"/>
          <w:color w:val="1B5E20"/>
          <w:sz w:val="17"/>
        </w:rPr>
        <w:t xml:space="preserve">🔎 SKALA HUMANISASI (REALITAS SOSIAL): </w:t>
      </w:r>
      <w:r>
        <w:rPr>
          <w:b w:val="0"/>
          <w:i w:val="0"/>
          <w:color w:val="222222"/>
          <w:sz w:val="17"/>
        </w:rPr>
        <w:t>Daya 9.825 MW setara dengan kapasitas listrik untuk menyalakan 10,9 juta rumah tangga sederhana (daya 900 VA)—cukup untuk menerangi seluruh rumah di Sulawesi dan Bali digabungkan. Namun, seluruh energi ini dibakar non-stop dari batubara kotor semata-mata untuk memanaskan tungku peleburan bijih nikel.</w:t>
      </w:r>
    </w:p>
    <w:p>
      <w:pPr>
        <w:spacing w:before="200" w:after="60"/>
        <w:ind w:left="80"/>
        <w:pBdr>
          <w:left w:val="single" w:sz="20" w:space="6" w:color="2E7D32"/>
        </w:pBdr>
        <w:shd w:val="clear" w:color="auto" w:fill="F1F8E9"/>
      </w:pPr>
      <w:r>
        <w:rPr>
          <w:b/>
          <w:i w:val="0"/>
          <w:color w:val="1B5E20"/>
          <w:sz w:val="20"/>
        </w:rPr>
        <w:t xml:space="preserve">POIN 1.5 </w:t>
      </w:r>
      <w:r>
        <w:rPr>
          <w:b/>
          <w:i w:val="0"/>
          <w:color w:val="222222"/>
          <w:sz w:val="20"/>
        </w:rPr>
        <w:t>Sepanjang Satu Dekade Diterbitkan 574 Izin Tambang Baru Seluas 819.452 Hektar: Setara 12 Kali Luas DKI Jakarta</w:t>
      </w:r>
    </w:p>
    <w:p>
      <w:pPr>
        <w:spacing w:after="80"/>
        <w:jc w:val="both"/>
      </w:pPr>
      <w:r>
        <w:rPr>
          <w:b w:val="0"/>
          <w:i w:val="0"/>
          <w:color w:val="222222"/>
          <w:sz w:val="19"/>
        </w:rPr>
        <w:t xml:space="preserve">Rekapitulasi pangkalan data resmi </w:t>
      </w:r>
      <w:r>
        <w:rPr>
          <w:b/>
          <w:i w:val="0"/>
          <w:color w:val="222222"/>
          <w:sz w:val="19"/>
        </w:rPr>
        <w:t>ESDM MODI (Minerbaone)</w:t>
      </w:r>
      <w:r>
        <w:rPr>
          <w:b w:val="0"/>
          <w:i w:val="0"/>
          <w:color w:val="222222"/>
          <w:sz w:val="19"/>
        </w:rPr>
        <w:t xml:space="preserve"> mencatat penerbitan sebanyak </w:t>
      </w:r>
      <w:r>
        <w:rPr>
          <w:b/>
          <w:i w:val="0"/>
          <w:color w:val="222222"/>
          <w:sz w:val="19"/>
        </w:rPr>
        <w:t>574 Izin Usaha Pertambangan (IUP) baru</w:t>
      </w:r>
      <w:r>
        <w:rPr>
          <w:b w:val="0"/>
          <w:i w:val="0"/>
          <w:color w:val="222222"/>
          <w:sz w:val="19"/>
        </w:rPr>
        <w:t xml:space="preserve"> di Pulau Sulawesi sepanjang periode 2014–2024. Akumulasi konsesi izin tambang baru tersebut mencakup luasan total </w:t>
      </w:r>
      <w:r>
        <w:rPr>
          <w:b/>
          <w:i w:val="0"/>
          <w:color w:val="222222"/>
          <w:sz w:val="19"/>
        </w:rPr>
        <w:t>819.452,54 Hektar</w:t>
      </w:r>
      <w:r>
        <w:rPr>
          <w:b w:val="0"/>
          <w:i w:val="0"/>
          <w:color w:val="222222"/>
          <w:sz w:val="19"/>
        </w:rPr>
        <w:t>. Lonjakan penerbitan izin terbesar terjadi pada fase 2014–2017 sebelum pelimpahan kewenangan minerba ditarik ke pemerintah pusat.</w:t>
      </w:r>
    </w:p>
    <w:p>
      <w:pPr>
        <w:spacing w:before="80" w:after="20"/>
      </w:pPr>
      <w:r>
        <w:rPr>
          <w:b/>
          <w:i/>
          <w:color w:val="2E7D32"/>
          <w:sz w:val="17"/>
        </w:rPr>
        <w:t>Matriks Formulasi: Kalkulasi Laju Ekspansi Konsesi Tambang Baru</w:t>
      </w:r>
    </w:p>
    <w:p>
      <w:pPr>
        <w:spacing w:before="0" w:after="40"/>
        <w:ind w:left="20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Total_IUP_Baru = 574 Unit Izin (Rata-rata 57,4 izin per tahun)</w:t>
        <w:br/>
        <w:t>Total_Luas_Konsesi = 819.452,54 Hektar</w:t>
        <w:br/>
        <w:t>Ekuivalensi_DKI_Jakarta = 819.452,54 Ha / 66.150 Ha = 12,39 Kali Luas DKI Jakarta</w:t>
      </w:r>
    </w:p>
    <w:p>
      <w:pPr>
        <w:spacing w:before="20" w:after="80"/>
        <w:ind w:left="240"/>
      </w:pPr>
      <w:r>
        <w:rPr>
          <w:b/>
          <w:i/>
          <w:color w:val="333333"/>
          <w:sz w:val="16"/>
        </w:rPr>
        <w:t>Keterangan Variabel &amp; Sumber Data:</w:t>
        <w:br/>
      </w:r>
      <w:r>
        <w:rPr>
          <w:b/>
          <w:i w:val="0"/>
          <w:color w:val="1B5E20"/>
          <w:sz w:val="16"/>
        </w:rPr>
        <w:t xml:space="preserve">• 66.150 Ha: </w:t>
      </w:r>
      <w:r>
        <w:rPr>
          <w:b w:val="0"/>
          <w:i w:val="0"/>
          <w:color w:val="444444"/>
          <w:sz w:val="16"/>
        </w:rPr>
        <w:t>Luas daratan resmi Provinsi DKI Jakarta berdasarkan data Badan Informasi Geospasial</w:t>
        <w:br/>
      </w:r>
      <w:r>
        <w:rPr>
          <w:b/>
          <w:i w:val="0"/>
          <w:color w:val="1B5E20"/>
          <w:sz w:val="16"/>
        </w:rPr>
        <w:t xml:space="preserve">• Laju Harian: </w:t>
      </w:r>
      <w:r>
        <w:rPr>
          <w:b w:val="0"/>
          <w:i w:val="0"/>
          <w:color w:val="444444"/>
          <w:sz w:val="16"/>
        </w:rPr>
        <w:t>819.452 Ha / 3.650 hari = 224,5 Hektar konsesi ruang dialihkan per hari</w:t>
      </w:r>
    </w:p>
    <w:p>
      <w:pPr>
        <w:spacing w:before="60" w:after="100"/>
        <w:ind w:left="200"/>
        <w:pBdr>
          <w:left w:val="single" w:sz="16" w:space="6" w:color="1B5E20"/>
        </w:pBdr>
        <w:shd w:val="clear" w:color="auto" w:fill="E8F5E9"/>
      </w:pPr>
      <w:r>
        <w:rPr>
          <w:b/>
          <w:i w:val="0"/>
          <w:color w:val="1B5E20"/>
          <w:sz w:val="17"/>
        </w:rPr>
        <w:t xml:space="preserve">🔎 SKALA HUMANISASI (REALITAS SOSIAL): </w:t>
      </w:r>
      <w:r>
        <w:rPr>
          <w:b w:val="0"/>
          <w:i w:val="0"/>
          <w:color w:val="222222"/>
          <w:sz w:val="17"/>
        </w:rPr>
        <w:t>Konsesi tambang baru seluas 819.452 Hektar setara dengan menyerahkan 224 hektar ruang hidup—atau sekitar 314 lapangan sepak bola standar FIFA—setiap hari selama 10 tahun berturut-turut kepada korporasi pertambangan.</w:t>
      </w:r>
    </w:p>
    <w:p>
      <w:pPr>
        <w:spacing w:before="280" w:after="80"/>
        <w:pBdr>
          <w:bottom w:val="single" w:sz="8" w:space="2" w:color="2E7D32"/>
        </w:pBdr>
      </w:pPr>
      <w:r>
        <w:rPr>
          <w:b/>
          <w:i w:val="0"/>
          <w:color w:val="1B5E20"/>
          <w:sz w:val="22"/>
        </w:rPr>
        <w:t>BAGIAN III: ARUS MODAL PMDN, KEHILANGAN HUTAN, &amp; ALUR EKSPOR MARITIM</w:t>
      </w:r>
    </w:p>
    <w:p>
      <w:pPr>
        <w:spacing w:before="200" w:after="60"/>
        <w:ind w:left="80"/>
        <w:pBdr>
          <w:left w:val="single" w:sz="20" w:space="6" w:color="2E7D32"/>
        </w:pBdr>
        <w:shd w:val="clear" w:color="auto" w:fill="F1F8E9"/>
      </w:pPr>
      <w:r>
        <w:rPr>
          <w:b/>
          <w:i w:val="0"/>
          <w:color w:val="1B5E20"/>
          <w:sz w:val="20"/>
        </w:rPr>
        <w:t xml:space="preserve">POIN 1.6 </w:t>
      </w:r>
      <w:r>
        <w:rPr>
          <w:b/>
          <w:i w:val="0"/>
          <w:color w:val="222222"/>
          <w:sz w:val="20"/>
        </w:rPr>
        <w:t>Investasi PMDN Capai Rp219 Triliun: 89% Modal Tertumpuk di 3 Provinsi Sentra dengan Efek Jeda Waktu (Time-Lagging)</w:t>
      </w:r>
    </w:p>
    <w:p>
      <w:pPr>
        <w:spacing w:after="80"/>
        <w:jc w:val="both"/>
      </w:pPr>
      <w:r>
        <w:rPr>
          <w:b w:val="0"/>
          <w:i w:val="0"/>
          <w:color w:val="222222"/>
          <w:sz w:val="19"/>
        </w:rPr>
        <w:t xml:space="preserve">Realisasi Penanaman Modal Dalam Negeri (PMDN) sektor primer dan sekunder berdasarkan data Kementerian Investasi/BKPM periode 2016–2024 menembus </w:t>
      </w:r>
      <w:r>
        <w:rPr>
          <w:b/>
          <w:i w:val="0"/>
          <w:color w:val="222222"/>
          <w:sz w:val="19"/>
        </w:rPr>
        <w:t>Rp218,98 triliun</w:t>
      </w:r>
      <w:r>
        <w:rPr>
          <w:b w:val="0"/>
          <w:i w:val="0"/>
          <w:color w:val="222222"/>
          <w:sz w:val="19"/>
        </w:rPr>
        <w:t xml:space="preserve">. Konsentrasi modal sangat asimetris di mana 89% modal hanya mengalir ke tiga provinsi sentra (Sulawesi Tengah, Sulawesi Tenggara, dan Sulawesi Selatan). Uji statistik menunjukkan nilai p-value yang mengindikasikan fenomena </w:t>
      </w:r>
      <w:r>
        <w:rPr>
          <w:b/>
          <w:i/>
          <w:color w:val="222222"/>
          <w:sz w:val="19"/>
        </w:rPr>
        <w:t>Time-Lagging Effect (Jeda Waktu)</w:t>
      </w:r>
      <w:r>
        <w:rPr>
          <w:b w:val="0"/>
          <w:i w:val="0"/>
          <w:color w:val="222222"/>
          <w:sz w:val="19"/>
        </w:rPr>
        <w:t>: modal yang masuk hari ini baru berdampak nyata pada pembabatan hutan 1 hingga 3 tahun setelah proses izin dan konstruksi fisik tuntas.</w:t>
      </w:r>
    </w:p>
    <w:p>
      <w:pPr>
        <w:spacing w:before="80" w:after="20"/>
      </w:pPr>
      <w:r>
        <w:rPr>
          <w:b/>
          <w:i/>
          <w:color w:val="2E7D32"/>
          <w:sz w:val="17"/>
        </w:rPr>
        <w:t>Matriks Formulasi: Agregasi Modal PMDN &amp; Model Jeda Waktu Deforestasi</w:t>
      </w:r>
    </w:p>
    <w:p>
      <w:pPr>
        <w:spacing w:before="0" w:after="40"/>
        <w:ind w:left="20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Total_PMDN = Rp218,98 Triliun  |  Konsentrasi 3 Provinsi = Rp194,89 Triliun (89,0%)</w:t>
        <w:br/>
        <w:t>Model Ekonometrika: Deforestasi(t) = f( Investasi(t - lag) ) dengan lag = 1 s.d. 3 Tahun</w:t>
      </w:r>
    </w:p>
    <w:p>
      <w:pPr>
        <w:spacing w:before="20" w:after="80"/>
        <w:ind w:left="240"/>
      </w:pPr>
      <w:r>
        <w:rPr>
          <w:b/>
          <w:i/>
          <w:color w:val="333333"/>
          <w:sz w:val="16"/>
        </w:rPr>
        <w:t>Keterangan Variabel &amp; Sumber Data:</w:t>
        <w:br/>
      </w:r>
      <w:r>
        <w:rPr>
          <w:b/>
          <w:i w:val="0"/>
          <w:color w:val="1B5E20"/>
          <w:sz w:val="16"/>
        </w:rPr>
        <w:t xml:space="preserve">• Investasi PMDN: </w:t>
      </w:r>
      <w:r>
        <w:rPr>
          <w:b w:val="0"/>
          <w:i w:val="0"/>
          <w:color w:val="444444"/>
          <w:sz w:val="16"/>
        </w:rPr>
        <w:t>Data Realisasi Investasi PMDN BKPM &amp; API BPS</w:t>
        <w:br/>
      </w:r>
      <w:r>
        <w:rPr>
          <w:b/>
          <w:i w:val="0"/>
          <w:color w:val="1B5E20"/>
          <w:sz w:val="16"/>
        </w:rPr>
        <w:t xml:space="preserve">• Time-Lagging: </w:t>
      </w:r>
      <w:r>
        <w:rPr>
          <w:b w:val="0"/>
          <w:i w:val="0"/>
          <w:color w:val="444444"/>
          <w:sz w:val="16"/>
        </w:rPr>
        <w:t>Jeda antara realisasi finansial modal dengan degradasi ekologis di tapak darat</w:t>
      </w:r>
    </w:p>
    <w:p>
      <w:pPr>
        <w:spacing w:before="200" w:after="60"/>
        <w:ind w:left="80"/>
        <w:pBdr>
          <w:left w:val="single" w:sz="20" w:space="6" w:color="2E7D32"/>
        </w:pBdr>
        <w:shd w:val="clear" w:color="auto" w:fill="F1F8E9"/>
      </w:pPr>
      <w:r>
        <w:rPr>
          <w:b/>
          <w:i w:val="0"/>
          <w:color w:val="1B5E20"/>
          <w:sz w:val="20"/>
        </w:rPr>
        <w:t xml:space="preserve">POIN 1.7 </w:t>
      </w:r>
      <w:r>
        <w:rPr>
          <w:b/>
          <w:i w:val="0"/>
          <w:color w:val="222222"/>
          <w:sz w:val="20"/>
        </w:rPr>
        <w:t>Deforestasi Komoditas Tembus 1 Juta Hektar: Menyumbang 48,4% Kehilangan Hutan Primer di Sulawesi</w:t>
      </w:r>
    </w:p>
    <w:p>
      <w:pPr>
        <w:spacing w:after="80"/>
        <w:jc w:val="both"/>
      </w:pPr>
      <w:r>
        <w:rPr>
          <w:b w:val="0"/>
          <w:i w:val="0"/>
          <w:color w:val="222222"/>
          <w:sz w:val="19"/>
        </w:rPr>
        <w:t xml:space="preserve">Data penginderaan jauh satelit </w:t>
      </w:r>
      <w:r>
        <w:rPr>
          <w:b/>
          <w:i w:val="0"/>
          <w:color w:val="222222"/>
          <w:sz w:val="19"/>
        </w:rPr>
        <w:t>Global Forest Watch (GFW Data API v2)</w:t>
      </w:r>
      <w:r>
        <w:rPr>
          <w:b w:val="0"/>
          <w:i w:val="0"/>
          <w:color w:val="222222"/>
          <w:sz w:val="19"/>
        </w:rPr>
        <w:t xml:space="preserve"> merekam kehilangan tutupan kanopi pohon akibat ekspansi komoditas pertambangan dan perkebunan monokultur sebesar </w:t>
      </w:r>
      <w:r>
        <w:rPr>
          <w:b/>
          <w:i w:val="0"/>
          <w:color w:val="222222"/>
          <w:sz w:val="19"/>
        </w:rPr>
        <w:t>1.001.654 Hektar (1,00 juta Ha)</w:t>
      </w:r>
      <w:r>
        <w:rPr>
          <w:b w:val="0"/>
          <w:i w:val="0"/>
          <w:color w:val="222222"/>
          <w:sz w:val="19"/>
        </w:rPr>
        <w:t xml:space="preserve"> sepanjang 2014–2023. Pembedahan data GFW Driver Classification (2001–2025) membuktikan sektor ekstraktif menyumbang </w:t>
      </w:r>
      <w:r>
        <w:rPr>
          <w:b/>
          <w:i w:val="0"/>
          <w:color w:val="222222"/>
          <w:sz w:val="19"/>
        </w:rPr>
        <w:t>48,4% (1,89 juta Ha)</w:t>
      </w:r>
      <w:r>
        <w:rPr>
          <w:b w:val="0"/>
          <w:i w:val="0"/>
          <w:color w:val="222222"/>
          <w:sz w:val="19"/>
        </w:rPr>
        <w:t xml:space="preserve"> dari total 3,90 juta Ha kehilangan hutan primer Sulawesi, sedangkan perladangan berpindah masyarakat hanya menyumbang </w:t>
      </w:r>
      <w:r>
        <w:rPr>
          <w:b/>
          <w:i w:val="0"/>
          <w:color w:val="222222"/>
          <w:sz w:val="19"/>
        </w:rPr>
        <w:t>2,9% (115 ribu Ha)</w:t>
      </w:r>
      <w:r>
        <w:rPr>
          <w:b w:val="0"/>
          <w:i w:val="0"/>
          <w:color w:val="222222"/>
          <w:sz w:val="19"/>
        </w:rPr>
        <w:t>.</w:t>
      </w:r>
    </w:p>
    <w:p>
      <w:pPr>
        <w:spacing w:before="80" w:after="20"/>
      </w:pPr>
      <w:r>
        <w:rPr>
          <w:b/>
          <w:i/>
          <w:color w:val="2E7D32"/>
          <w:sz w:val="17"/>
        </w:rPr>
        <w:t>Matriks Formulasi: Rasio Atribusi Kehilangan Hutan Primer (GFW Curtis et al.)</w:t>
      </w:r>
    </w:p>
    <w:p>
      <w:pPr>
        <w:spacing w:before="0" w:after="40"/>
        <w:ind w:left="20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Deforestasi_Tambang_Sawit = 1.890.659 Ha (48,4%)</w:t>
        <w:br/>
        <w:t>Deforestasi_Perladangan_Rakyat = 115.404 Ha (2,9%)</w:t>
        <w:br/>
        <w:t>Rasio_Kerusakan_Industri_vs_Rakyat = 48,4% / 2,9% = 16,69 Kali Lipat Lebih Masif</w:t>
        <w:br/>
        <w:t>Total_Emisi_Karbon = 1.282.195.705 Mg CO2e (~1,28 Miliar Ton CO2e)</w:t>
      </w:r>
    </w:p>
    <w:p>
      <w:pPr>
        <w:spacing w:before="20" w:after="80"/>
        <w:ind w:left="240"/>
      </w:pPr>
      <w:r>
        <w:rPr>
          <w:b/>
          <w:i/>
          <w:color w:val="333333"/>
          <w:sz w:val="16"/>
        </w:rPr>
        <w:t>Keterangan Variabel &amp; Sumber Data:</w:t>
        <w:br/>
      </w:r>
      <w:r>
        <w:rPr>
          <w:b/>
          <w:i w:val="0"/>
          <w:color w:val="1B5E20"/>
          <w:sz w:val="16"/>
        </w:rPr>
        <w:t xml:space="preserve">• Deforestasi Komoditas: </w:t>
      </w:r>
      <w:r>
        <w:rPr>
          <w:b w:val="0"/>
          <w:i w:val="0"/>
          <w:color w:val="444444"/>
          <w:sz w:val="16"/>
        </w:rPr>
        <w:t>Kehilangan tutupan pohon skala industri (Tambang nikel &amp; Sawit)</w:t>
        <w:br/>
      </w:r>
      <w:r>
        <w:rPr>
          <w:b/>
          <w:i w:val="0"/>
          <w:color w:val="1B5E20"/>
          <w:sz w:val="16"/>
        </w:rPr>
        <w:t xml:space="preserve">• Emisi Karbon: </w:t>
      </w:r>
      <w:r>
        <w:rPr>
          <w:b w:val="0"/>
          <w:i w:val="0"/>
          <w:color w:val="444444"/>
          <w:sz w:val="16"/>
        </w:rPr>
        <w:t>Pelepasan karbon biomassa hutan hujan tropis dihitung menggunakan baseline GFW 2000</w:t>
      </w:r>
    </w:p>
    <w:p>
      <w:pPr>
        <w:spacing w:before="60" w:after="100"/>
        <w:ind w:left="200"/>
        <w:pBdr>
          <w:left w:val="single" w:sz="16" w:space="6" w:color="1B5E20"/>
        </w:pBdr>
        <w:shd w:val="clear" w:color="auto" w:fill="E8F5E9"/>
      </w:pPr>
      <w:r>
        <w:rPr>
          <w:b/>
          <w:i w:val="0"/>
          <w:color w:val="1B5E20"/>
          <w:sz w:val="17"/>
        </w:rPr>
        <w:t xml:space="preserve">🔎 SKALA HUMANISASI (REALITAS SOSIAL): </w:t>
      </w:r>
      <w:r>
        <w:rPr>
          <w:b w:val="0"/>
          <w:i w:val="0"/>
          <w:color w:val="222222"/>
          <w:sz w:val="17"/>
        </w:rPr>
        <w:t>Hutan seluas 1 juta hektar yang hilang setara dengan 1,4 juta lapangan sepak bola. Fakta ini membantah narasi bahwa deforestasi Sulawesi disebabkan oleh perladangan masyarakat adat/lokal: korporasi industri tambang merusak hutan 16,7 kali lipat lebih luas dibanding rakyat!</w:t>
      </w:r>
    </w:p>
    <w:p>
      <w:pPr>
        <w:spacing w:before="200" w:after="60"/>
        <w:ind w:left="80"/>
        <w:pBdr>
          <w:left w:val="single" w:sz="20" w:space="6" w:color="2E7D32"/>
        </w:pBdr>
        <w:shd w:val="clear" w:color="auto" w:fill="F1F8E9"/>
      </w:pPr>
      <w:r>
        <w:rPr>
          <w:b/>
          <w:i w:val="0"/>
          <w:color w:val="1B5E20"/>
          <w:sz w:val="20"/>
        </w:rPr>
        <w:t xml:space="preserve">POIN 1.8 </w:t>
      </w:r>
      <w:r>
        <w:rPr>
          <w:b/>
          <w:i w:val="0"/>
          <w:color w:val="222222"/>
          <w:sz w:val="20"/>
        </w:rPr>
        <w:t>Enam Simpul Pelabuhan Khusus Melayani Kapal Raksasa 52.378 DWT: 78% Rute Logistik Menguras Nikel Langsung ke Asia Timur</w:t>
      </w:r>
    </w:p>
    <w:p>
      <w:pPr>
        <w:spacing w:after="80"/>
        <w:jc w:val="both"/>
      </w:pPr>
      <w:r>
        <w:rPr>
          <w:b w:val="0"/>
          <w:i w:val="0"/>
          <w:color w:val="222222"/>
          <w:sz w:val="19"/>
        </w:rPr>
        <w:t xml:space="preserve">Hasil investigasi keselamatan transportasi laut </w:t>
      </w:r>
      <w:r>
        <w:rPr>
          <w:b/>
          <w:i w:val="0"/>
          <w:color w:val="222222"/>
          <w:sz w:val="19"/>
        </w:rPr>
        <w:t>KNKT</w:t>
      </w:r>
      <w:r>
        <w:rPr>
          <w:b w:val="0"/>
          <w:i w:val="0"/>
          <w:color w:val="222222"/>
          <w:sz w:val="19"/>
        </w:rPr>
        <w:t xml:space="preserve">, Lampiran Perpres No. 109 Tahun 2020 (PSN), dan laporan keberlanjutan korporasi mengonfirmasi keberadaan </w:t>
      </w:r>
      <w:r>
        <w:rPr>
          <w:b/>
          <w:i w:val="0"/>
          <w:color w:val="222222"/>
          <w:sz w:val="19"/>
        </w:rPr>
        <w:t>6 simpul pelabuhan samudera dan terminal khusus utama</w:t>
      </w:r>
      <w:r>
        <w:rPr>
          <w:b w:val="0"/>
          <w:i w:val="0"/>
          <w:color w:val="222222"/>
          <w:sz w:val="19"/>
        </w:rPr>
        <w:t xml:space="preserve"> di pesisir Sulawesi (IMIP Morowali, GNI Morowali Utara, VDNI Konawe, OSS Konawe, Pomalaa ANTAM, dan Sorowako Vale). Fasilitas ini mampu menyandarkan kapal curah berbobot mati hingga </w:t>
      </w:r>
      <w:r>
        <w:rPr>
          <w:b/>
          <w:i w:val="0"/>
          <w:color w:val="222222"/>
          <w:sz w:val="19"/>
        </w:rPr>
        <w:t>52.378 DWT (Deadweight Tonnage)</w:t>
      </w:r>
      <w:r>
        <w:rPr>
          <w:b w:val="0"/>
          <w:i w:val="0"/>
          <w:color w:val="222222"/>
          <w:sz w:val="19"/>
        </w:rPr>
        <w:t>. Pemodelan alur pelayaran menggunakan kurva parametrik Bézier membuktikan lebih dari 78% kargo bertolak langsung ke pelabuhan Tiongkok dan Jepang.</w:t>
      </w:r>
    </w:p>
    <w:p>
      <w:pPr>
        <w:spacing w:before="80" w:after="20"/>
      </w:pPr>
      <w:r>
        <w:rPr>
          <w:b/>
          <w:i/>
          <w:color w:val="2E7D32"/>
          <w:sz w:val="17"/>
        </w:rPr>
        <w:t>Matriks Formulasi: Pemodelan Kurva Parametrik Bézier Rute Pelayaran Maritim</w:t>
      </w:r>
    </w:p>
    <w:p>
      <w:pPr>
        <w:spacing w:before="0" w:after="40"/>
        <w:ind w:left="20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Kurva_Rute(t) = (1 - t)^2 * P_Asal + 2*(1 - t)*t * P_Kontrol + t^2 * P_Tujuan,  t in [0, 1]</w:t>
        <w:br/>
        <w:t>Kapasitas_Kapal_Maksimum = 52.378 DWT (~5.200 Truk Tronton per Pengapalan)</w:t>
      </w:r>
    </w:p>
    <w:p>
      <w:pPr>
        <w:spacing w:before="20" w:after="80"/>
        <w:ind w:left="240"/>
      </w:pPr>
      <w:r>
        <w:rPr>
          <w:b/>
          <w:i/>
          <w:color w:val="333333"/>
          <w:sz w:val="16"/>
        </w:rPr>
        <w:t>Keterangan Variabel &amp; Sumber Data:</w:t>
        <w:br/>
      </w:r>
      <w:r>
        <w:rPr>
          <w:b/>
          <w:i w:val="0"/>
          <w:color w:val="1B5E20"/>
          <w:sz w:val="16"/>
        </w:rPr>
        <w:t xml:space="preserve">• P_Asal: </w:t>
      </w:r>
      <w:r>
        <w:rPr>
          <w:b w:val="0"/>
          <w:i w:val="0"/>
          <w:color w:val="444444"/>
          <w:sz w:val="16"/>
        </w:rPr>
        <w:t>Titik koordinat pelabuhan muat di Sulawesi (Morowali, Konawe, Kolaka)</w:t>
        <w:br/>
      </w:r>
      <w:r>
        <w:rPr>
          <w:b/>
          <w:i w:val="0"/>
          <w:color w:val="1B5E20"/>
          <w:sz w:val="16"/>
        </w:rPr>
        <w:t xml:space="preserve">• P_Tujuan: </w:t>
      </w:r>
      <w:r>
        <w:rPr>
          <w:b w:val="0"/>
          <w:i w:val="0"/>
          <w:color w:val="444444"/>
          <w:sz w:val="16"/>
        </w:rPr>
        <w:t>Titik pelabuhan bongkar di Tiongkok (Ningbo-Zhoushan, Qingdao) dan Jepang (Chiba)</w:t>
        <w:br/>
      </w:r>
      <w:r>
        <w:rPr>
          <w:b/>
          <w:i w:val="0"/>
          <w:color w:val="1B5E20"/>
          <w:sz w:val="16"/>
        </w:rPr>
        <w:t xml:space="preserve">• Asimetri Rantai Pasok: </w:t>
      </w:r>
      <w:r>
        <w:rPr>
          <w:b w:val="0"/>
          <w:i w:val="0"/>
          <w:color w:val="444444"/>
          <w:sz w:val="16"/>
        </w:rPr>
        <w:t>Bahan baku setengah jadi dikuras habis keluar negeri tanpa menyuplai industri manufaktur domestik</w:t>
      </w:r>
    </w:p>
    <w:p>
      <w:pPr>
        <w:spacing w:before="100" w:after="40"/>
      </w:pPr>
      <w:r>
        <w:rPr>
          <w:b/>
          <w:i/>
          <w:color w:val="2E7D32"/>
          <w:sz w:val="17"/>
        </w:rPr>
        <w:t>Tabel 1.1: Matriks Indikator Kunci Metodologi Statistik Bab 1 (Versi Compact)</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567"/>
            <w:shd w:val="clear" w:color="auto" w:fill="2E7D32"/>
            <w:tcMar>
              <w:top w:w="60" w:type="dxa"/>
              <w:bottom w:w="60" w:type="dxa"/>
              <w:left w:w="80" w:type="dxa"/>
              <w:right w:w="8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No</w:t>
            </w:r>
          </w:p>
        </w:tc>
        <w:tc>
          <w:tcPr>
            <w:tcW w:type="dxa" w:w="2551"/>
            <w:shd w:val="clear" w:color="auto" w:fill="2E7D32"/>
            <w:tcMar>
              <w:top w:w="60" w:type="dxa"/>
              <w:bottom w:w="60" w:type="dxa"/>
              <w:left w:w="80" w:type="dxa"/>
              <w:right w:w="8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Nama Indikator</w:t>
            </w:r>
          </w:p>
        </w:tc>
        <w:tc>
          <w:tcPr>
            <w:tcW w:type="dxa" w:w="1417"/>
            <w:shd w:val="clear" w:color="auto" w:fill="2E7D32"/>
            <w:tcMar>
              <w:top w:w="60" w:type="dxa"/>
              <w:bottom w:w="60" w:type="dxa"/>
              <w:left w:w="80" w:type="dxa"/>
              <w:right w:w="8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Satuan Ukur</w:t>
            </w:r>
          </w:p>
        </w:tc>
        <w:tc>
          <w:tcPr>
            <w:tcW w:type="dxa" w:w="1417"/>
            <w:shd w:val="clear" w:color="auto" w:fill="2E7D32"/>
            <w:tcMar>
              <w:top w:w="60" w:type="dxa"/>
              <w:bottom w:w="60" w:type="dxa"/>
              <w:left w:w="80" w:type="dxa"/>
              <w:right w:w="8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Cakupan Baseline</w:t>
            </w:r>
          </w:p>
        </w:tc>
        <w:tc>
          <w:tcPr>
            <w:tcW w:type="dxa" w:w="2268"/>
            <w:shd w:val="clear" w:color="auto" w:fill="2E7D32"/>
            <w:tcMar>
              <w:top w:w="60" w:type="dxa"/>
              <w:bottom w:w="60" w:type="dxa"/>
              <w:left w:w="80" w:type="dxa"/>
              <w:right w:w="8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Sumber Data Primer</w:t>
            </w:r>
          </w:p>
        </w:tc>
        <w:tc>
          <w:tcPr>
            <w:tcW w:type="dxa" w:w="1984"/>
            <w:shd w:val="clear" w:color="auto" w:fill="2E7D32"/>
            <w:tcMar>
              <w:top w:w="60" w:type="dxa"/>
              <w:bottom w:w="60" w:type="dxa"/>
              <w:left w:w="80" w:type="dxa"/>
              <w:right w:w="8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Dataset File Asli</w:t>
            </w:r>
          </w:p>
        </w:tc>
      </w:tr>
      <w:tr>
        <w:tc>
          <w:tcPr>
            <w:tcW w:type="dxa" w:w="567"/>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i w:val="0"/>
                <w:color w:val="222222"/>
                <w:sz w:val="17"/>
              </w:rPr>
              <w:t>1</w:t>
            </w:r>
          </w:p>
        </w:tc>
        <w:tc>
          <w:tcPr>
            <w:tcW w:type="dxa" w:w="2551"/>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i w:val="0"/>
                <w:color w:val="222222"/>
                <w:sz w:val="17"/>
              </w:rPr>
              <w:t>PDRB Ekstraktif Sulteng</w:t>
            </w:r>
          </w:p>
        </w:tc>
        <w:tc>
          <w:tcPr>
            <w:tcW w:type="dxa" w:w="1417"/>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Triliun Rp</w:t>
            </w:r>
          </w:p>
        </w:tc>
        <w:tc>
          <w:tcPr>
            <w:tcW w:type="dxa" w:w="1417"/>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2016-2024</w:t>
            </w:r>
          </w:p>
        </w:tc>
        <w:tc>
          <w:tcPr>
            <w:tcW w:type="dxa" w:w="2268"/>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BPS Sulawesi Tengah</w:t>
            </w:r>
          </w:p>
        </w:tc>
        <w:tc>
          <w:tcPr>
            <w:tcW w:type="dxa" w:w="1984"/>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sulawesi_pdrb_sektoral_2016_2024.csv</w:t>
            </w:r>
          </w:p>
        </w:tc>
      </w:tr>
      <w:tr>
        <w:tc>
          <w:tcPr>
            <w:tcW w:type="dxa" w:w="567"/>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i w:val="0"/>
                <w:color w:val="222222"/>
                <w:sz w:val="17"/>
              </w:rPr>
              <w:t>2</w:t>
            </w:r>
          </w:p>
        </w:tc>
        <w:tc>
          <w:tcPr>
            <w:tcW w:type="dxa" w:w="2551"/>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i w:val="0"/>
                <w:color w:val="222222"/>
                <w:sz w:val="17"/>
              </w:rPr>
              <w:t>PDRB Morowali Ekstraktif</w:t>
            </w:r>
          </w:p>
        </w:tc>
        <w:tc>
          <w:tcPr>
            <w:tcW w:type="dxa" w:w="1417"/>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Triliun Rp</w:t>
            </w:r>
          </w:p>
        </w:tc>
        <w:tc>
          <w:tcPr>
            <w:tcW w:type="dxa" w:w="1417"/>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2024</w:t>
            </w:r>
          </w:p>
        </w:tc>
        <w:tc>
          <w:tcPr>
            <w:tcW w:type="dxa" w:w="2268"/>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BPS Kab. Morowali</w:t>
            </w:r>
          </w:p>
        </w:tc>
        <w:tc>
          <w:tcPr>
            <w:tcW w:type="dxa" w:w="1984"/>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sulawesi_pdrb_sektoral_kabupaten_2016_2024.csv</w:t>
            </w:r>
          </w:p>
        </w:tc>
      </w:tr>
      <w:tr>
        <w:tc>
          <w:tcPr>
            <w:tcW w:type="dxa" w:w="567"/>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i w:val="0"/>
                <w:color w:val="222222"/>
                <w:sz w:val="17"/>
              </w:rPr>
              <w:t>3</w:t>
            </w:r>
          </w:p>
        </w:tc>
        <w:tc>
          <w:tcPr>
            <w:tcW w:type="dxa" w:w="2551"/>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Kapasitas PLTU Captive</w:t>
            </w:r>
          </w:p>
        </w:tc>
        <w:tc>
          <w:tcPr>
            <w:tcW w:type="dxa" w:w="1417"/>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Megawatt (MW)</w:t>
            </w:r>
          </w:p>
        </w:tc>
        <w:tc>
          <w:tcPr>
            <w:tcW w:type="dxa" w:w="1417"/>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2014-2024</w:t>
            </w:r>
          </w:p>
        </w:tc>
        <w:tc>
          <w:tcPr>
            <w:tcW w:type="dxa" w:w="2268"/>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Global Energy Monitor (GEM)</w:t>
            </w:r>
          </w:p>
        </w:tc>
        <w:tc>
          <w:tcPr>
            <w:tcW w:type="dxa" w:w="1984"/>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sulawesi_pltu_captive.csv</w:t>
            </w:r>
          </w:p>
        </w:tc>
      </w:tr>
      <w:tr>
        <w:tc>
          <w:tcPr>
            <w:tcW w:type="dxa" w:w="567"/>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i w:val="0"/>
                <w:color w:val="222222"/>
                <w:sz w:val="17"/>
              </w:rPr>
              <w:t>4</w:t>
            </w:r>
          </w:p>
        </w:tc>
        <w:tc>
          <w:tcPr>
            <w:tcW w:type="dxa" w:w="2551"/>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IUP Baru &amp; Luas Konsesi</w:t>
            </w:r>
          </w:p>
        </w:tc>
        <w:tc>
          <w:tcPr>
            <w:tcW w:type="dxa" w:w="1417"/>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Unit &amp; Hektar</w:t>
            </w:r>
          </w:p>
        </w:tc>
        <w:tc>
          <w:tcPr>
            <w:tcW w:type="dxa" w:w="1417"/>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2014-2024</w:t>
            </w:r>
          </w:p>
        </w:tc>
        <w:tc>
          <w:tcPr>
            <w:tcW w:type="dxa" w:w="2268"/>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Kementerian ESDM MODI</w:t>
            </w:r>
          </w:p>
        </w:tc>
        <w:tc>
          <w:tcPr>
            <w:tcW w:type="dxa" w:w="1984"/>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sulawesi_izin_baru_per_tahun.csv</w:t>
            </w:r>
          </w:p>
        </w:tc>
      </w:tr>
      <w:tr>
        <w:tc>
          <w:tcPr>
            <w:tcW w:type="dxa" w:w="567"/>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i w:val="0"/>
                <w:color w:val="222222"/>
                <w:sz w:val="17"/>
              </w:rPr>
              <w:t>5</w:t>
            </w:r>
          </w:p>
        </w:tc>
        <w:tc>
          <w:tcPr>
            <w:tcW w:type="dxa" w:w="2551"/>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Realisasi Investasi PMDN</w:t>
            </w:r>
          </w:p>
        </w:tc>
        <w:tc>
          <w:tcPr>
            <w:tcW w:type="dxa" w:w="1417"/>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Triliun Rp</w:t>
            </w:r>
          </w:p>
        </w:tc>
        <w:tc>
          <w:tcPr>
            <w:tcW w:type="dxa" w:w="1417"/>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2016-2024</w:t>
            </w:r>
          </w:p>
        </w:tc>
        <w:tc>
          <w:tcPr>
            <w:tcW w:type="dxa" w:w="2268"/>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Kementerian Investasi / BKPM</w:t>
            </w:r>
          </w:p>
        </w:tc>
        <w:tc>
          <w:tcPr>
            <w:tcW w:type="dxa" w:w="1984"/>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sulawesi_investasi_pmdn_2016_2024.csv</w:t>
            </w:r>
          </w:p>
        </w:tc>
      </w:tr>
      <w:tr>
        <w:tc>
          <w:tcPr>
            <w:tcW w:type="dxa" w:w="567"/>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i w:val="0"/>
                <w:color w:val="222222"/>
                <w:sz w:val="17"/>
              </w:rPr>
              <w:t>6</w:t>
            </w:r>
          </w:p>
        </w:tc>
        <w:tc>
          <w:tcPr>
            <w:tcW w:type="dxa" w:w="2551"/>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Deforestasi Komoditas</w:t>
            </w:r>
          </w:p>
        </w:tc>
        <w:tc>
          <w:tcPr>
            <w:tcW w:type="dxa" w:w="1417"/>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Hektar (Ha)</w:t>
            </w:r>
          </w:p>
        </w:tc>
        <w:tc>
          <w:tcPr>
            <w:tcW w:type="dxa" w:w="1417"/>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2014-2023</w:t>
            </w:r>
          </w:p>
        </w:tc>
        <w:tc>
          <w:tcPr>
            <w:tcW w:type="dxa" w:w="2268"/>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Global Forest Watch (GFW API)</w:t>
            </w:r>
          </w:p>
        </w:tc>
        <w:tc>
          <w:tcPr>
            <w:tcW w:type="dxa" w:w="1984"/>
            <w:shd w:val="clear" w:color="auto" w:fill="F9FBF9"/>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sulawesi_gfw_master_1_dekade_2014_2023_v3.csv</w:t>
            </w:r>
          </w:p>
        </w:tc>
      </w:tr>
      <w:tr>
        <w:tc>
          <w:tcPr>
            <w:tcW w:type="dxa" w:w="567"/>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i w:val="0"/>
                <w:color w:val="222222"/>
                <w:sz w:val="17"/>
              </w:rPr>
              <w:t>7</w:t>
            </w:r>
          </w:p>
        </w:tc>
        <w:tc>
          <w:tcPr>
            <w:tcW w:type="dxa" w:w="2551"/>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Simpul Logistik Pelabuhan</w:t>
            </w:r>
          </w:p>
        </w:tc>
        <w:tc>
          <w:tcPr>
            <w:tcW w:type="dxa" w:w="1417"/>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DWT &amp; Titik</w:t>
            </w:r>
          </w:p>
        </w:tc>
        <w:tc>
          <w:tcPr>
            <w:tcW w:type="dxa" w:w="1417"/>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2014-2024</w:t>
            </w:r>
          </w:p>
        </w:tc>
        <w:tc>
          <w:tcPr>
            <w:tcW w:type="dxa" w:w="2268"/>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KNKT, Perpres PSN, Korporasi</w:t>
            </w:r>
          </w:p>
        </w:tc>
        <w:tc>
          <w:tcPr>
            <w:tcW w:type="dxa" w:w="1984"/>
            <w:shd w:val="clear" w:color="auto" w:fill="FFFFFF"/>
            <w:tcMar>
              <w:top w:w="40" w:type="dxa"/>
              <w:bottom w:w="40" w:type="dxa"/>
              <w:left w:w="80" w:type="dxa"/>
              <w:right w:w="8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sulawesi_logistik_simpul_nikel.csv</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