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0C58" w14:textId="41C5E8C4" w:rsidR="00152AC7" w:rsidRDefault="00581A2B" w:rsidP="00E77A20">
      <w:pPr>
        <w:pStyle w:val="IEEETitle"/>
        <w:rPr>
          <w:sz w:val="40"/>
          <w:szCs w:val="40"/>
        </w:rPr>
      </w:pPr>
      <w:r>
        <w:rPr>
          <w:sz w:val="40"/>
          <w:szCs w:val="40"/>
        </w:rPr>
        <w:t xml:space="preserve">Coaching a Team Through Secure Development </w:t>
      </w:r>
      <w:r w:rsidR="006A2F05">
        <w:rPr>
          <w:sz w:val="40"/>
          <w:szCs w:val="40"/>
        </w:rPr>
        <w:t>Lifecycle</w:t>
      </w:r>
      <w:r>
        <w:rPr>
          <w:sz w:val="40"/>
          <w:szCs w:val="40"/>
        </w:rPr>
        <w:t xml:space="preserve">: </w:t>
      </w:r>
    </w:p>
    <w:p w14:paraId="1DDD6BAD" w14:textId="3135AB0E" w:rsidR="007851F8" w:rsidRPr="00A17E84" w:rsidRDefault="000A2F75" w:rsidP="00E77A20">
      <w:pPr>
        <w:pStyle w:val="IEEETitle"/>
        <w:rPr>
          <w:sz w:val="40"/>
          <w:szCs w:val="40"/>
        </w:rPr>
      </w:pPr>
      <w:r w:rsidRPr="00A17E84">
        <w:rPr>
          <w:sz w:val="40"/>
          <w:szCs w:val="40"/>
        </w:rPr>
        <w:t xml:space="preserve">How </w:t>
      </w:r>
      <w:r w:rsidR="00581A2B">
        <w:rPr>
          <w:sz w:val="40"/>
          <w:szCs w:val="40"/>
        </w:rPr>
        <w:t>effective is it?</w:t>
      </w:r>
      <w:r w:rsidR="007851F8" w:rsidRPr="00A17E84">
        <w:rPr>
          <w:sz w:val="40"/>
          <w:szCs w:val="40"/>
        </w:rPr>
        <w:t xml:space="preserve"> </w:t>
      </w:r>
    </w:p>
    <w:p w14:paraId="695DAFFB" w14:textId="60F037FE" w:rsidR="007851F8" w:rsidRPr="00F325E3" w:rsidRDefault="00581A2B" w:rsidP="00E75EBF">
      <w:pPr>
        <w:pStyle w:val="IEEEAuthorAffiliation"/>
        <w:spacing w:after="0"/>
        <w:rPr>
          <w:szCs w:val="20"/>
        </w:rPr>
      </w:pPr>
      <w:r>
        <w:rPr>
          <w:szCs w:val="20"/>
        </w:rPr>
        <w:t>Tandon School of Engineering, New York University,</w:t>
      </w:r>
      <w:r w:rsidR="00E75EBF">
        <w:rPr>
          <w:szCs w:val="20"/>
        </w:rPr>
        <w:t xml:space="preserve"> </w:t>
      </w:r>
      <w:r w:rsidR="00E75EBF" w:rsidRPr="00E75EBF">
        <w:rPr>
          <w:szCs w:val="20"/>
        </w:rPr>
        <w:t>Brooklyn, NY 11201</w:t>
      </w:r>
    </w:p>
    <w:p w14:paraId="4A352D9D" w14:textId="55B6A6FB" w:rsidR="007851F8" w:rsidRDefault="007851F8" w:rsidP="0025058B">
      <w:pPr>
        <w:pStyle w:val="IEEEAuthorName"/>
        <w:spacing w:before="0" w:after="0"/>
      </w:pPr>
      <w:r>
        <w:br/>
      </w:r>
    </w:p>
    <w:p w14:paraId="7523BC6B" w14:textId="77777777" w:rsidR="0025058B" w:rsidRPr="0025058B" w:rsidRDefault="0025058B" w:rsidP="0025058B">
      <w:pPr>
        <w:rPr>
          <w:lang w:val="en-GB"/>
        </w:rPr>
      </w:pPr>
    </w:p>
    <w:p w14:paraId="770053A6" w14:textId="77777777" w:rsidR="007851F8" w:rsidRDefault="007851F8"/>
    <w:p w14:paraId="6295EE08" w14:textId="77777777" w:rsidR="007851F8" w:rsidRDefault="007851F8">
      <w:pPr>
        <w:sectPr w:rsidR="007851F8" w:rsidSect="000A2F75">
          <w:headerReference w:type="first" r:id="rId8"/>
          <w:footnotePr>
            <w:pos w:val="beneathText"/>
          </w:footnotePr>
          <w:type w:val="continuous"/>
          <w:pgSz w:w="12240" w:h="15840" w:code="1"/>
          <w:pgMar w:top="1276" w:right="868" w:bottom="1871" w:left="868" w:header="709" w:footer="720" w:gutter="0"/>
          <w:cols w:space="720"/>
          <w:docGrid w:linePitch="360"/>
        </w:sectPr>
      </w:pPr>
    </w:p>
    <w:p w14:paraId="2CD983F2" w14:textId="15D1A69B" w:rsidR="007851F8" w:rsidRPr="00BA2BE9" w:rsidRDefault="006D0BF1">
      <w:pPr>
        <w:pStyle w:val="IEEEAbtract"/>
        <w:rPr>
          <w:lang w:val="en-US"/>
        </w:rPr>
      </w:pPr>
      <w:r>
        <w:rPr>
          <w:rStyle w:val="IEEEAbstractHeadingChar"/>
        </w:rPr>
        <w:t>Hypotyposis/</w:t>
      </w:r>
      <w:r w:rsidR="007851F8">
        <w:rPr>
          <w:rStyle w:val="IEEEAbstractHeadingChar"/>
        </w:rPr>
        <w:t>Abstract</w:t>
      </w:r>
      <w:r w:rsidR="007851F8">
        <w:t xml:space="preserve">— </w:t>
      </w:r>
      <w:r w:rsidR="003F6410" w:rsidRPr="003F6410">
        <w:rPr>
          <w:lang w:val="en-US"/>
        </w:rPr>
        <w:t>It is hypothesized that coaching a development team to build security into the products and services they develop can reduce the frequency of security vulnerabilities and/or security incidents overtime.</w:t>
      </w:r>
    </w:p>
    <w:p w14:paraId="2FA7A8FE" w14:textId="77777777" w:rsidR="007851F8" w:rsidRDefault="007851F8">
      <w:pPr>
        <w:pStyle w:val="IEEEHeading1"/>
      </w:pPr>
      <w:r>
        <w:t>Introduction</w:t>
      </w:r>
    </w:p>
    <w:p w14:paraId="4FFD0081" w14:textId="77777777" w:rsidR="00260237" w:rsidRDefault="000A19EA">
      <w:pPr>
        <w:pStyle w:val="IEEEParagraph"/>
      </w:pPr>
      <w:r>
        <w:t>“</w:t>
      </w:r>
      <w:r w:rsidR="0096629F">
        <w:t xml:space="preserve">There is always a </w:t>
      </w:r>
      <w:r>
        <w:t>trade-off</w:t>
      </w:r>
      <w:r w:rsidR="0096629F">
        <w:t xml:space="preserve"> between usability and security</w:t>
      </w:r>
      <w:r>
        <w:t>. A</w:t>
      </w:r>
      <w:r w:rsidR="00F160AF">
        <w:t xml:space="preserve">nd </w:t>
      </w:r>
      <w:r>
        <w:t>between cost and risk”</w:t>
      </w:r>
      <w:r w:rsidR="00D8234F">
        <w:t>.</w:t>
      </w:r>
      <w:sdt>
        <w:sdtPr>
          <w:id w:val="-832676982"/>
          <w:citation/>
        </w:sdtPr>
        <w:sdtContent>
          <w:r w:rsidR="005678DC">
            <w:fldChar w:fldCharType="begin"/>
          </w:r>
          <w:r w:rsidR="005678DC">
            <w:rPr>
              <w:lang w:val="en-US"/>
            </w:rPr>
            <w:instrText xml:space="preserve"> CITATION Sϕh18 \l 1033 </w:instrText>
          </w:r>
          <w:r w:rsidR="005678DC">
            <w:fldChar w:fldCharType="separate"/>
          </w:r>
          <w:r w:rsidR="005678DC">
            <w:rPr>
              <w:noProof/>
              <w:lang w:val="en-US"/>
            </w:rPr>
            <w:t xml:space="preserve"> </w:t>
          </w:r>
          <w:r w:rsidR="005678DC" w:rsidRPr="005678DC">
            <w:rPr>
              <w:noProof/>
              <w:lang w:val="en-US"/>
            </w:rPr>
            <w:t>[1]</w:t>
          </w:r>
          <w:r w:rsidR="005678DC">
            <w:fldChar w:fldCharType="end"/>
          </w:r>
        </w:sdtContent>
      </w:sdt>
      <w:r w:rsidR="00C642DD">
        <w:t xml:space="preserve">. </w:t>
      </w:r>
      <w:r w:rsidR="00D8234F">
        <w:t>This thinking has led to the rise of DevSecOps, or also known as secure development lifecycle</w:t>
      </w:r>
      <w:r w:rsidR="005B1EFA">
        <w:t xml:space="preserve"> (SDL)</w:t>
      </w:r>
      <w:r w:rsidR="00D8234F">
        <w:t>.</w:t>
      </w:r>
      <w:r w:rsidR="0098157B">
        <w:t xml:space="preserve"> </w:t>
      </w:r>
      <w:r w:rsidR="008805E4">
        <w:t xml:space="preserve">“DevSecOps is a </w:t>
      </w:r>
      <w:r w:rsidR="009F124A">
        <w:t xml:space="preserve">transformational </w:t>
      </w:r>
      <w:r w:rsidR="000B2CB8">
        <w:t>shift</w:t>
      </w:r>
      <w:r w:rsidR="009F124A">
        <w:t xml:space="preserve"> that </w:t>
      </w:r>
      <w:r w:rsidR="000B2CB8">
        <w:t>incorporates</w:t>
      </w:r>
      <w:r w:rsidR="009F124A">
        <w:t xml:space="preserve"> secure </w:t>
      </w:r>
      <w:r w:rsidR="000B2CB8">
        <w:t>culture</w:t>
      </w:r>
      <w:r w:rsidR="009F124A">
        <w:t xml:space="preserve">, practices, and tools </w:t>
      </w:r>
      <w:r w:rsidR="000B2CB8">
        <w:t>into</w:t>
      </w:r>
      <w:r w:rsidR="009F124A">
        <w:t xml:space="preserve"> each phase of the DevOps process.”</w:t>
      </w:r>
      <w:sdt>
        <w:sdtPr>
          <w:id w:val="814995370"/>
          <w:citation/>
        </w:sdtPr>
        <w:sdtContent>
          <w:r w:rsidR="000B2CB8">
            <w:fldChar w:fldCharType="begin"/>
          </w:r>
          <w:r w:rsidR="000B2CB8">
            <w:rPr>
              <w:lang w:val="en-US"/>
            </w:rPr>
            <w:instrText xml:space="preserve"> CITATION Kos20 \l 1033 </w:instrText>
          </w:r>
          <w:r w:rsidR="000B2CB8">
            <w:fldChar w:fldCharType="separate"/>
          </w:r>
          <w:r w:rsidR="000B2CB8">
            <w:rPr>
              <w:noProof/>
              <w:lang w:val="en-US"/>
            </w:rPr>
            <w:t xml:space="preserve"> </w:t>
          </w:r>
          <w:r w:rsidR="000B2CB8" w:rsidRPr="000B2CB8">
            <w:rPr>
              <w:noProof/>
              <w:lang w:val="en-US"/>
            </w:rPr>
            <w:t>[2]</w:t>
          </w:r>
          <w:r w:rsidR="000B2CB8">
            <w:fldChar w:fldCharType="end"/>
          </w:r>
        </w:sdtContent>
      </w:sdt>
      <w:r w:rsidR="00C642DD">
        <w:t xml:space="preserve">. </w:t>
      </w:r>
      <w:r w:rsidR="00591553">
        <w:t>That were</w:t>
      </w:r>
      <w:r w:rsidR="005B1EFA">
        <w:t xml:space="preserve"> SDL coaching comes in. </w:t>
      </w:r>
      <w:r w:rsidR="00EB54AF">
        <w:t xml:space="preserve">An SDL coach will meet with a </w:t>
      </w:r>
      <w:r w:rsidR="00381B4E">
        <w:t>development</w:t>
      </w:r>
      <w:r w:rsidR="00EB54AF">
        <w:t xml:space="preserve"> team and coach them </w:t>
      </w:r>
      <w:r w:rsidR="00260237">
        <w:t>through DevSecOps</w:t>
      </w:r>
      <w:r w:rsidR="00EB54AF">
        <w:t xml:space="preserve"> </w:t>
      </w:r>
      <w:r w:rsidR="00381B4E">
        <w:t>principles</w:t>
      </w:r>
      <w:r w:rsidR="00EB54AF">
        <w:t xml:space="preserve"> including</w:t>
      </w:r>
      <w:r w:rsidR="00352820">
        <w:t xml:space="preserve"> security testing, codes reviews</w:t>
      </w:r>
      <w:r w:rsidR="00161176">
        <w:t xml:space="preserve">, </w:t>
      </w:r>
      <w:r w:rsidR="00C642DD">
        <w:t>configuration,</w:t>
      </w:r>
      <w:r w:rsidR="00161176">
        <w:t xml:space="preserve"> and vulnerability management</w:t>
      </w:r>
      <w:sdt>
        <w:sdtPr>
          <w:id w:val="-1876993664"/>
          <w:citation/>
        </w:sdtPr>
        <w:sdtContent>
          <w:r w:rsidR="00C642DD">
            <w:fldChar w:fldCharType="begin"/>
          </w:r>
          <w:r w:rsidR="00C642DD">
            <w:rPr>
              <w:lang w:val="en-US"/>
            </w:rPr>
            <w:instrText xml:space="preserve"> CITATION Kos20 \l 1033 </w:instrText>
          </w:r>
          <w:r w:rsidR="00C642DD">
            <w:fldChar w:fldCharType="separate"/>
          </w:r>
          <w:r w:rsidR="00C642DD">
            <w:rPr>
              <w:noProof/>
              <w:lang w:val="en-US"/>
            </w:rPr>
            <w:t xml:space="preserve"> </w:t>
          </w:r>
          <w:r w:rsidR="00C642DD" w:rsidRPr="00C642DD">
            <w:rPr>
              <w:noProof/>
              <w:lang w:val="en-US"/>
            </w:rPr>
            <w:t>[2]</w:t>
          </w:r>
          <w:r w:rsidR="00C642DD">
            <w:fldChar w:fldCharType="end"/>
          </w:r>
        </w:sdtContent>
      </w:sdt>
      <w:r w:rsidR="00C642DD">
        <w:t xml:space="preserve">. </w:t>
      </w:r>
    </w:p>
    <w:p w14:paraId="10C40494" w14:textId="5C89A924" w:rsidR="007851F8" w:rsidRDefault="008F2482">
      <w:pPr>
        <w:pStyle w:val="IEEEParagraph"/>
      </w:pPr>
      <w:r>
        <w:t>In this extended abstract</w:t>
      </w:r>
      <w:r w:rsidR="00792738">
        <w:t>,</w:t>
      </w:r>
      <w:r>
        <w:t xml:space="preserve"> I would like to </w:t>
      </w:r>
      <w:r w:rsidR="00792738">
        <w:t>see</w:t>
      </w:r>
      <w:r>
        <w:t xml:space="preserve"> </w:t>
      </w:r>
      <w:r w:rsidR="009B7E36">
        <w:t>if SDL</w:t>
      </w:r>
      <w:r>
        <w:t xml:space="preserve"> coaching </w:t>
      </w:r>
      <w:r w:rsidR="00792738">
        <w:t>can</w:t>
      </w:r>
      <w:r w:rsidR="00135140">
        <w:t xml:space="preserve"> </w:t>
      </w:r>
      <w:r w:rsidR="00792738">
        <w:t xml:space="preserve">reduce a development teams </w:t>
      </w:r>
      <w:r w:rsidR="00135140">
        <w:t xml:space="preserve">cybersecurity risk. To do this, I will use vulnerability data from </w:t>
      </w:r>
      <w:r w:rsidR="00630333">
        <w:t>application</w:t>
      </w:r>
      <w:r w:rsidR="00135140">
        <w:t xml:space="preserve"> </w:t>
      </w:r>
      <w:r w:rsidR="00630333">
        <w:t>development</w:t>
      </w:r>
      <w:r w:rsidR="00135140">
        <w:t xml:space="preserve"> teams to see if the average </w:t>
      </w:r>
      <w:r w:rsidR="00DA7084">
        <w:t xml:space="preserve">vulnerability </w:t>
      </w:r>
      <w:r w:rsidR="00630333">
        <w:t>severity</w:t>
      </w:r>
      <w:r w:rsidR="00171AF6">
        <w:t>,</w:t>
      </w:r>
      <w:r w:rsidR="00DA7084">
        <w:t xml:space="preserve"> based on the CVSS </w:t>
      </w:r>
      <w:r w:rsidR="00856707">
        <w:t>v</w:t>
      </w:r>
      <w:r w:rsidR="00DA7084">
        <w:t>3.</w:t>
      </w:r>
      <w:r w:rsidR="00B67181">
        <w:t>1</w:t>
      </w:r>
      <w:sdt>
        <w:sdtPr>
          <w:id w:val="-342173122"/>
          <w:citation/>
        </w:sdtPr>
        <w:sdtContent>
          <w:r w:rsidR="00B67181">
            <w:fldChar w:fldCharType="begin"/>
          </w:r>
          <w:r w:rsidR="00B67181">
            <w:rPr>
              <w:lang w:val="en-US"/>
            </w:rPr>
            <w:instrText xml:space="preserve"> CITATION FIR \l 1033 </w:instrText>
          </w:r>
          <w:r w:rsidR="00B67181">
            <w:fldChar w:fldCharType="separate"/>
          </w:r>
          <w:r w:rsidR="00B67181">
            <w:rPr>
              <w:noProof/>
              <w:lang w:val="en-US"/>
            </w:rPr>
            <w:t xml:space="preserve"> </w:t>
          </w:r>
          <w:r w:rsidR="00B67181" w:rsidRPr="00B67181">
            <w:rPr>
              <w:noProof/>
              <w:lang w:val="en-US"/>
            </w:rPr>
            <w:t>[3]</w:t>
          </w:r>
          <w:r w:rsidR="00B67181">
            <w:fldChar w:fldCharType="end"/>
          </w:r>
        </w:sdtContent>
      </w:sdt>
      <w:r w:rsidR="00DA7084">
        <w:t xml:space="preserve"> score</w:t>
      </w:r>
      <w:r w:rsidR="00171AF6">
        <w:t>,</w:t>
      </w:r>
      <w:r w:rsidR="00DA7084">
        <w:t xml:space="preserve"> </w:t>
      </w:r>
      <w:r w:rsidR="00630333">
        <w:t xml:space="preserve">decreases once the team is onboarded to an SDL coaching program. </w:t>
      </w:r>
    </w:p>
    <w:p w14:paraId="5357A652" w14:textId="263AF1E6" w:rsidR="008679AB" w:rsidRDefault="00BB1EB4">
      <w:pPr>
        <w:pStyle w:val="IEEEHeading1"/>
      </w:pPr>
      <w:r>
        <w:t>Related Works</w:t>
      </w:r>
    </w:p>
    <w:p w14:paraId="6E57B5D2" w14:textId="5E7DEBA7" w:rsidR="001924C3" w:rsidRDefault="000C78A3" w:rsidP="001924C3">
      <w:pPr>
        <w:pStyle w:val="IEEEParagraph"/>
      </w:pPr>
      <w:proofErr w:type="spellStart"/>
      <w:r>
        <w:t>K</w:t>
      </w:r>
      <w:r w:rsidR="00FD73F9">
        <w:t>okinen</w:t>
      </w:r>
      <w:proofErr w:type="spellEnd"/>
      <w:r w:rsidR="00FD73F9">
        <w:t xml:space="preserve"> in their thesis </w:t>
      </w:r>
      <w:r w:rsidR="00FD73F9" w:rsidRPr="003D435C">
        <w:rPr>
          <w:i/>
          <w:iCs/>
        </w:rPr>
        <w:t xml:space="preserve">DevSecOps: </w:t>
      </w:r>
      <w:r w:rsidR="00BE6B18" w:rsidRPr="003D435C">
        <w:rPr>
          <w:i/>
          <w:iCs/>
        </w:rPr>
        <w:t>Building Security into the core of DevOps</w:t>
      </w:r>
      <w:r w:rsidR="00BE6B18">
        <w:t xml:space="preserve"> </w:t>
      </w:r>
      <w:r w:rsidR="005B61B5">
        <w:t xml:space="preserve">takes the </w:t>
      </w:r>
      <w:r w:rsidR="001924C3">
        <w:t>approach</w:t>
      </w:r>
      <w:r w:rsidR="005B61B5">
        <w:t xml:space="preserve"> </w:t>
      </w:r>
      <w:r w:rsidR="00F34944">
        <w:t>of “</w:t>
      </w:r>
      <w:r w:rsidR="001924C3">
        <w:t xml:space="preserve">a </w:t>
      </w:r>
      <w:r w:rsidR="005769BA">
        <w:t>Systematic</w:t>
      </w:r>
      <w:r w:rsidR="001924C3">
        <w:t xml:space="preserve"> </w:t>
      </w:r>
      <w:r w:rsidR="005769BA">
        <w:t>Literature</w:t>
      </w:r>
      <w:r w:rsidR="001924C3">
        <w:t xml:space="preserve"> Review </w:t>
      </w:r>
      <w:r w:rsidR="00BF7002">
        <w:t xml:space="preserve">to discover how security </w:t>
      </w:r>
      <w:r w:rsidR="00F34944">
        <w:t>actives</w:t>
      </w:r>
      <w:r w:rsidR="00BF7002">
        <w:t xml:space="preserve"> </w:t>
      </w:r>
      <w:r w:rsidR="00F34944">
        <w:t xml:space="preserve">can </w:t>
      </w:r>
      <w:r w:rsidR="00D71C15">
        <w:t>be</w:t>
      </w:r>
      <w:r w:rsidR="00F34944">
        <w:t xml:space="preserve"> added into the core of the DevOps development process</w:t>
      </w:r>
      <w:r w:rsidR="00707F91">
        <w:t>…</w:t>
      </w:r>
      <w:r w:rsidR="00F34944">
        <w:t>”</w:t>
      </w:r>
      <w:r w:rsidR="00707F91">
        <w:t>.</w:t>
      </w:r>
      <w:sdt>
        <w:sdtPr>
          <w:id w:val="-564259875"/>
          <w:citation/>
        </w:sdtPr>
        <w:sdtEndPr/>
        <w:sdtContent>
          <w:r w:rsidR="00F34944">
            <w:fldChar w:fldCharType="begin"/>
          </w:r>
          <w:r w:rsidR="00F34944">
            <w:rPr>
              <w:lang w:val="en-US"/>
            </w:rPr>
            <w:instrText xml:space="preserve"> CITATION Kos20 \l 1033 </w:instrText>
          </w:r>
          <w:r w:rsidR="00F34944">
            <w:fldChar w:fldCharType="separate"/>
          </w:r>
          <w:r w:rsidR="00F34944">
            <w:rPr>
              <w:noProof/>
              <w:lang w:val="en-US"/>
            </w:rPr>
            <w:t xml:space="preserve"> </w:t>
          </w:r>
          <w:r w:rsidR="00F34944" w:rsidRPr="00F34944">
            <w:rPr>
              <w:noProof/>
              <w:lang w:val="en-US"/>
            </w:rPr>
            <w:t>[1]</w:t>
          </w:r>
          <w:r w:rsidR="00F34944">
            <w:fldChar w:fldCharType="end"/>
          </w:r>
        </w:sdtContent>
      </w:sdt>
      <w:r w:rsidR="000209BF">
        <w:t xml:space="preserve">. </w:t>
      </w:r>
      <w:r w:rsidR="00DB0E26">
        <w:t xml:space="preserve">This </w:t>
      </w:r>
      <w:r w:rsidR="00FD39BA">
        <w:t>approach</w:t>
      </w:r>
      <w:r w:rsidR="00DB0E26">
        <w:t xml:space="preserve"> is effective in </w:t>
      </w:r>
      <w:r w:rsidR="00FD39BA">
        <w:t>outlining</w:t>
      </w:r>
      <w:r w:rsidR="00DB0E26">
        <w:t xml:space="preserve"> a </w:t>
      </w:r>
      <w:r w:rsidR="00B93989">
        <w:t xml:space="preserve">DevSecOps </w:t>
      </w:r>
      <w:r w:rsidR="00FD39BA">
        <w:t>workflow but</w:t>
      </w:r>
      <w:r w:rsidR="00B93989">
        <w:t xml:space="preserve"> does little to </w:t>
      </w:r>
      <w:r w:rsidR="009E0B12">
        <w:t>demonstrate</w:t>
      </w:r>
      <w:r w:rsidR="00B93989">
        <w:t xml:space="preserve"> if that workflow can </w:t>
      </w:r>
      <w:r w:rsidR="00FD39BA">
        <w:t>reduce</w:t>
      </w:r>
      <w:r w:rsidR="00B93989">
        <w:t xml:space="preserve"> cyber risk. </w:t>
      </w:r>
      <w:r w:rsidR="000209BF">
        <w:t>In this extended abstract</w:t>
      </w:r>
      <w:r w:rsidR="007942B6">
        <w:t>,</w:t>
      </w:r>
      <w:r w:rsidR="000209BF">
        <w:t xml:space="preserve"> I compare</w:t>
      </w:r>
      <w:r w:rsidR="007942B6">
        <w:t xml:space="preserve"> vulnerability data from various security resources to see </w:t>
      </w:r>
      <w:r w:rsidR="00697278">
        <w:t xml:space="preserve">if coaching a team to build security into their development process can </w:t>
      </w:r>
      <w:r w:rsidR="00FD39BA">
        <w:t>reduce</w:t>
      </w:r>
      <w:r w:rsidR="00697278">
        <w:t xml:space="preserve"> the severity of a security vulnerability. </w:t>
      </w:r>
    </w:p>
    <w:p w14:paraId="561096AD" w14:textId="5C40FB55" w:rsidR="00B045F2" w:rsidRDefault="0071565F" w:rsidP="001924C3">
      <w:pPr>
        <w:pStyle w:val="IEEEParagraph"/>
      </w:pPr>
      <w:proofErr w:type="spellStart"/>
      <w:r>
        <w:t>So</w:t>
      </w:r>
      <w:r w:rsidR="00A21C2D">
        <w:t>hel</w:t>
      </w:r>
      <w:proofErr w:type="spellEnd"/>
      <w:r w:rsidR="00305CE5">
        <w:t xml:space="preserve"> and </w:t>
      </w:r>
      <w:r w:rsidR="00977762">
        <w:t>authors</w:t>
      </w:r>
      <w:r w:rsidR="005E1B31">
        <w:t xml:space="preserve"> in their abstract </w:t>
      </w:r>
      <w:r w:rsidR="005E1B31" w:rsidRPr="003D435C">
        <w:rPr>
          <w:i/>
          <w:iCs/>
        </w:rPr>
        <w:t xml:space="preserve">OWASP Top 10 – Do </w:t>
      </w:r>
      <w:proofErr w:type="spellStart"/>
      <w:r w:rsidR="005E1B31" w:rsidRPr="003D435C">
        <w:rPr>
          <w:i/>
          <w:iCs/>
        </w:rPr>
        <w:t>Startups</w:t>
      </w:r>
      <w:proofErr w:type="spellEnd"/>
      <w:r w:rsidR="005E1B31" w:rsidRPr="003D435C">
        <w:rPr>
          <w:i/>
          <w:iCs/>
        </w:rPr>
        <w:t xml:space="preserve"> Care?</w:t>
      </w:r>
      <w:r w:rsidR="005E1B31">
        <w:t xml:space="preserve"> </w:t>
      </w:r>
      <w:r w:rsidR="00081040">
        <w:t>“</w:t>
      </w:r>
      <w:r w:rsidR="00977762">
        <w:t>Performed</w:t>
      </w:r>
      <w:r w:rsidR="00081040">
        <w:t xml:space="preserve"> </w:t>
      </w:r>
      <w:r w:rsidR="0071572A">
        <w:t>penetration</w:t>
      </w:r>
      <w:r w:rsidR="00081040">
        <w:t xml:space="preserve"> testing on </w:t>
      </w:r>
      <w:r w:rsidR="00977762">
        <w:t>applications</w:t>
      </w:r>
      <w:r w:rsidR="00081040">
        <w:t xml:space="preserve"> made by five </w:t>
      </w:r>
      <w:proofErr w:type="spellStart"/>
      <w:r w:rsidR="0071572A">
        <w:t>startup</w:t>
      </w:r>
      <w:proofErr w:type="spellEnd"/>
      <w:r w:rsidR="0071572A">
        <w:t xml:space="preserve"> companies”</w:t>
      </w:r>
      <w:r w:rsidR="00081040">
        <w:t xml:space="preserve"> to see</w:t>
      </w:r>
      <w:r w:rsidR="00A708A2">
        <w:t xml:space="preserve"> if those </w:t>
      </w:r>
      <w:proofErr w:type="spellStart"/>
      <w:r w:rsidR="00A708A2">
        <w:t>startups</w:t>
      </w:r>
      <w:proofErr w:type="spellEnd"/>
      <w:r w:rsidR="00A708A2">
        <w:t xml:space="preserve"> were </w:t>
      </w:r>
      <w:r w:rsidR="0071572A">
        <w:t>building</w:t>
      </w:r>
      <w:r w:rsidR="00A708A2">
        <w:t xml:space="preserve"> </w:t>
      </w:r>
      <w:r w:rsidR="0071572A">
        <w:t>applications</w:t>
      </w:r>
      <w:r w:rsidR="00A708A2">
        <w:t xml:space="preserve"> </w:t>
      </w:r>
      <w:r w:rsidR="00977762">
        <w:t xml:space="preserve">that limited the number of OWASP vulnerabilities. </w:t>
      </w:r>
      <w:sdt>
        <w:sdtPr>
          <w:id w:val="598448939"/>
          <w:citation/>
        </w:sdtPr>
        <w:sdtEndPr/>
        <w:sdtContent>
          <w:r w:rsidR="00BA131A">
            <w:fldChar w:fldCharType="begin"/>
          </w:r>
          <w:r w:rsidR="00BA131A">
            <w:rPr>
              <w:lang w:val="en-US"/>
            </w:rPr>
            <w:instrText xml:space="preserve"> CITATION Sϕh18 \l 1033 </w:instrText>
          </w:r>
          <w:r w:rsidR="00BA131A">
            <w:fldChar w:fldCharType="separate"/>
          </w:r>
          <w:r w:rsidR="00BA131A" w:rsidRPr="00BA131A">
            <w:rPr>
              <w:noProof/>
              <w:lang w:val="en-US"/>
            </w:rPr>
            <w:t>[2]</w:t>
          </w:r>
          <w:r w:rsidR="00BA131A">
            <w:fldChar w:fldCharType="end"/>
          </w:r>
        </w:sdtContent>
      </w:sdt>
      <w:r w:rsidR="00386105">
        <w:t xml:space="preserve"> This approach is effective to </w:t>
      </w:r>
      <w:r w:rsidR="009B0976">
        <w:t>determine</w:t>
      </w:r>
      <w:r w:rsidR="00386105">
        <w:t xml:space="preserve"> if </w:t>
      </w:r>
      <w:proofErr w:type="spellStart"/>
      <w:r w:rsidR="00587E22">
        <w:t>statups</w:t>
      </w:r>
      <w:proofErr w:type="spellEnd"/>
      <w:r w:rsidR="00587E22">
        <w:t xml:space="preserve"> </w:t>
      </w:r>
      <w:r w:rsidR="00850ABD">
        <w:t xml:space="preserve">know and are aware of </w:t>
      </w:r>
      <w:r w:rsidR="00564282">
        <w:t xml:space="preserve">the </w:t>
      </w:r>
      <w:r w:rsidR="00850ABD">
        <w:t xml:space="preserve">OWASP </w:t>
      </w:r>
      <w:r w:rsidR="00564282">
        <w:t>T</w:t>
      </w:r>
      <w:r w:rsidR="00850ABD">
        <w:t xml:space="preserve">op 10 </w:t>
      </w:r>
      <w:r w:rsidR="009B0976">
        <w:t>vulnerabilities, however</w:t>
      </w:r>
      <w:r w:rsidR="00F2639C">
        <w:t xml:space="preserve"> it does not provided </w:t>
      </w:r>
      <w:r w:rsidR="009B0976">
        <w:t>insight</w:t>
      </w:r>
      <w:r w:rsidR="00F2639C">
        <w:t xml:space="preserve"> into </w:t>
      </w:r>
      <w:r w:rsidR="00564282">
        <w:t xml:space="preserve">= if </w:t>
      </w:r>
      <w:r w:rsidR="00C54A8F">
        <w:t>consistent</w:t>
      </w:r>
      <w:r w:rsidR="00F2639C">
        <w:t xml:space="preserve"> Secure Development </w:t>
      </w:r>
      <w:r w:rsidR="00C54A8F">
        <w:t>coaching</w:t>
      </w:r>
      <w:r w:rsidR="00F2639C">
        <w:t xml:space="preserve"> can </w:t>
      </w:r>
      <w:r w:rsidR="00C54A8F">
        <w:t>successfully</w:t>
      </w:r>
      <w:r w:rsidR="00F2639C">
        <w:t xml:space="preserve"> reduce </w:t>
      </w:r>
      <w:r w:rsidR="00564282">
        <w:t xml:space="preserve">the severity of security </w:t>
      </w:r>
      <w:r w:rsidR="00C54A8F">
        <w:t>vulnerabilities</w:t>
      </w:r>
      <w:r w:rsidR="007C6CEE">
        <w:t xml:space="preserve">. </w:t>
      </w:r>
      <w:r w:rsidR="00606675">
        <w:t xml:space="preserve">A secure </w:t>
      </w:r>
      <w:r w:rsidR="00C54A8F">
        <w:t>development</w:t>
      </w:r>
      <w:r w:rsidR="00606675">
        <w:t xml:space="preserve"> </w:t>
      </w:r>
      <w:r w:rsidR="00C54A8F">
        <w:t>coaching</w:t>
      </w:r>
      <w:r w:rsidR="00606675">
        <w:t xml:space="preserve"> program is </w:t>
      </w:r>
      <w:r w:rsidR="00C54A8F">
        <w:t>built</w:t>
      </w:r>
      <w:r w:rsidR="00606675">
        <w:t xml:space="preserve"> on the foundation that </w:t>
      </w:r>
      <w:r w:rsidR="009B0976">
        <w:t xml:space="preserve">an organization is aware of the OWASP </w:t>
      </w:r>
      <w:r w:rsidR="00C54A8F">
        <w:t>T</w:t>
      </w:r>
      <w:r w:rsidR="009B0976">
        <w:t xml:space="preserve">op 10, however I </w:t>
      </w:r>
      <w:r w:rsidR="009B0976">
        <w:t>would like to see how effective the coaching is in reducing high risk vulnerabilities.</w:t>
      </w:r>
    </w:p>
    <w:p w14:paraId="7FB7DD47" w14:textId="3C5E96E8" w:rsidR="00D737A0" w:rsidRDefault="006655E3" w:rsidP="006655E3">
      <w:pPr>
        <w:pStyle w:val="IEEEHeading1"/>
        <w:ind w:hanging="289"/>
      </w:pPr>
      <w:r>
        <w:t>Metrics</w:t>
      </w:r>
      <w:r w:rsidR="009106A7">
        <w:t xml:space="preserve"> (</w:t>
      </w:r>
      <w:r>
        <w:t>in-progress)</w:t>
      </w:r>
    </w:p>
    <w:p w14:paraId="5A72E78F" w14:textId="658FC991" w:rsidR="00D737A0" w:rsidRDefault="00DD2654" w:rsidP="001924C3">
      <w:pPr>
        <w:pStyle w:val="IEEEParagraph"/>
      </w:pPr>
      <w:r>
        <w:t>For the related data</w:t>
      </w:r>
      <w:r w:rsidR="0025479F">
        <w:t>,</w:t>
      </w:r>
      <w:r>
        <w:t xml:space="preserve"> I will c</w:t>
      </w:r>
      <w:r w:rsidR="00B13635" w:rsidRPr="00B13635">
        <w:t xml:space="preserve">ompare </w:t>
      </w:r>
      <w:r w:rsidR="00C85D9D">
        <w:t xml:space="preserve">average </w:t>
      </w:r>
      <w:r w:rsidR="00B13635" w:rsidRPr="00B13635">
        <w:t xml:space="preserve">severity of security </w:t>
      </w:r>
      <w:r>
        <w:t>vulnerabilities</w:t>
      </w:r>
      <w:r w:rsidR="00B13635" w:rsidRPr="00B13635">
        <w:t xml:space="preserve"> from </w:t>
      </w:r>
      <w:r w:rsidR="00C85D9D">
        <w:t xml:space="preserve">DAST/ SAST </w:t>
      </w:r>
      <w:r w:rsidR="00B13635" w:rsidRPr="00B13635">
        <w:t>code vulnerability</w:t>
      </w:r>
      <w:r w:rsidR="00C85D9D">
        <w:t xml:space="preserve"> </w:t>
      </w:r>
      <w:r w:rsidR="00F57A21">
        <w:t>tolls</w:t>
      </w:r>
      <w:r w:rsidR="00B13635" w:rsidRPr="00B13635">
        <w:t xml:space="preserve">, before onboarding to the coaching program vs. after onboarding to the coaching program to see if the severity </w:t>
      </w:r>
      <w:r w:rsidR="00636A0E" w:rsidRPr="00B13635">
        <w:t xml:space="preserve">of </w:t>
      </w:r>
      <w:r w:rsidR="00636A0E">
        <w:t>the</w:t>
      </w:r>
      <w:r w:rsidR="00F57A21">
        <w:t xml:space="preserve"> </w:t>
      </w:r>
      <w:r w:rsidR="00B13635" w:rsidRPr="00B13635">
        <w:t>security vulnerabilities decreased after the team onboarded to the coaching program.</w:t>
      </w:r>
    </w:p>
    <w:p w14:paraId="5834AC65" w14:textId="77C68E08" w:rsidR="0025479F" w:rsidRDefault="0025479F" w:rsidP="001924C3">
      <w:pPr>
        <w:pStyle w:val="IEEEParagraph"/>
      </w:pPr>
    </w:p>
    <w:p w14:paraId="1743C5F7" w14:textId="626A7C9D" w:rsidR="0025479F" w:rsidRDefault="0025479F" w:rsidP="001924C3">
      <w:pPr>
        <w:pStyle w:val="IEEEParagraph"/>
      </w:pPr>
      <w:r>
        <w:t xml:space="preserve">From here on is not in use. It is saved for the format. </w:t>
      </w:r>
    </w:p>
    <w:p w14:paraId="7E6818A0" w14:textId="77777777" w:rsidR="001924C3" w:rsidRDefault="001924C3" w:rsidP="001924C3">
      <w:pPr>
        <w:pStyle w:val="IEEEParagraph"/>
      </w:pPr>
    </w:p>
    <w:p w14:paraId="4AF05B89" w14:textId="35E71D9E" w:rsidR="007851F8" w:rsidRDefault="007851F8" w:rsidP="001924C3">
      <w:pPr>
        <w:pStyle w:val="IEEEParagraph"/>
      </w:pPr>
      <w:r>
        <w:t>Page Layout</w:t>
      </w:r>
    </w:p>
    <w:p w14:paraId="01F47256" w14:textId="77777777" w:rsidR="007851F8" w:rsidRDefault="007851F8">
      <w:pPr>
        <w:pStyle w:val="IEEEParagraph"/>
      </w:pPr>
      <w:r>
        <w:t xml:space="preserve">An easy way to comply with the conference paper formatting requirements is to use this document as a template and simply type your text into it or use the paste function. </w:t>
      </w:r>
    </w:p>
    <w:p w14:paraId="19D2FF5F" w14:textId="77777777" w:rsidR="007851F8" w:rsidRDefault="007851F8">
      <w:pPr>
        <w:pStyle w:val="IEEEHeading2"/>
        <w:numPr>
          <w:ilvl w:val="0"/>
          <w:numId w:val="5"/>
        </w:numPr>
      </w:pPr>
      <w:r>
        <w:t>Page Layout</w:t>
      </w:r>
    </w:p>
    <w:p w14:paraId="4E9BA6D8" w14:textId="77777777" w:rsidR="007851F8" w:rsidRDefault="007851F8">
      <w:pPr>
        <w:pStyle w:val="IEEEParagraph"/>
      </w:pPr>
      <w:r>
        <w:t>The paper can be maximum ten pages in length.</w:t>
      </w:r>
    </w:p>
    <w:p w14:paraId="445C9A50" w14:textId="77777777" w:rsidR="007851F8" w:rsidRDefault="007851F8">
      <w:pPr>
        <w:pStyle w:val="IEEEParagraph"/>
      </w:pPr>
      <w:r>
        <w:t>Your paper must use a page size corresponding to</w:t>
      </w:r>
      <w:r w:rsidR="000A2F75">
        <w:t xml:space="preserve"> the</w:t>
      </w:r>
      <w:r>
        <w:t xml:space="preserve"> </w:t>
      </w:r>
      <w:r w:rsidR="000A2F75">
        <w:t xml:space="preserve">US Letter paper size, </w:t>
      </w:r>
      <w:r>
        <w:t>which is 21</w:t>
      </w:r>
      <w:r w:rsidR="000A2F75">
        <w:t>6</w:t>
      </w:r>
      <w:r>
        <w:t>mm (8.</w:t>
      </w:r>
      <w:r w:rsidR="000A2F75">
        <w:t xml:space="preserve">5") wide and 279mm (11 </w:t>
      </w:r>
      <w:r>
        <w:t>") long.  The margins must be set as follows:</w:t>
      </w:r>
    </w:p>
    <w:p w14:paraId="2F98D3D8" w14:textId="77777777" w:rsidR="007851F8" w:rsidRDefault="007851F8">
      <w:pPr>
        <w:pStyle w:val="IEEEParagraph"/>
        <w:numPr>
          <w:ilvl w:val="0"/>
          <w:numId w:val="4"/>
        </w:numPr>
      </w:pPr>
      <w:r>
        <w:t xml:space="preserve">Top = </w:t>
      </w:r>
      <w:r w:rsidR="00122F9E">
        <w:t>18</w:t>
      </w:r>
      <w:r>
        <w:t>mm (</w:t>
      </w:r>
      <w:r w:rsidR="000A2F75">
        <w:t>0.7</w:t>
      </w:r>
      <w:r>
        <w:t>")</w:t>
      </w:r>
    </w:p>
    <w:p w14:paraId="1503C4B6" w14:textId="77777777" w:rsidR="007851F8" w:rsidRDefault="007851F8">
      <w:pPr>
        <w:pStyle w:val="IEEEParagraph"/>
        <w:numPr>
          <w:ilvl w:val="0"/>
          <w:numId w:val="4"/>
        </w:numPr>
      </w:pPr>
      <w:r>
        <w:t xml:space="preserve">Bottom = </w:t>
      </w:r>
      <w:r w:rsidR="00122F9E">
        <w:t>18</w:t>
      </w:r>
      <w:r>
        <w:t>mm (</w:t>
      </w:r>
      <w:r w:rsidR="000A2F75">
        <w:t>0.7</w:t>
      </w:r>
      <w:r>
        <w:t>")</w:t>
      </w:r>
    </w:p>
    <w:p w14:paraId="4C9E3948" w14:textId="77777777" w:rsidR="007851F8" w:rsidRDefault="007851F8">
      <w:pPr>
        <w:pStyle w:val="IEEEParagraph"/>
        <w:numPr>
          <w:ilvl w:val="0"/>
          <w:numId w:val="4"/>
        </w:numPr>
      </w:pPr>
      <w:r>
        <w:t xml:space="preserve">Left = Right = </w:t>
      </w:r>
      <w:r w:rsidR="00122F9E">
        <w:t>16.5mm</w:t>
      </w:r>
      <w:r>
        <w:t xml:space="preserve"> (0.6</w:t>
      </w:r>
      <w:r w:rsidR="000A2F75">
        <w:t>5</w:t>
      </w:r>
      <w:r>
        <w:t>")</w:t>
      </w:r>
    </w:p>
    <w:p w14:paraId="6D085DB7" w14:textId="77777777" w:rsidR="007851F8" w:rsidRDefault="007851F8">
      <w:pPr>
        <w:pStyle w:val="IEEEParagraph"/>
      </w:pPr>
      <w:r>
        <w:t xml:space="preserve">Your paper must be in two column format with a column width of </w:t>
      </w:r>
      <w:r w:rsidR="000A2F75">
        <w:t>90mm</w:t>
      </w:r>
      <w:r>
        <w:t xml:space="preserve"> (3.</w:t>
      </w:r>
      <w:r w:rsidR="000A2F75">
        <w:t>55</w:t>
      </w:r>
      <w:r>
        <w:t>") and a space of 5mm (0.2</w:t>
      </w:r>
      <w:bookmarkStart w:id="0" w:name="OLE_LINK1"/>
      <w:bookmarkStart w:id="1" w:name="OLE_LINK2"/>
      <w:r>
        <w:t>"</w:t>
      </w:r>
      <w:bookmarkEnd w:id="0"/>
      <w:bookmarkEnd w:id="1"/>
      <w:r>
        <w:t xml:space="preserve">) between columns. </w:t>
      </w:r>
    </w:p>
    <w:p w14:paraId="75001828" w14:textId="77777777" w:rsidR="007851F8" w:rsidRDefault="007851F8">
      <w:pPr>
        <w:pStyle w:val="IEEEParagraph"/>
      </w:pPr>
      <w:r>
        <w:t>Do not edit the header or footer of the document. Page numbers will be inserted later.</w:t>
      </w:r>
    </w:p>
    <w:p w14:paraId="1FABBF47" w14:textId="77777777" w:rsidR="007851F8" w:rsidRDefault="007851F8">
      <w:pPr>
        <w:pStyle w:val="IEEEHeading1"/>
      </w:pPr>
      <w:r>
        <w:t>Page Style</w:t>
      </w:r>
    </w:p>
    <w:p w14:paraId="1AD5CD4E" w14:textId="77777777" w:rsidR="007851F8" w:rsidRDefault="007851F8">
      <w:pPr>
        <w:pStyle w:val="IEEEParagraph"/>
      </w:pPr>
      <w:r>
        <w:t>All paragraphs must be indented.  All paragraphs must be justified, i.e. both left-justified and right-justified.</w:t>
      </w:r>
    </w:p>
    <w:p w14:paraId="1731D9E4" w14:textId="77777777" w:rsidR="007851F8" w:rsidRDefault="007851F8">
      <w:pPr>
        <w:pStyle w:val="IEEEHeading2"/>
        <w:ind w:left="288" w:hanging="288"/>
      </w:pPr>
      <w:r>
        <w:t>Text Font of Entire Document</w:t>
      </w:r>
    </w:p>
    <w:p w14:paraId="6E80CE47" w14:textId="77777777" w:rsidR="007851F8" w:rsidRDefault="007851F8">
      <w:pPr>
        <w:pStyle w:val="IEEEParagraph"/>
      </w:pPr>
      <w:r>
        <w:t>The entire document should be in Times New Roman or Times font.  Type 3 fonts must not be used.  Other font types may be used if needed for special purposes.</w:t>
      </w:r>
    </w:p>
    <w:p w14:paraId="5E765A73" w14:textId="77777777" w:rsidR="007851F8" w:rsidRDefault="007851F8">
      <w:pPr>
        <w:pStyle w:val="IEEEParagraph"/>
      </w:pPr>
      <w:r>
        <w:t>Recommended font sizes are shown in Table 1.</w:t>
      </w:r>
    </w:p>
    <w:p w14:paraId="7D78D3E7" w14:textId="77777777" w:rsidR="007851F8" w:rsidRDefault="007851F8">
      <w:pPr>
        <w:pStyle w:val="IEEEHeading2"/>
        <w:ind w:left="288" w:hanging="288"/>
      </w:pPr>
      <w:r>
        <w:t>Title and Author Details</w:t>
      </w:r>
    </w:p>
    <w:p w14:paraId="1F6634DD" w14:textId="77777777" w:rsidR="007851F8" w:rsidRDefault="007851F8">
      <w:pPr>
        <w:pStyle w:val="IEEEParagraph"/>
      </w:pPr>
      <w:r>
        <w:lastRenderedPageBreak/>
        <w:t xml:space="preserve">Title must be in 24 </w:t>
      </w:r>
      <w:proofErr w:type="spellStart"/>
      <w:r>
        <w:t>pt</w:t>
      </w:r>
      <w:proofErr w:type="spellEnd"/>
      <w:r>
        <w:t xml:space="preserve"> Regular font.  Author name must be in 11 </w:t>
      </w:r>
      <w:proofErr w:type="spellStart"/>
      <w:r>
        <w:t>pt</w:t>
      </w:r>
      <w:proofErr w:type="spellEnd"/>
      <w:r>
        <w:t xml:space="preserve"> Regular font.  Author affiliation must be in 10 </w:t>
      </w:r>
      <w:proofErr w:type="spellStart"/>
      <w:r>
        <w:t>pt</w:t>
      </w:r>
      <w:proofErr w:type="spellEnd"/>
      <w:r>
        <w:t xml:space="preserve"> Italic. Contact email address must be in 9 </w:t>
      </w:r>
      <w:proofErr w:type="spellStart"/>
      <w:r>
        <w:t>pt</w:t>
      </w:r>
      <w:proofErr w:type="spellEnd"/>
      <w:r>
        <w:t xml:space="preserve"> Courier Regular font.</w:t>
      </w:r>
    </w:p>
    <w:p w14:paraId="2F06C426" w14:textId="77777777" w:rsidR="00944641" w:rsidRDefault="00944641" w:rsidP="00944641">
      <w:pPr>
        <w:pStyle w:val="IEEETableCaption"/>
      </w:pPr>
      <w:r>
        <w:t xml:space="preserve">TABLE </w:t>
      </w:r>
      <w:r>
        <w:fldChar w:fldCharType="begin"/>
      </w:r>
      <w:r>
        <w:instrText xml:space="preserve"> SEQ TABLE \* ROMAN </w:instrText>
      </w:r>
      <w:r>
        <w:fldChar w:fldCharType="separate"/>
      </w:r>
      <w:r w:rsidR="00CD1834">
        <w:rPr>
          <w:noProof/>
        </w:rPr>
        <w:t>I</w:t>
      </w:r>
      <w:r>
        <w:fldChar w:fldCharType="end"/>
      </w:r>
      <w:r>
        <w:br w:type="textWrapping" w:clear="all"/>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559"/>
        <w:gridCol w:w="1080"/>
        <w:gridCol w:w="1605"/>
      </w:tblGrid>
      <w:tr w:rsidR="00944641" w14:paraId="6C444756" w14:textId="77777777" w:rsidTr="00EF16F6">
        <w:trPr>
          <w:jc w:val="center"/>
        </w:trPr>
        <w:tc>
          <w:tcPr>
            <w:tcW w:w="741" w:type="dxa"/>
            <w:vMerge w:val="restart"/>
          </w:tcPr>
          <w:p w14:paraId="319FB2AF" w14:textId="77777777" w:rsidR="00944641" w:rsidRPr="00C012E1" w:rsidRDefault="00944641" w:rsidP="00EF16F6">
            <w:pPr>
              <w:pStyle w:val="IEEETableHeaderLeft-Justified"/>
            </w:pPr>
            <w:r>
              <w:t>Font S</w:t>
            </w:r>
            <w:r w:rsidRPr="00C012E1">
              <w:t>ize</w:t>
            </w:r>
          </w:p>
        </w:tc>
        <w:tc>
          <w:tcPr>
            <w:tcW w:w="4244" w:type="dxa"/>
            <w:gridSpan w:val="3"/>
          </w:tcPr>
          <w:p w14:paraId="5696A4FC" w14:textId="77777777" w:rsidR="00944641" w:rsidRPr="00C012E1" w:rsidRDefault="00944641" w:rsidP="00EF16F6">
            <w:pPr>
              <w:pStyle w:val="IEEETableHeaderCentered"/>
            </w:pPr>
            <w:r w:rsidRPr="00C012E1">
              <w:t>Appearance</w:t>
            </w:r>
            <w:r>
              <w:t xml:space="preserve"> (in Time New Roman or Times)</w:t>
            </w:r>
          </w:p>
        </w:tc>
      </w:tr>
      <w:tr w:rsidR="00944641" w14:paraId="41634572" w14:textId="77777777" w:rsidTr="00EF16F6">
        <w:trPr>
          <w:jc w:val="center"/>
        </w:trPr>
        <w:tc>
          <w:tcPr>
            <w:tcW w:w="741" w:type="dxa"/>
            <w:vMerge/>
          </w:tcPr>
          <w:p w14:paraId="1271AEBF" w14:textId="77777777" w:rsidR="00944641" w:rsidRPr="008A4622" w:rsidRDefault="00944641" w:rsidP="00EF16F6">
            <w:pPr>
              <w:pStyle w:val="IEEETableCell"/>
              <w:rPr>
                <w:b/>
                <w:bCs/>
              </w:rPr>
            </w:pPr>
          </w:p>
        </w:tc>
        <w:tc>
          <w:tcPr>
            <w:tcW w:w="1559" w:type="dxa"/>
          </w:tcPr>
          <w:p w14:paraId="2E499CA5" w14:textId="77777777" w:rsidR="00944641" w:rsidRPr="00C012E1" w:rsidRDefault="00944641" w:rsidP="00EF16F6">
            <w:pPr>
              <w:pStyle w:val="IEEETableHeaderLeft-Justified"/>
            </w:pPr>
            <w:r w:rsidRPr="00C012E1">
              <w:t>Regular</w:t>
            </w:r>
          </w:p>
        </w:tc>
        <w:tc>
          <w:tcPr>
            <w:tcW w:w="1080" w:type="dxa"/>
          </w:tcPr>
          <w:p w14:paraId="590B35D0" w14:textId="77777777" w:rsidR="00944641" w:rsidRPr="00C012E1" w:rsidRDefault="00944641" w:rsidP="00EF16F6">
            <w:pPr>
              <w:pStyle w:val="IEEETableHeaderLeft-Justified"/>
            </w:pPr>
            <w:r w:rsidRPr="00C012E1">
              <w:t>Bold</w:t>
            </w:r>
          </w:p>
        </w:tc>
        <w:tc>
          <w:tcPr>
            <w:tcW w:w="1605" w:type="dxa"/>
          </w:tcPr>
          <w:p w14:paraId="1E1C5E88" w14:textId="77777777" w:rsidR="00944641" w:rsidRPr="00C012E1" w:rsidRDefault="00944641" w:rsidP="00EF16F6">
            <w:pPr>
              <w:pStyle w:val="IEEETableHeaderLeft-Justified"/>
            </w:pPr>
            <w:r w:rsidRPr="00C012E1">
              <w:t>Italic</w:t>
            </w:r>
          </w:p>
        </w:tc>
      </w:tr>
      <w:tr w:rsidR="00944641" w14:paraId="50E1FE1A" w14:textId="77777777" w:rsidTr="00EF16F6">
        <w:trPr>
          <w:jc w:val="center"/>
        </w:trPr>
        <w:tc>
          <w:tcPr>
            <w:tcW w:w="741" w:type="dxa"/>
          </w:tcPr>
          <w:p w14:paraId="186C0F8B" w14:textId="77777777" w:rsidR="00944641" w:rsidRDefault="00944641" w:rsidP="00EF16F6">
            <w:pPr>
              <w:pStyle w:val="IEEETableCell"/>
            </w:pPr>
            <w:r>
              <w:t>8</w:t>
            </w:r>
          </w:p>
        </w:tc>
        <w:tc>
          <w:tcPr>
            <w:tcW w:w="1559" w:type="dxa"/>
          </w:tcPr>
          <w:p w14:paraId="049CF4E8" w14:textId="77777777" w:rsidR="00944641" w:rsidRDefault="00944641" w:rsidP="00EF16F6">
            <w:pPr>
              <w:pStyle w:val="IEEETableCell"/>
            </w:pPr>
            <w:r>
              <w:t>table caption (in Small Caps),</w:t>
            </w:r>
          </w:p>
          <w:p w14:paraId="146C1E9B" w14:textId="77777777" w:rsidR="00944641" w:rsidRDefault="00944641" w:rsidP="00EF16F6">
            <w:pPr>
              <w:pStyle w:val="IEEETableCell"/>
            </w:pPr>
            <w:r>
              <w:t>figure caption,</w:t>
            </w:r>
          </w:p>
          <w:p w14:paraId="12DEEE3D" w14:textId="77777777" w:rsidR="00944641" w:rsidRDefault="00944641" w:rsidP="00EF16F6">
            <w:pPr>
              <w:pStyle w:val="IEEETableCell"/>
            </w:pPr>
            <w:r>
              <w:t>reference item</w:t>
            </w:r>
          </w:p>
        </w:tc>
        <w:tc>
          <w:tcPr>
            <w:tcW w:w="1080" w:type="dxa"/>
          </w:tcPr>
          <w:p w14:paraId="0D664A0B" w14:textId="77777777" w:rsidR="00944641" w:rsidRDefault="00944641" w:rsidP="00EF16F6">
            <w:pPr>
              <w:pStyle w:val="IEEETableCell"/>
            </w:pPr>
          </w:p>
        </w:tc>
        <w:tc>
          <w:tcPr>
            <w:tcW w:w="1605" w:type="dxa"/>
          </w:tcPr>
          <w:p w14:paraId="28333E19" w14:textId="77777777" w:rsidR="00944641" w:rsidRDefault="00944641" w:rsidP="00EF16F6">
            <w:pPr>
              <w:pStyle w:val="IEEETableCell"/>
            </w:pPr>
            <w:r>
              <w:t>reference item (partial)</w:t>
            </w:r>
          </w:p>
        </w:tc>
      </w:tr>
      <w:tr w:rsidR="00944641" w14:paraId="5ED96C8B" w14:textId="77777777" w:rsidTr="00EF16F6">
        <w:trPr>
          <w:jc w:val="center"/>
        </w:trPr>
        <w:tc>
          <w:tcPr>
            <w:tcW w:w="741" w:type="dxa"/>
          </w:tcPr>
          <w:p w14:paraId="08DE0E0E" w14:textId="77777777" w:rsidR="00944641" w:rsidRDefault="00944641" w:rsidP="00EF16F6">
            <w:pPr>
              <w:pStyle w:val="IEEETableCell"/>
            </w:pPr>
            <w:r>
              <w:t>9</w:t>
            </w:r>
          </w:p>
        </w:tc>
        <w:tc>
          <w:tcPr>
            <w:tcW w:w="1559" w:type="dxa"/>
          </w:tcPr>
          <w:p w14:paraId="49CDE40F" w14:textId="77777777" w:rsidR="00944641" w:rsidRDefault="00944641" w:rsidP="00EF16F6">
            <w:pPr>
              <w:pStyle w:val="IEEETableCell"/>
            </w:pPr>
            <w:r>
              <w:t>Contact author email address (in Courier), cell in a table</w:t>
            </w:r>
          </w:p>
        </w:tc>
        <w:tc>
          <w:tcPr>
            <w:tcW w:w="1080" w:type="dxa"/>
          </w:tcPr>
          <w:p w14:paraId="7AB2FD65" w14:textId="77777777" w:rsidR="00944641" w:rsidRDefault="00944641" w:rsidP="00EF16F6">
            <w:pPr>
              <w:pStyle w:val="IEEETableCell"/>
            </w:pPr>
            <w:r>
              <w:t>abstract body</w:t>
            </w:r>
          </w:p>
        </w:tc>
        <w:tc>
          <w:tcPr>
            <w:tcW w:w="1605" w:type="dxa"/>
          </w:tcPr>
          <w:p w14:paraId="3FB005C0" w14:textId="77777777" w:rsidR="00944641" w:rsidRDefault="00944641" w:rsidP="00EF16F6">
            <w:pPr>
              <w:pStyle w:val="IEEETableCell"/>
            </w:pPr>
            <w:r>
              <w:t>abstract heading (also in Bold)</w:t>
            </w:r>
          </w:p>
        </w:tc>
      </w:tr>
      <w:tr w:rsidR="00944641" w14:paraId="55B36240" w14:textId="77777777" w:rsidTr="00EF16F6">
        <w:trPr>
          <w:jc w:val="center"/>
        </w:trPr>
        <w:tc>
          <w:tcPr>
            <w:tcW w:w="741" w:type="dxa"/>
          </w:tcPr>
          <w:p w14:paraId="5625E983" w14:textId="77777777" w:rsidR="00944641" w:rsidRDefault="00944641" w:rsidP="00EF16F6">
            <w:pPr>
              <w:pStyle w:val="IEEETableCell"/>
            </w:pPr>
            <w:r>
              <w:t>10</w:t>
            </w:r>
          </w:p>
        </w:tc>
        <w:tc>
          <w:tcPr>
            <w:tcW w:w="1559" w:type="dxa"/>
          </w:tcPr>
          <w:p w14:paraId="077C1857" w14:textId="77777777" w:rsidR="00944641" w:rsidRDefault="00944641" w:rsidP="00EF16F6">
            <w:pPr>
              <w:pStyle w:val="IEEETableCell"/>
            </w:pPr>
            <w:r>
              <w:t>level-1 heading (in Small Caps),</w:t>
            </w:r>
          </w:p>
          <w:p w14:paraId="3EBE7B9A" w14:textId="77777777" w:rsidR="00944641" w:rsidRDefault="00944641" w:rsidP="00EF16F6">
            <w:pPr>
              <w:pStyle w:val="IEEETableCell"/>
            </w:pPr>
            <w:r>
              <w:t>paragraph</w:t>
            </w:r>
          </w:p>
        </w:tc>
        <w:tc>
          <w:tcPr>
            <w:tcW w:w="1080" w:type="dxa"/>
          </w:tcPr>
          <w:p w14:paraId="2C988D0D" w14:textId="77777777" w:rsidR="00944641" w:rsidRDefault="00944641" w:rsidP="00EF16F6">
            <w:pPr>
              <w:pStyle w:val="IEEETableCell"/>
            </w:pPr>
          </w:p>
        </w:tc>
        <w:tc>
          <w:tcPr>
            <w:tcW w:w="1605" w:type="dxa"/>
          </w:tcPr>
          <w:p w14:paraId="7367F7D9" w14:textId="77777777" w:rsidR="00944641" w:rsidRDefault="00944641" w:rsidP="00EF16F6">
            <w:pPr>
              <w:pStyle w:val="IEEETableCell"/>
            </w:pPr>
            <w:r>
              <w:t>level-2 heading,</w:t>
            </w:r>
          </w:p>
          <w:p w14:paraId="769C2EA6" w14:textId="77777777" w:rsidR="00944641" w:rsidRDefault="00944641" w:rsidP="00EF16F6">
            <w:pPr>
              <w:pStyle w:val="IEEETableCell"/>
            </w:pPr>
            <w:r>
              <w:t>level-3 heading,</w:t>
            </w:r>
          </w:p>
          <w:p w14:paraId="60B68905" w14:textId="77777777" w:rsidR="00944641" w:rsidRDefault="00944641" w:rsidP="00EF16F6">
            <w:pPr>
              <w:pStyle w:val="IEEETableCell"/>
            </w:pPr>
            <w:r>
              <w:t>author affiliation</w:t>
            </w:r>
          </w:p>
        </w:tc>
      </w:tr>
      <w:tr w:rsidR="00944641" w14:paraId="7F4A820B" w14:textId="77777777" w:rsidTr="00EF16F6">
        <w:trPr>
          <w:jc w:val="center"/>
        </w:trPr>
        <w:tc>
          <w:tcPr>
            <w:tcW w:w="741" w:type="dxa"/>
          </w:tcPr>
          <w:p w14:paraId="5DCD1E7E" w14:textId="77777777" w:rsidR="00944641" w:rsidRDefault="00944641" w:rsidP="00EF16F6">
            <w:pPr>
              <w:pStyle w:val="IEEETableCell"/>
            </w:pPr>
            <w:r>
              <w:t>11</w:t>
            </w:r>
          </w:p>
        </w:tc>
        <w:tc>
          <w:tcPr>
            <w:tcW w:w="1559" w:type="dxa"/>
          </w:tcPr>
          <w:p w14:paraId="2117C189" w14:textId="77777777" w:rsidR="00944641" w:rsidRDefault="00944641" w:rsidP="00EF16F6">
            <w:pPr>
              <w:pStyle w:val="IEEETableCell"/>
            </w:pPr>
            <w:r>
              <w:t>author name</w:t>
            </w:r>
          </w:p>
        </w:tc>
        <w:tc>
          <w:tcPr>
            <w:tcW w:w="1080" w:type="dxa"/>
          </w:tcPr>
          <w:p w14:paraId="27685E9E" w14:textId="77777777" w:rsidR="00944641" w:rsidRDefault="00944641" w:rsidP="00EF16F6">
            <w:pPr>
              <w:pStyle w:val="IEEETableCell"/>
            </w:pPr>
          </w:p>
        </w:tc>
        <w:tc>
          <w:tcPr>
            <w:tcW w:w="1605" w:type="dxa"/>
          </w:tcPr>
          <w:p w14:paraId="6A028F90" w14:textId="77777777" w:rsidR="00944641" w:rsidRDefault="00944641" w:rsidP="00EF16F6">
            <w:pPr>
              <w:pStyle w:val="IEEETableCell"/>
            </w:pPr>
          </w:p>
        </w:tc>
      </w:tr>
      <w:tr w:rsidR="00944641" w14:paraId="6EBB9650" w14:textId="77777777" w:rsidTr="00EF16F6">
        <w:trPr>
          <w:jc w:val="center"/>
        </w:trPr>
        <w:tc>
          <w:tcPr>
            <w:tcW w:w="741" w:type="dxa"/>
          </w:tcPr>
          <w:p w14:paraId="686BCE10" w14:textId="77777777" w:rsidR="00944641" w:rsidRDefault="00944641" w:rsidP="00EF16F6">
            <w:pPr>
              <w:pStyle w:val="IEEETableCell"/>
            </w:pPr>
            <w:r>
              <w:t>24</w:t>
            </w:r>
          </w:p>
        </w:tc>
        <w:tc>
          <w:tcPr>
            <w:tcW w:w="1559" w:type="dxa"/>
          </w:tcPr>
          <w:p w14:paraId="0ACD3593" w14:textId="77777777" w:rsidR="00944641" w:rsidRDefault="00944641" w:rsidP="00EF16F6">
            <w:pPr>
              <w:pStyle w:val="IEEETableCell"/>
            </w:pPr>
            <w:r>
              <w:t>title</w:t>
            </w:r>
          </w:p>
        </w:tc>
        <w:tc>
          <w:tcPr>
            <w:tcW w:w="1080" w:type="dxa"/>
          </w:tcPr>
          <w:p w14:paraId="7D8D023E" w14:textId="77777777" w:rsidR="00944641" w:rsidRDefault="00944641" w:rsidP="00EF16F6">
            <w:pPr>
              <w:pStyle w:val="IEEETableCell"/>
            </w:pPr>
          </w:p>
        </w:tc>
        <w:tc>
          <w:tcPr>
            <w:tcW w:w="1605" w:type="dxa"/>
          </w:tcPr>
          <w:p w14:paraId="259C0D6B" w14:textId="77777777" w:rsidR="00944641" w:rsidRDefault="00944641" w:rsidP="00EF16F6">
            <w:pPr>
              <w:pStyle w:val="IEEETableCell"/>
            </w:pPr>
          </w:p>
        </w:tc>
      </w:tr>
    </w:tbl>
    <w:p w14:paraId="2D82701A" w14:textId="77777777" w:rsidR="00944641" w:rsidRDefault="00944641">
      <w:pPr>
        <w:pStyle w:val="IEEEParagraph"/>
      </w:pPr>
    </w:p>
    <w:p w14:paraId="001364CC" w14:textId="77777777" w:rsidR="007851F8" w:rsidRDefault="007851F8">
      <w:pPr>
        <w:pStyle w:val="IEEEParagraph"/>
      </w:pPr>
      <w:r>
        <w:t xml:space="preserve">All title and author details must be in single-column format and must be </w:t>
      </w:r>
      <w:proofErr w:type="spellStart"/>
      <w:r>
        <w:t>centered</w:t>
      </w:r>
      <w:proofErr w:type="spellEnd"/>
      <w:r>
        <w:t>.</w:t>
      </w:r>
    </w:p>
    <w:p w14:paraId="5CEEA14B" w14:textId="77777777" w:rsidR="007851F8" w:rsidRDefault="007851F8">
      <w:pPr>
        <w:pStyle w:val="IEEEParagraph"/>
      </w:pPr>
      <w:r>
        <w:t>To avoid confusion, the family name must be written as the last part of each author name (e.g. John A.K. Smith).</w:t>
      </w:r>
    </w:p>
    <w:p w14:paraId="49AEA10C" w14:textId="77777777" w:rsidR="007851F8" w:rsidRDefault="007851F8">
      <w:pPr>
        <w:pStyle w:val="IEEEParagraph"/>
      </w:pPr>
      <w:r>
        <w:t>Each affiliation must include, at the very least, the name of the institute/university and the name of the country where the author is based (e.g. University of Tokyo, Japan).</w:t>
      </w:r>
    </w:p>
    <w:p w14:paraId="4B652B4A" w14:textId="77777777" w:rsidR="007851F8" w:rsidRDefault="007851F8">
      <w:pPr>
        <w:pStyle w:val="IEEEParagraph"/>
      </w:pPr>
      <w:r>
        <w:t>Email address is compulsory for the corresponding author.</w:t>
      </w:r>
    </w:p>
    <w:p w14:paraId="033A9F3C" w14:textId="77777777" w:rsidR="007851F8" w:rsidRDefault="007851F8">
      <w:pPr>
        <w:pStyle w:val="IEEEHeading2"/>
        <w:ind w:left="288" w:hanging="288"/>
        <w:rPr>
          <w:lang w:val="en-GB"/>
        </w:rPr>
      </w:pPr>
      <w:r>
        <w:rPr>
          <w:lang w:val="en-GB"/>
        </w:rPr>
        <w:t>Figures and Tables</w:t>
      </w:r>
    </w:p>
    <w:p w14:paraId="7AFB831B" w14:textId="77777777" w:rsidR="007851F8" w:rsidRDefault="007851F8">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Large figures and tables may span across both columns.  Any table or figure that takes up more than 1 column width must be positioned either at the top or at the bottom of the page.</w:t>
      </w:r>
    </w:p>
    <w:p w14:paraId="1DE19980" w14:textId="77777777" w:rsidR="007851F8" w:rsidRDefault="007851F8">
      <w:pPr>
        <w:pStyle w:val="IEEEParagraph"/>
        <w:rPr>
          <w:lang w:val="en-GB"/>
        </w:rPr>
      </w:pPr>
      <w:r>
        <w:rPr>
          <w:lang w:val="en-GB"/>
        </w:rPr>
        <w:t>Graphics may be full</w:t>
      </w:r>
      <w:r>
        <w:rPr>
          <w:lang w:val="en-US"/>
        </w:rPr>
        <w:t xml:space="preserve"> color</w:t>
      </w:r>
      <w:r>
        <w:rPr>
          <w:lang w:val="en-GB"/>
        </w:rPr>
        <w:t xml:space="preserve">.  All </w:t>
      </w:r>
      <w:proofErr w:type="spellStart"/>
      <w:r>
        <w:rPr>
          <w:lang w:val="en-GB"/>
        </w:rPr>
        <w:t>colors</w:t>
      </w:r>
      <w:proofErr w:type="spellEnd"/>
      <w:r>
        <w:rPr>
          <w:lang w:val="en-GB"/>
        </w:rPr>
        <w:t xml:space="preserve"> will be retained in the online proceedings but will be </w:t>
      </w:r>
      <w:proofErr w:type="spellStart"/>
      <w:r>
        <w:rPr>
          <w:lang w:val="en-GB"/>
        </w:rPr>
        <w:t>gray</w:t>
      </w:r>
      <w:proofErr w:type="spellEnd"/>
      <w:r>
        <w:rPr>
          <w:lang w:val="en-GB"/>
        </w:rPr>
        <w:t xml:space="preserve"> scale in the printed proceedings.  Graphics must not use stipple fill patterns because they may not be reproduced properly.  Please use only </w:t>
      </w:r>
      <w:r>
        <w:rPr>
          <w:i/>
          <w:iCs/>
          <w:lang w:val="en-GB"/>
        </w:rPr>
        <w:t>SOLID FILL</w:t>
      </w:r>
      <w:r>
        <w:rPr>
          <w:lang w:val="en-GB"/>
        </w:rPr>
        <w:t xml:space="preserve"> </w:t>
      </w:r>
      <w:proofErr w:type="spellStart"/>
      <w:r>
        <w:t>colors</w:t>
      </w:r>
      <w:proofErr w:type="spellEnd"/>
      <w:r>
        <w:rPr>
          <w:lang w:val="en-GB"/>
        </w:rPr>
        <w:t xml:space="preserve"> which contrast well both on screen and on a black-and-white hardcopy, as shown in Fig. 1.</w:t>
      </w:r>
    </w:p>
    <w:p w14:paraId="72CA8343" w14:textId="77777777" w:rsidR="007851F8" w:rsidRDefault="007851F8">
      <w:pPr>
        <w:pStyle w:val="IEEEParagraph"/>
      </w:pPr>
    </w:p>
    <w:p w14:paraId="5E1A9148" w14:textId="77777777" w:rsidR="007851F8" w:rsidRDefault="001B69EB">
      <w:pPr>
        <w:pStyle w:val="IEEEFigure"/>
      </w:pPr>
      <w:r>
        <w:rPr>
          <w:noProof/>
          <w:lang w:val="en-US" w:eastAsia="en-US"/>
        </w:rPr>
        <w:drawing>
          <wp:inline distT="0" distB="0" distL="0" distR="0" wp14:anchorId="4612CCF9" wp14:editId="5A4E4D30">
            <wp:extent cx="24669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solidFill>
                      <a:srgbClr val="FFFFFF"/>
                    </a:solidFill>
                    <a:ln>
                      <a:noFill/>
                    </a:ln>
                  </pic:spPr>
                </pic:pic>
              </a:graphicData>
            </a:graphic>
          </wp:inline>
        </w:drawing>
      </w:r>
    </w:p>
    <w:p w14:paraId="3C445F62" w14:textId="77777777" w:rsidR="007851F8" w:rsidRDefault="007851F8">
      <w:pPr>
        <w:pStyle w:val="IEEEFigureCaptionMulti-Lines"/>
      </w:pPr>
      <w:r>
        <w:t xml:space="preserve">Fig. </w:t>
      </w:r>
      <w:r>
        <w:fldChar w:fldCharType="begin"/>
      </w:r>
      <w:r>
        <w:instrText xml:space="preserve"> SEQ "Fig." \*Arabic </w:instrText>
      </w:r>
      <w:r>
        <w:fldChar w:fldCharType="separate"/>
      </w:r>
      <w:r w:rsidR="00CD1834">
        <w:rPr>
          <w:noProof/>
        </w:rPr>
        <w:t>1</w:t>
      </w:r>
      <w:r>
        <w:fldChar w:fldCharType="end"/>
      </w:r>
      <w:r>
        <w:t xml:space="preserve">  A sample line graph using </w:t>
      </w:r>
      <w:proofErr w:type="spellStart"/>
      <w:r>
        <w:t>colors</w:t>
      </w:r>
      <w:proofErr w:type="spellEnd"/>
      <w:r>
        <w:t xml:space="preserve"> which contrast well both on screen and on a black-and-white hardcopy</w:t>
      </w:r>
    </w:p>
    <w:p w14:paraId="260BFF7B" w14:textId="77777777" w:rsidR="007851F8" w:rsidRDefault="007851F8">
      <w:pPr>
        <w:pStyle w:val="IEEEParagraph"/>
      </w:pPr>
    </w:p>
    <w:p w14:paraId="3554D319" w14:textId="77777777" w:rsidR="007851F8" w:rsidRDefault="007851F8">
      <w:pPr>
        <w:pStyle w:val="IEEEParagraph"/>
        <w:rPr>
          <w:lang w:val="en-GB"/>
        </w:rPr>
      </w:pPr>
      <w:r>
        <w:rPr>
          <w:lang w:val="en-GB"/>
        </w:rPr>
        <w:t xml:space="preserve">Fig. 2 shows an example of a low-resolution image which would not be acceptable, whereas Fig. 3 shows an example of </w:t>
      </w:r>
      <w:r>
        <w:rPr>
          <w:lang w:val="en-GB"/>
        </w:rPr>
        <w:t>an image with adequate resolution.  Check that the resolution is adequate to reveal the important detail in the figure.</w:t>
      </w:r>
    </w:p>
    <w:p w14:paraId="12332F84" w14:textId="77777777" w:rsidR="007851F8" w:rsidRDefault="007851F8">
      <w:pPr>
        <w:pStyle w:val="IEEEParagraph"/>
        <w:rPr>
          <w:lang w:val="en-GB"/>
        </w:rPr>
      </w:pPr>
      <w:r>
        <w:rPr>
          <w:lang w:val="en-GB"/>
        </w:rPr>
        <w:t>Please check all figures in your paper both on screen and on a black-and-white hardcopy.  When you check your paper on a black-and-white hardcopy, please ensure that:</w:t>
      </w:r>
    </w:p>
    <w:p w14:paraId="50B28EBA" w14:textId="77777777" w:rsidR="007851F8" w:rsidRDefault="007851F8">
      <w:pPr>
        <w:pStyle w:val="IEEEParagraph"/>
        <w:numPr>
          <w:ilvl w:val="0"/>
          <w:numId w:val="4"/>
        </w:numPr>
        <w:rPr>
          <w:lang w:val="en-GB"/>
        </w:rPr>
      </w:pPr>
      <w:r>
        <w:rPr>
          <w:lang w:val="en-GB"/>
        </w:rPr>
        <w:t xml:space="preserve">the </w:t>
      </w:r>
      <w:proofErr w:type="spellStart"/>
      <w:r>
        <w:rPr>
          <w:lang w:val="en-GB"/>
        </w:rPr>
        <w:t>colors</w:t>
      </w:r>
      <w:proofErr w:type="spellEnd"/>
      <w:r>
        <w:rPr>
          <w:lang w:val="en-GB"/>
        </w:rPr>
        <w:t xml:space="preserve"> used in each figure contrast well,</w:t>
      </w:r>
    </w:p>
    <w:p w14:paraId="6D1A631D" w14:textId="77777777" w:rsidR="007851F8" w:rsidRDefault="007851F8">
      <w:pPr>
        <w:pStyle w:val="IEEEParagraph"/>
        <w:numPr>
          <w:ilvl w:val="0"/>
          <w:numId w:val="4"/>
        </w:numPr>
        <w:rPr>
          <w:lang w:val="en-GB"/>
        </w:rPr>
      </w:pPr>
      <w:r>
        <w:rPr>
          <w:lang w:val="en-GB"/>
        </w:rPr>
        <w:t>the image used in each figure is clear,</w:t>
      </w:r>
    </w:p>
    <w:p w14:paraId="28593ECE" w14:textId="77777777" w:rsidR="007851F8" w:rsidRDefault="007851F8">
      <w:pPr>
        <w:pStyle w:val="IEEEParagraph"/>
        <w:numPr>
          <w:ilvl w:val="0"/>
          <w:numId w:val="4"/>
        </w:numPr>
        <w:rPr>
          <w:lang w:val="en-GB"/>
        </w:rPr>
      </w:pPr>
      <w:r>
        <w:rPr>
          <w:lang w:val="en-GB"/>
        </w:rPr>
        <w:t>all text labels in each figure are legible.</w:t>
      </w:r>
    </w:p>
    <w:p w14:paraId="02CB34A3" w14:textId="77777777" w:rsidR="007319B8" w:rsidRDefault="007319B8">
      <w:pPr>
        <w:pStyle w:val="IEEEParagraph"/>
        <w:numPr>
          <w:ilvl w:val="0"/>
          <w:numId w:val="4"/>
        </w:numPr>
        <w:rPr>
          <w:lang w:val="en-GB"/>
        </w:rPr>
      </w:pPr>
      <w:r>
        <w:rPr>
          <w:lang w:val="en-GB"/>
        </w:rPr>
        <w:t>That each figure is centred.</w:t>
      </w:r>
    </w:p>
    <w:p w14:paraId="48AF15D9" w14:textId="77777777" w:rsidR="007851F8" w:rsidRDefault="007851F8">
      <w:pPr>
        <w:pStyle w:val="IEEEHeading2"/>
        <w:ind w:left="288" w:hanging="288"/>
      </w:pPr>
      <w:r>
        <w:t>Figure Captions</w:t>
      </w:r>
    </w:p>
    <w:p w14:paraId="7FE60E5B" w14:textId="77777777" w:rsidR="007851F8" w:rsidRDefault="007851F8">
      <w:pPr>
        <w:pStyle w:val="IEEEParagraph"/>
        <w:rPr>
          <w:lang w:val="en-GB"/>
        </w:rPr>
      </w:pPr>
      <w:r>
        <w:rPr>
          <w:lang w:val="en-GB"/>
        </w:rPr>
        <w:t xml:space="preserve">Figures must be numbered using Arabic numerals.  Figure captions must be in 8 </w:t>
      </w:r>
      <w:proofErr w:type="spellStart"/>
      <w:r>
        <w:rPr>
          <w:lang w:val="en-GB"/>
        </w:rPr>
        <w:t>pt</w:t>
      </w:r>
      <w:proofErr w:type="spellEnd"/>
      <w:r>
        <w:rPr>
          <w:lang w:val="en-GB"/>
        </w:rPr>
        <w:t xml:space="preserve"> Regular font.  Captions of a single line (e.g. Fig. 2) must be </w:t>
      </w:r>
      <w:proofErr w:type="spellStart"/>
      <w:r>
        <w:rPr>
          <w:lang w:val="en-GB"/>
        </w:rPr>
        <w:t>centered</w:t>
      </w:r>
      <w:proofErr w:type="spellEnd"/>
      <w:r>
        <w:rPr>
          <w:lang w:val="en-GB"/>
        </w:rPr>
        <w:t xml:space="preserve"> whereas multi-line captions must be justified (e.g. Fig. 1).  Captions with figure numbers must be placed after their associated figures, as shown in Fig. 1.</w:t>
      </w:r>
    </w:p>
    <w:p w14:paraId="37C1B8D0" w14:textId="77777777" w:rsidR="007851F8" w:rsidRDefault="001B69EB">
      <w:pPr>
        <w:pStyle w:val="IEEEFigure"/>
      </w:pPr>
      <w:r>
        <w:rPr>
          <w:noProof/>
          <w:lang w:val="en-US" w:eastAsia="en-US"/>
        </w:rPr>
        <w:drawing>
          <wp:inline distT="0" distB="0" distL="0" distR="0" wp14:anchorId="08F41763" wp14:editId="3BAEE583">
            <wp:extent cx="627920" cy="89965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073" cy="937122"/>
                    </a:xfrm>
                    <a:prstGeom prst="rect">
                      <a:avLst/>
                    </a:prstGeom>
                    <a:solidFill>
                      <a:srgbClr val="FFFFFF"/>
                    </a:solidFill>
                    <a:ln>
                      <a:noFill/>
                    </a:ln>
                  </pic:spPr>
                </pic:pic>
              </a:graphicData>
            </a:graphic>
          </wp:inline>
        </w:drawing>
      </w:r>
    </w:p>
    <w:p w14:paraId="1DDBD1DD" w14:textId="77777777" w:rsidR="007851F8" w:rsidRDefault="007851F8">
      <w:pPr>
        <w:pStyle w:val="IEEEFigureCaptionSingle-Line"/>
      </w:pPr>
      <w:r>
        <w:t xml:space="preserve">Fig. </w:t>
      </w:r>
      <w:r>
        <w:fldChar w:fldCharType="begin"/>
      </w:r>
      <w:r>
        <w:instrText xml:space="preserve"> SEQ "Fig." \*Arabic </w:instrText>
      </w:r>
      <w:r>
        <w:fldChar w:fldCharType="separate"/>
      </w:r>
      <w:r w:rsidR="00CD1834">
        <w:rPr>
          <w:noProof/>
        </w:rPr>
        <w:t>2</w:t>
      </w:r>
      <w:r>
        <w:fldChar w:fldCharType="end"/>
      </w:r>
      <w:r>
        <w:t xml:space="preserve">  Example of an unacceptable low-resolution image</w:t>
      </w:r>
    </w:p>
    <w:p w14:paraId="7667BA94" w14:textId="77777777" w:rsidR="007851F8" w:rsidRDefault="001B69EB">
      <w:pPr>
        <w:pStyle w:val="IEEEFigure"/>
      </w:pPr>
      <w:r>
        <w:rPr>
          <w:noProof/>
          <w:lang w:val="en-US" w:eastAsia="en-US"/>
        </w:rPr>
        <w:drawing>
          <wp:inline distT="0" distB="0" distL="0" distR="0" wp14:anchorId="70B0CDBD" wp14:editId="5A1FEDF9">
            <wp:extent cx="619432" cy="9041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32" cy="917568"/>
                    </a:xfrm>
                    <a:prstGeom prst="rect">
                      <a:avLst/>
                    </a:prstGeom>
                    <a:solidFill>
                      <a:srgbClr val="FFFFFF"/>
                    </a:solidFill>
                    <a:ln>
                      <a:noFill/>
                    </a:ln>
                  </pic:spPr>
                </pic:pic>
              </a:graphicData>
            </a:graphic>
          </wp:inline>
        </w:drawing>
      </w:r>
    </w:p>
    <w:p w14:paraId="046DC764" w14:textId="77777777" w:rsidR="007851F8" w:rsidRDefault="007851F8">
      <w:pPr>
        <w:pStyle w:val="IEEEFigureCaptionSingle-Line"/>
      </w:pPr>
      <w:r>
        <w:t xml:space="preserve">Fig. </w:t>
      </w:r>
      <w:r>
        <w:fldChar w:fldCharType="begin"/>
      </w:r>
      <w:r>
        <w:instrText xml:space="preserve"> SEQ "Fig." \*Arabic </w:instrText>
      </w:r>
      <w:r>
        <w:fldChar w:fldCharType="separate"/>
      </w:r>
      <w:r w:rsidR="00CD1834">
        <w:rPr>
          <w:noProof/>
        </w:rPr>
        <w:t>3</w:t>
      </w:r>
      <w:r>
        <w:fldChar w:fldCharType="end"/>
      </w:r>
      <w:r>
        <w:t xml:space="preserve">  Example of an image with acceptable resolution</w:t>
      </w:r>
    </w:p>
    <w:p w14:paraId="0286F21E" w14:textId="77777777" w:rsidR="007851F8" w:rsidRDefault="007851F8">
      <w:pPr>
        <w:pStyle w:val="IEEEParagraph"/>
      </w:pPr>
    </w:p>
    <w:p w14:paraId="0E031183" w14:textId="77777777" w:rsidR="007851F8" w:rsidRDefault="007851F8">
      <w:pPr>
        <w:pStyle w:val="IEEEHeading2"/>
        <w:ind w:left="288" w:hanging="288"/>
      </w:pPr>
      <w:r>
        <w:t>Table Captions</w:t>
      </w:r>
    </w:p>
    <w:p w14:paraId="26C3934E" w14:textId="77777777" w:rsidR="007851F8" w:rsidRDefault="007851F8">
      <w:pPr>
        <w:pStyle w:val="IEEEParagraph"/>
        <w:rPr>
          <w:lang w:val="en-GB"/>
        </w:rPr>
      </w:pPr>
      <w:r>
        <w:rPr>
          <w:lang w:val="en-GB"/>
        </w:rPr>
        <w:t xml:space="preserve">Tables must be numbered using uppercase Roman numerals.  Table captions must be centred and in 8 </w:t>
      </w:r>
      <w:proofErr w:type="spellStart"/>
      <w:r>
        <w:rPr>
          <w:lang w:val="en-GB"/>
        </w:rPr>
        <w:t>pt</w:t>
      </w:r>
      <w:proofErr w:type="spellEnd"/>
      <w:r>
        <w:rPr>
          <w:lang w:val="en-GB"/>
        </w:rPr>
        <w:t xml:space="preserve"> Regular font with Small Caps.  </w:t>
      </w:r>
      <w:r>
        <w:t>Every word in a table caption must be capitalized except for short minor words as listed in Section III-B</w:t>
      </w:r>
      <w:r>
        <w:rPr>
          <w:lang w:val="en-GB"/>
        </w:rPr>
        <w:t>.  Captions with table numbers must be placed before their associated tables, as shown in Table 1.</w:t>
      </w:r>
    </w:p>
    <w:p w14:paraId="37F6D11B" w14:textId="77777777" w:rsidR="007851F8" w:rsidRDefault="007851F8">
      <w:pPr>
        <w:pStyle w:val="IEEEParagraph"/>
        <w:rPr>
          <w:lang w:val="en-GB"/>
        </w:rPr>
      </w:pPr>
    </w:p>
    <w:p w14:paraId="12C0D460" w14:textId="77777777" w:rsidR="007851F8" w:rsidRDefault="007851F8">
      <w:pPr>
        <w:pStyle w:val="IEEEHeading2"/>
        <w:ind w:left="288" w:hanging="288"/>
      </w:pPr>
      <w:r>
        <w:t>Page Numbers, Headers and Footers</w:t>
      </w:r>
    </w:p>
    <w:p w14:paraId="0AA01901" w14:textId="77777777" w:rsidR="007851F8" w:rsidRDefault="007851F8">
      <w:pPr>
        <w:pStyle w:val="IEEEParagraph"/>
      </w:pPr>
      <w:r>
        <w:t>Page numbers and footers must not be used. Please leave the header unchanged.</w:t>
      </w:r>
      <w:r w:rsidR="007319B8">
        <w:t xml:space="preserve"> </w:t>
      </w:r>
    </w:p>
    <w:p w14:paraId="3AEC02B2" w14:textId="77777777" w:rsidR="007851F8" w:rsidRDefault="007851F8">
      <w:pPr>
        <w:pStyle w:val="IEEEParagraph"/>
      </w:pPr>
    </w:p>
    <w:p w14:paraId="0B303D82" w14:textId="77777777" w:rsidR="007851F8" w:rsidRDefault="007851F8">
      <w:pPr>
        <w:pStyle w:val="IEEEHeading2"/>
        <w:ind w:left="288" w:hanging="288"/>
      </w:pPr>
      <w:r>
        <w:t>Links and Bookmarks</w:t>
      </w:r>
    </w:p>
    <w:p w14:paraId="54B46BB5" w14:textId="77777777" w:rsidR="007851F8" w:rsidRDefault="007851F8">
      <w:pPr>
        <w:pStyle w:val="IEEEParagraph"/>
        <w:rPr>
          <w:lang w:val="en-US"/>
        </w:rPr>
      </w:pPr>
      <w:r>
        <w:rPr>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14:paraId="2894E389" w14:textId="77777777" w:rsidR="007851F8" w:rsidRDefault="007851F8">
      <w:pPr>
        <w:pStyle w:val="IEEEHeading2"/>
        <w:ind w:left="288" w:hanging="288"/>
      </w:pPr>
      <w:r>
        <w:t>References</w:t>
      </w:r>
    </w:p>
    <w:p w14:paraId="72E9BE02" w14:textId="77777777" w:rsidR="007851F8" w:rsidRDefault="007851F8">
      <w:pPr>
        <w:pStyle w:val="IEEEParagraph"/>
        <w:rPr>
          <w:lang w:val="en-GB"/>
        </w:rPr>
      </w:pPr>
      <w:r>
        <w:rPr>
          <w:lang w:val="en-GB"/>
        </w:rPr>
        <w:t xml:space="preserve">The heading of the References section must not be numbered.  All reference items must be in 8 </w:t>
      </w:r>
      <w:proofErr w:type="spellStart"/>
      <w:r>
        <w:rPr>
          <w:lang w:val="en-GB"/>
        </w:rPr>
        <w:t>pt</w:t>
      </w:r>
      <w:proofErr w:type="spellEnd"/>
      <w:r>
        <w:rPr>
          <w:lang w:val="en-GB"/>
        </w:rPr>
        <w:t xml:space="preserve"> font.  Please use Regular and Italic styles to distinguish different fields as shown </w:t>
      </w:r>
      <w:r>
        <w:rPr>
          <w:lang w:val="en-GB"/>
        </w:rPr>
        <w:lastRenderedPageBreak/>
        <w:t>in the References section.</w:t>
      </w:r>
      <w:r>
        <w:rPr>
          <w:lang w:val="en-US"/>
        </w:rPr>
        <w:t xml:space="preserve">  </w:t>
      </w:r>
      <w:r>
        <w:rPr>
          <w:lang w:val="en-GB"/>
        </w:rPr>
        <w:t xml:space="preserve">Number the reference items consecutively in square brackets (e.g. [1]).  </w:t>
      </w:r>
    </w:p>
    <w:p w14:paraId="0C2B3842" w14:textId="77777777" w:rsidR="007851F8" w:rsidRDefault="007851F8">
      <w:pPr>
        <w:pStyle w:val="IEEEParagraph"/>
        <w:rPr>
          <w:lang w:val="en-GB"/>
        </w:rPr>
      </w:pPr>
      <w:r>
        <w:rPr>
          <w:lang w:val="en-GB"/>
        </w:rPr>
        <w:t>When referring to a reference item, please simply use the reference number, as in [2].  Do not use “Ref. [3]” or “Reference [3]” except at the beginning of a sentence, e.g.  “Reference [3] shows …”.  Multiple references are each numbered with separate brackets (e.g. [2], [3], [4]–[6]).</w:t>
      </w:r>
    </w:p>
    <w:p w14:paraId="217785B8" w14:textId="77777777" w:rsidR="007851F8" w:rsidRDefault="007851F8">
      <w:pPr>
        <w:pStyle w:val="IEEEHeading1"/>
      </w:pPr>
      <w:r>
        <w:t>Conclusions</w:t>
      </w:r>
    </w:p>
    <w:p w14:paraId="01519D9E" w14:textId="15256684" w:rsidR="007851F8" w:rsidRDefault="007851F8">
      <w:pPr>
        <w:pStyle w:val="IEEEParagraph"/>
        <w:rPr>
          <w:lang w:val="en-US"/>
        </w:rPr>
      </w:pPr>
      <w:r>
        <w:t xml:space="preserve">This template is partly based on the </w:t>
      </w:r>
      <w:r w:rsidR="006B519E">
        <w:t xml:space="preserve">IEEE extended abstract </w:t>
      </w:r>
      <w:r>
        <w:t>template</w:t>
      </w:r>
      <w:r>
        <w:rPr>
          <w:lang w:val="en-US"/>
        </w:rPr>
        <w:t>.</w:t>
      </w:r>
    </w:p>
    <w:p w14:paraId="33186B99" w14:textId="77777777" w:rsidR="007851F8" w:rsidRDefault="007851F8">
      <w:pPr>
        <w:pStyle w:val="IEEEHeading1"/>
        <w:numPr>
          <w:ilvl w:val="0"/>
          <w:numId w:val="0"/>
        </w:numPr>
        <w:rPr>
          <w:lang w:val="en-US"/>
        </w:rPr>
      </w:pPr>
      <w:r>
        <w:rPr>
          <w:lang w:val="en-US"/>
        </w:rPr>
        <w:t>Acknowledgment</w:t>
      </w:r>
    </w:p>
    <w:p w14:paraId="4AE4A513" w14:textId="77777777" w:rsidR="007851F8" w:rsidRDefault="007851F8">
      <w:pPr>
        <w:pStyle w:val="IEEEParagraph"/>
        <w:rPr>
          <w:lang w:val="en-GB"/>
        </w:rPr>
      </w:pPr>
      <w:r>
        <w:rPr>
          <w:lang w:val="en-GB"/>
        </w:rPr>
        <w:t>The heading of the Acknowledgment section and the References section must not be numbered.</w:t>
      </w:r>
    </w:p>
    <w:sdt>
      <w:sdtPr>
        <w:id w:val="-485397951"/>
        <w:docPartObj>
          <w:docPartGallery w:val="Bibliographies"/>
          <w:docPartUnique/>
        </w:docPartObj>
      </w:sdtPr>
      <w:sdtEndPr>
        <w:rPr>
          <w:smallCaps w:val="0"/>
          <w:sz w:val="24"/>
        </w:rPr>
      </w:sdtEndPr>
      <w:sdtContent>
        <w:p w14:paraId="5AD0458D" w14:textId="4D01129F" w:rsidR="00171AF6" w:rsidRDefault="00171AF6" w:rsidP="0025479F">
          <w:pPr>
            <w:pStyle w:val="IEEEHeading1"/>
            <w:numPr>
              <w:ilvl w:val="0"/>
              <w:numId w:val="0"/>
            </w:numPr>
            <w:spacing w:before="0"/>
          </w:pPr>
          <w:r>
            <w:t>References</w:t>
          </w:r>
        </w:p>
        <w:sdt>
          <w:sdtPr>
            <w:id w:val="-573587230"/>
            <w:bibliography/>
          </w:sdtPr>
          <w:sdtContent>
            <w:p w14:paraId="56566573" w14:textId="77777777" w:rsidR="00171AF6" w:rsidRDefault="00171AF6" w:rsidP="0025479F">
              <w:pPr>
                <w:rPr>
                  <w:rFonts w:eastAsia="Times New Roman"/>
                  <w:noProof/>
                  <w:sz w:val="20"/>
                  <w:szCs w:val="20"/>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0"/>
                <w:gridCol w:w="4762"/>
              </w:tblGrid>
              <w:tr w:rsidR="00171AF6" w:rsidRPr="0081702A" w14:paraId="18E5F12C" w14:textId="77777777">
                <w:trPr>
                  <w:divId w:val="1791629507"/>
                  <w:tblCellSpacing w:w="15" w:type="dxa"/>
                </w:trPr>
                <w:tc>
                  <w:tcPr>
                    <w:tcW w:w="50" w:type="pct"/>
                    <w:hideMark/>
                  </w:tcPr>
                  <w:p w14:paraId="01A0CE8A" w14:textId="6EF20929" w:rsidR="00171AF6" w:rsidRPr="0081702A" w:rsidRDefault="00171AF6" w:rsidP="0025479F">
                    <w:pPr>
                      <w:pStyle w:val="Bibliography"/>
                      <w:rPr>
                        <w:i/>
                        <w:iCs/>
                        <w:noProof/>
                        <w:sz w:val="16"/>
                        <w:szCs w:val="16"/>
                      </w:rPr>
                    </w:pPr>
                    <w:r w:rsidRPr="0081702A">
                      <w:rPr>
                        <w:i/>
                        <w:iCs/>
                        <w:noProof/>
                        <w:sz w:val="16"/>
                        <w:szCs w:val="16"/>
                      </w:rPr>
                      <w:t xml:space="preserve">[1] </w:t>
                    </w:r>
                  </w:p>
                </w:tc>
                <w:tc>
                  <w:tcPr>
                    <w:tcW w:w="0" w:type="auto"/>
                    <w:hideMark/>
                  </w:tcPr>
                  <w:p w14:paraId="112022DB" w14:textId="77777777" w:rsidR="00171AF6" w:rsidRPr="0081702A" w:rsidRDefault="00171AF6" w:rsidP="0025479F">
                    <w:pPr>
                      <w:pStyle w:val="Bibliography"/>
                      <w:rPr>
                        <w:i/>
                        <w:iCs/>
                        <w:noProof/>
                        <w:sz w:val="16"/>
                        <w:szCs w:val="16"/>
                      </w:rPr>
                    </w:pPr>
                    <w:r w:rsidRPr="0081702A">
                      <w:rPr>
                        <w:i/>
                        <w:iCs/>
                        <w:noProof/>
                        <w:sz w:val="16"/>
                        <w:szCs w:val="16"/>
                      </w:rPr>
                      <w:t xml:space="preserve">H. Sϕhoel, M. G. Jaatun and C. Boyd, “OWASP Top 10 - Do Startups Care?,” in 2018 International Conference on Cyber Security and Protection of Digital Services (Cyber Security), Glasgow, 2018. </w:t>
                    </w:r>
                  </w:p>
                </w:tc>
              </w:tr>
              <w:tr w:rsidR="00171AF6" w:rsidRPr="0081702A" w14:paraId="66B0EE19" w14:textId="77777777">
                <w:trPr>
                  <w:divId w:val="1791629507"/>
                  <w:tblCellSpacing w:w="15" w:type="dxa"/>
                </w:trPr>
                <w:tc>
                  <w:tcPr>
                    <w:tcW w:w="50" w:type="pct"/>
                    <w:hideMark/>
                  </w:tcPr>
                  <w:p w14:paraId="4861DA25" w14:textId="77777777" w:rsidR="00171AF6" w:rsidRPr="0081702A" w:rsidRDefault="00171AF6" w:rsidP="0025479F">
                    <w:pPr>
                      <w:pStyle w:val="Bibliography"/>
                      <w:rPr>
                        <w:i/>
                        <w:iCs/>
                        <w:noProof/>
                        <w:sz w:val="16"/>
                        <w:szCs w:val="16"/>
                      </w:rPr>
                    </w:pPr>
                    <w:r w:rsidRPr="0081702A">
                      <w:rPr>
                        <w:i/>
                        <w:iCs/>
                        <w:noProof/>
                        <w:sz w:val="16"/>
                        <w:szCs w:val="16"/>
                      </w:rPr>
                      <w:t xml:space="preserve">[2] </w:t>
                    </w:r>
                  </w:p>
                </w:tc>
                <w:tc>
                  <w:tcPr>
                    <w:tcW w:w="0" w:type="auto"/>
                    <w:hideMark/>
                  </w:tcPr>
                  <w:p w14:paraId="6CFAA5A0" w14:textId="77777777" w:rsidR="00171AF6" w:rsidRPr="0081702A" w:rsidRDefault="00171AF6" w:rsidP="0025479F">
                    <w:pPr>
                      <w:pStyle w:val="Bibliography"/>
                      <w:rPr>
                        <w:i/>
                        <w:iCs/>
                        <w:noProof/>
                        <w:sz w:val="16"/>
                        <w:szCs w:val="16"/>
                      </w:rPr>
                    </w:pPr>
                    <w:r w:rsidRPr="0081702A">
                      <w:rPr>
                        <w:i/>
                        <w:iCs/>
                        <w:noProof/>
                        <w:sz w:val="16"/>
                        <w:szCs w:val="16"/>
                      </w:rPr>
                      <w:t xml:space="preserve">A. Koskinen, DevSecOps: Building Security Into the Core of DevOps, Jyväskylä: M.S. Thesis, University of Jyväskylä's Faculty of Information Technology, 2020. </w:t>
                    </w:r>
                  </w:p>
                </w:tc>
              </w:tr>
              <w:tr w:rsidR="00171AF6" w:rsidRPr="0081702A" w14:paraId="6FBF0BBE" w14:textId="77777777">
                <w:trPr>
                  <w:divId w:val="1791629507"/>
                  <w:tblCellSpacing w:w="15" w:type="dxa"/>
                </w:trPr>
                <w:tc>
                  <w:tcPr>
                    <w:tcW w:w="50" w:type="pct"/>
                    <w:hideMark/>
                  </w:tcPr>
                  <w:p w14:paraId="2CAB2267" w14:textId="77777777" w:rsidR="00171AF6" w:rsidRPr="0081702A" w:rsidRDefault="00171AF6" w:rsidP="0025479F">
                    <w:pPr>
                      <w:pStyle w:val="Bibliography"/>
                      <w:rPr>
                        <w:i/>
                        <w:iCs/>
                        <w:noProof/>
                        <w:sz w:val="16"/>
                        <w:szCs w:val="16"/>
                      </w:rPr>
                    </w:pPr>
                    <w:r w:rsidRPr="0081702A">
                      <w:rPr>
                        <w:i/>
                        <w:iCs/>
                        <w:noProof/>
                        <w:sz w:val="16"/>
                        <w:szCs w:val="16"/>
                      </w:rPr>
                      <w:t xml:space="preserve">[3] </w:t>
                    </w:r>
                  </w:p>
                </w:tc>
                <w:tc>
                  <w:tcPr>
                    <w:tcW w:w="0" w:type="auto"/>
                    <w:hideMark/>
                  </w:tcPr>
                  <w:p w14:paraId="3C53A3C8" w14:textId="77777777" w:rsidR="00171AF6" w:rsidRPr="0081702A" w:rsidRDefault="00171AF6" w:rsidP="0025479F">
                    <w:pPr>
                      <w:pStyle w:val="Bibliography"/>
                      <w:rPr>
                        <w:i/>
                        <w:iCs/>
                        <w:noProof/>
                        <w:sz w:val="16"/>
                        <w:szCs w:val="16"/>
                      </w:rPr>
                    </w:pPr>
                    <w:r w:rsidRPr="0081702A">
                      <w:rPr>
                        <w:i/>
                        <w:iCs/>
                        <w:noProof/>
                        <w:sz w:val="16"/>
                        <w:szCs w:val="16"/>
                      </w:rPr>
                      <w:t>FIRST.Org, Inc, “Common Vulnerability Scoring System v3.1: User Guide,” [Online]. Available: https://www.first.org/cvss/v3.1/user-guide.</w:t>
                    </w:r>
                  </w:p>
                </w:tc>
              </w:tr>
            </w:tbl>
            <w:p w14:paraId="0F325AEF" w14:textId="77777777" w:rsidR="00171AF6" w:rsidRDefault="00171AF6" w:rsidP="0025479F">
              <w:pPr>
                <w:divId w:val="1791629507"/>
                <w:rPr>
                  <w:rFonts w:eastAsia="Times New Roman"/>
                  <w:noProof/>
                </w:rPr>
              </w:pPr>
            </w:p>
            <w:p w14:paraId="030920AC" w14:textId="5C9E8A27" w:rsidR="00171AF6" w:rsidRDefault="00171AF6" w:rsidP="0025479F">
              <w:r>
                <w:rPr>
                  <w:b/>
                  <w:bCs/>
                  <w:noProof/>
                </w:rPr>
                <w:fldChar w:fldCharType="end"/>
              </w:r>
            </w:p>
          </w:sdtContent>
        </w:sdt>
      </w:sdtContent>
    </w:sdt>
    <w:p w14:paraId="6A1AD4E5" w14:textId="1CCD7C4F" w:rsidR="007851F8" w:rsidRPr="00A17E84" w:rsidRDefault="007851F8" w:rsidP="00207B54">
      <w:pPr>
        <w:pStyle w:val="IEEEReferenceItem"/>
        <w:numPr>
          <w:ilvl w:val="0"/>
          <w:numId w:val="0"/>
        </w:numPr>
        <w:ind w:left="432"/>
        <w:rPr>
          <w:lang w:val="fr-FR"/>
        </w:rPr>
        <w:sectPr w:rsidR="007851F8" w:rsidRPr="00A17E84" w:rsidSect="000A2F75">
          <w:headerReference w:type="even" r:id="rId12"/>
          <w:headerReference w:type="first" r:id="rId13"/>
          <w:footnotePr>
            <w:pos w:val="beneathText"/>
          </w:footnotePr>
          <w:type w:val="continuous"/>
          <w:pgSz w:w="12240" w:h="15840" w:code="1"/>
          <w:pgMar w:top="1008" w:right="936" w:bottom="1008" w:left="936" w:header="706" w:footer="720" w:gutter="0"/>
          <w:cols w:num="2" w:space="284"/>
          <w:docGrid w:linePitch="360"/>
        </w:sectPr>
      </w:pPr>
    </w:p>
    <w:p w14:paraId="48DBD8B9" w14:textId="618002D9" w:rsidR="00254924" w:rsidRDefault="00254924"/>
    <w:p w14:paraId="2266352D" w14:textId="77777777" w:rsidR="007851F8" w:rsidRDefault="007851F8" w:rsidP="00A17E84">
      <w:pPr>
        <w:pStyle w:val="IEEEParagraph"/>
        <w:ind w:firstLine="0"/>
      </w:pPr>
    </w:p>
    <w:sectPr w:rsidR="007851F8" w:rsidSect="000A2F75">
      <w:headerReference w:type="even" r:id="rId14"/>
      <w:headerReference w:type="default" r:id="rId15"/>
      <w:headerReference w:type="first" r:id="rId16"/>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BE949" w14:textId="77777777" w:rsidR="00302368" w:rsidRDefault="00302368">
      <w:r>
        <w:separator/>
      </w:r>
    </w:p>
  </w:endnote>
  <w:endnote w:type="continuationSeparator" w:id="0">
    <w:p w14:paraId="6BBC5195" w14:textId="77777777" w:rsidR="00302368" w:rsidRDefault="00302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auto"/>
    <w:notTrueType/>
    <w:pitch w:val="variable"/>
    <w:sig w:usb0="00000003" w:usb1="00000000" w:usb2="00000000" w:usb3="00000000" w:csb0="0000000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C30E5" w14:textId="77777777" w:rsidR="00302368" w:rsidRDefault="00302368">
      <w:r>
        <w:separator/>
      </w:r>
    </w:p>
  </w:footnote>
  <w:footnote w:type="continuationSeparator" w:id="0">
    <w:p w14:paraId="03BC34C0" w14:textId="77777777" w:rsidR="00302368" w:rsidRDefault="00302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FA359" w14:textId="77777777" w:rsidR="00CD1834" w:rsidRPr="00E77A20" w:rsidRDefault="00CD1834"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International Symposium on Space Terahertz Technology, Oxford, 23-25 March, 2010</w:t>
    </w:r>
  </w:p>
  <w:p w14:paraId="10DA8179" w14:textId="77777777" w:rsidR="00CD1834" w:rsidRPr="00CD1834" w:rsidRDefault="00CD1834">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E6A69" w14:textId="77777777" w:rsidR="00CD1834" w:rsidRPr="00CD1834" w:rsidRDefault="00CD1834">
    <w:pP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33A2" w14:textId="77777777" w:rsidR="00CD1834" w:rsidRDefault="00CD183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B048" w14:textId="77777777" w:rsidR="00CD1834" w:rsidRDefault="00CD183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2B5B7" w14:textId="77777777" w:rsidR="00CD1834" w:rsidRDefault="00CD183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2B4E" w14:textId="77777777" w:rsidR="00CD1834" w:rsidRDefault="00CD18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944"/>
    <w:rsid w:val="000209BF"/>
    <w:rsid w:val="000804C1"/>
    <w:rsid w:val="00081040"/>
    <w:rsid w:val="000A19EA"/>
    <w:rsid w:val="000A2F75"/>
    <w:rsid w:val="000B2CB8"/>
    <w:rsid w:val="000C78A3"/>
    <w:rsid w:val="00122F9E"/>
    <w:rsid w:val="00135140"/>
    <w:rsid w:val="00152AC7"/>
    <w:rsid w:val="00161176"/>
    <w:rsid w:val="00171AF6"/>
    <w:rsid w:val="001924C3"/>
    <w:rsid w:val="001B69EB"/>
    <w:rsid w:val="00207B54"/>
    <w:rsid w:val="00223787"/>
    <w:rsid w:val="002335E5"/>
    <w:rsid w:val="0025058B"/>
    <w:rsid w:val="0025479F"/>
    <w:rsid w:val="00254924"/>
    <w:rsid w:val="00260237"/>
    <w:rsid w:val="00276642"/>
    <w:rsid w:val="002C1149"/>
    <w:rsid w:val="002E5F71"/>
    <w:rsid w:val="00302368"/>
    <w:rsid w:val="00305CE5"/>
    <w:rsid w:val="00352820"/>
    <w:rsid w:val="00375A39"/>
    <w:rsid w:val="00381B4E"/>
    <w:rsid w:val="00386105"/>
    <w:rsid w:val="003D435C"/>
    <w:rsid w:val="003F6410"/>
    <w:rsid w:val="0042097C"/>
    <w:rsid w:val="0048750B"/>
    <w:rsid w:val="004F65E3"/>
    <w:rsid w:val="00501DC6"/>
    <w:rsid w:val="00557303"/>
    <w:rsid w:val="00564282"/>
    <w:rsid w:val="005678DC"/>
    <w:rsid w:val="005769BA"/>
    <w:rsid w:val="00581A2B"/>
    <w:rsid w:val="00587E22"/>
    <w:rsid w:val="00591553"/>
    <w:rsid w:val="0059266C"/>
    <w:rsid w:val="005B1EFA"/>
    <w:rsid w:val="005B61B5"/>
    <w:rsid w:val="005E1B31"/>
    <w:rsid w:val="00606675"/>
    <w:rsid w:val="00630333"/>
    <w:rsid w:val="00636A0E"/>
    <w:rsid w:val="00660163"/>
    <w:rsid w:val="006655E3"/>
    <w:rsid w:val="00697278"/>
    <w:rsid w:val="006A2F05"/>
    <w:rsid w:val="006B519E"/>
    <w:rsid w:val="006D0BF1"/>
    <w:rsid w:val="006E4C72"/>
    <w:rsid w:val="00707F91"/>
    <w:rsid w:val="00714793"/>
    <w:rsid w:val="0071565F"/>
    <w:rsid w:val="0071572A"/>
    <w:rsid w:val="007319B8"/>
    <w:rsid w:val="007851F8"/>
    <w:rsid w:val="00792738"/>
    <w:rsid w:val="007942B6"/>
    <w:rsid w:val="00794878"/>
    <w:rsid w:val="007C6CEE"/>
    <w:rsid w:val="007D2FF2"/>
    <w:rsid w:val="007E3ADD"/>
    <w:rsid w:val="0081702A"/>
    <w:rsid w:val="00821944"/>
    <w:rsid w:val="00850ABD"/>
    <w:rsid w:val="00856707"/>
    <w:rsid w:val="008679AB"/>
    <w:rsid w:val="008805E4"/>
    <w:rsid w:val="008F2482"/>
    <w:rsid w:val="008F45E5"/>
    <w:rsid w:val="00902FD3"/>
    <w:rsid w:val="00903D33"/>
    <w:rsid w:val="009106A7"/>
    <w:rsid w:val="00937D61"/>
    <w:rsid w:val="00944641"/>
    <w:rsid w:val="0096629F"/>
    <w:rsid w:val="00973DBF"/>
    <w:rsid w:val="00977762"/>
    <w:rsid w:val="0098157B"/>
    <w:rsid w:val="009B0976"/>
    <w:rsid w:val="009B7E36"/>
    <w:rsid w:val="009C52C7"/>
    <w:rsid w:val="009E0B12"/>
    <w:rsid w:val="009F124A"/>
    <w:rsid w:val="00A17E84"/>
    <w:rsid w:val="00A21C2D"/>
    <w:rsid w:val="00A708A2"/>
    <w:rsid w:val="00A8330A"/>
    <w:rsid w:val="00AB3B89"/>
    <w:rsid w:val="00AB4BB8"/>
    <w:rsid w:val="00AE5F31"/>
    <w:rsid w:val="00B045F2"/>
    <w:rsid w:val="00B13635"/>
    <w:rsid w:val="00B36DA5"/>
    <w:rsid w:val="00B67181"/>
    <w:rsid w:val="00B7329D"/>
    <w:rsid w:val="00B93989"/>
    <w:rsid w:val="00BA131A"/>
    <w:rsid w:val="00BA2BE9"/>
    <w:rsid w:val="00BB1EB4"/>
    <w:rsid w:val="00BE6B18"/>
    <w:rsid w:val="00BF7002"/>
    <w:rsid w:val="00C026EB"/>
    <w:rsid w:val="00C536AA"/>
    <w:rsid w:val="00C54A8F"/>
    <w:rsid w:val="00C642DD"/>
    <w:rsid w:val="00C85D9D"/>
    <w:rsid w:val="00CA364F"/>
    <w:rsid w:val="00CD1834"/>
    <w:rsid w:val="00D10162"/>
    <w:rsid w:val="00D338C4"/>
    <w:rsid w:val="00D71C15"/>
    <w:rsid w:val="00D737A0"/>
    <w:rsid w:val="00D8234F"/>
    <w:rsid w:val="00DA7084"/>
    <w:rsid w:val="00DB0E26"/>
    <w:rsid w:val="00DD2654"/>
    <w:rsid w:val="00E75EBF"/>
    <w:rsid w:val="00E77A20"/>
    <w:rsid w:val="00EB176C"/>
    <w:rsid w:val="00EB54AF"/>
    <w:rsid w:val="00EF16F6"/>
    <w:rsid w:val="00F160AF"/>
    <w:rsid w:val="00F172ED"/>
    <w:rsid w:val="00F2639C"/>
    <w:rsid w:val="00F27533"/>
    <w:rsid w:val="00F325E3"/>
    <w:rsid w:val="00F34944"/>
    <w:rsid w:val="00F57A21"/>
    <w:rsid w:val="00FA0020"/>
    <w:rsid w:val="00FC5E32"/>
    <w:rsid w:val="00FD39BA"/>
    <w:rsid w:val="00FD73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7E96"/>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basedOn w:val="DefaultParagraphFont"/>
    <w:uiPriority w:val="99"/>
    <w:semiHidden/>
    <w:unhideWhenUsed/>
    <w:rsid w:val="006B519E"/>
    <w:rPr>
      <w:color w:val="605E5C"/>
      <w:shd w:val="clear" w:color="auto" w:fill="E1DFDD"/>
    </w:rPr>
  </w:style>
  <w:style w:type="character" w:customStyle="1" w:styleId="Heading1Char">
    <w:name w:val="Heading 1 Char"/>
    <w:basedOn w:val="DefaultParagraphFont"/>
    <w:link w:val="Heading1"/>
    <w:uiPriority w:val="9"/>
    <w:rsid w:val="00254924"/>
    <w:rPr>
      <w:rFonts w:ascii="Arial" w:eastAsia="SimSun" w:hAnsi="Arial" w:cs="Arial"/>
      <w:b/>
      <w:bCs/>
      <w:kern w:val="1"/>
      <w:sz w:val="32"/>
      <w:szCs w:val="32"/>
      <w:lang w:val="en-AU" w:eastAsia="ar-SA"/>
    </w:rPr>
  </w:style>
  <w:style w:type="paragraph" w:styleId="Bibliography">
    <w:name w:val="Bibliography"/>
    <w:basedOn w:val="Normal"/>
    <w:next w:val="Normal"/>
    <w:uiPriority w:val="37"/>
    <w:unhideWhenUsed/>
    <w:rsid w:val="00254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813">
      <w:bodyDiv w:val="1"/>
      <w:marLeft w:val="0"/>
      <w:marRight w:val="0"/>
      <w:marTop w:val="0"/>
      <w:marBottom w:val="0"/>
      <w:divBdr>
        <w:top w:val="none" w:sz="0" w:space="0" w:color="auto"/>
        <w:left w:val="none" w:sz="0" w:space="0" w:color="auto"/>
        <w:bottom w:val="none" w:sz="0" w:space="0" w:color="auto"/>
        <w:right w:val="none" w:sz="0" w:space="0" w:color="auto"/>
      </w:divBdr>
    </w:div>
    <w:div w:id="13189354">
      <w:bodyDiv w:val="1"/>
      <w:marLeft w:val="0"/>
      <w:marRight w:val="0"/>
      <w:marTop w:val="0"/>
      <w:marBottom w:val="0"/>
      <w:divBdr>
        <w:top w:val="none" w:sz="0" w:space="0" w:color="auto"/>
        <w:left w:val="none" w:sz="0" w:space="0" w:color="auto"/>
        <w:bottom w:val="none" w:sz="0" w:space="0" w:color="auto"/>
        <w:right w:val="none" w:sz="0" w:space="0" w:color="auto"/>
      </w:divBdr>
    </w:div>
    <w:div w:id="64187386">
      <w:bodyDiv w:val="1"/>
      <w:marLeft w:val="0"/>
      <w:marRight w:val="0"/>
      <w:marTop w:val="0"/>
      <w:marBottom w:val="0"/>
      <w:divBdr>
        <w:top w:val="none" w:sz="0" w:space="0" w:color="auto"/>
        <w:left w:val="none" w:sz="0" w:space="0" w:color="auto"/>
        <w:bottom w:val="none" w:sz="0" w:space="0" w:color="auto"/>
        <w:right w:val="none" w:sz="0" w:space="0" w:color="auto"/>
      </w:divBdr>
    </w:div>
    <w:div w:id="107243756">
      <w:bodyDiv w:val="1"/>
      <w:marLeft w:val="0"/>
      <w:marRight w:val="0"/>
      <w:marTop w:val="0"/>
      <w:marBottom w:val="0"/>
      <w:divBdr>
        <w:top w:val="none" w:sz="0" w:space="0" w:color="auto"/>
        <w:left w:val="none" w:sz="0" w:space="0" w:color="auto"/>
        <w:bottom w:val="none" w:sz="0" w:space="0" w:color="auto"/>
        <w:right w:val="none" w:sz="0" w:space="0" w:color="auto"/>
      </w:divBdr>
    </w:div>
    <w:div w:id="212160274">
      <w:bodyDiv w:val="1"/>
      <w:marLeft w:val="0"/>
      <w:marRight w:val="0"/>
      <w:marTop w:val="0"/>
      <w:marBottom w:val="0"/>
      <w:divBdr>
        <w:top w:val="none" w:sz="0" w:space="0" w:color="auto"/>
        <w:left w:val="none" w:sz="0" w:space="0" w:color="auto"/>
        <w:bottom w:val="none" w:sz="0" w:space="0" w:color="auto"/>
        <w:right w:val="none" w:sz="0" w:space="0" w:color="auto"/>
      </w:divBdr>
    </w:div>
    <w:div w:id="410472751">
      <w:bodyDiv w:val="1"/>
      <w:marLeft w:val="0"/>
      <w:marRight w:val="0"/>
      <w:marTop w:val="0"/>
      <w:marBottom w:val="0"/>
      <w:divBdr>
        <w:top w:val="none" w:sz="0" w:space="0" w:color="auto"/>
        <w:left w:val="none" w:sz="0" w:space="0" w:color="auto"/>
        <w:bottom w:val="none" w:sz="0" w:space="0" w:color="auto"/>
        <w:right w:val="none" w:sz="0" w:space="0" w:color="auto"/>
      </w:divBdr>
    </w:div>
    <w:div w:id="425083194">
      <w:bodyDiv w:val="1"/>
      <w:marLeft w:val="0"/>
      <w:marRight w:val="0"/>
      <w:marTop w:val="0"/>
      <w:marBottom w:val="0"/>
      <w:divBdr>
        <w:top w:val="none" w:sz="0" w:space="0" w:color="auto"/>
        <w:left w:val="none" w:sz="0" w:space="0" w:color="auto"/>
        <w:bottom w:val="none" w:sz="0" w:space="0" w:color="auto"/>
        <w:right w:val="none" w:sz="0" w:space="0" w:color="auto"/>
      </w:divBdr>
    </w:div>
    <w:div w:id="692388435">
      <w:bodyDiv w:val="1"/>
      <w:marLeft w:val="0"/>
      <w:marRight w:val="0"/>
      <w:marTop w:val="0"/>
      <w:marBottom w:val="0"/>
      <w:divBdr>
        <w:top w:val="none" w:sz="0" w:space="0" w:color="auto"/>
        <w:left w:val="none" w:sz="0" w:space="0" w:color="auto"/>
        <w:bottom w:val="none" w:sz="0" w:space="0" w:color="auto"/>
        <w:right w:val="none" w:sz="0" w:space="0" w:color="auto"/>
      </w:divBdr>
    </w:div>
    <w:div w:id="798958951">
      <w:bodyDiv w:val="1"/>
      <w:marLeft w:val="0"/>
      <w:marRight w:val="0"/>
      <w:marTop w:val="0"/>
      <w:marBottom w:val="0"/>
      <w:divBdr>
        <w:top w:val="none" w:sz="0" w:space="0" w:color="auto"/>
        <w:left w:val="none" w:sz="0" w:space="0" w:color="auto"/>
        <w:bottom w:val="none" w:sz="0" w:space="0" w:color="auto"/>
        <w:right w:val="none" w:sz="0" w:space="0" w:color="auto"/>
      </w:divBdr>
    </w:div>
    <w:div w:id="1256476706">
      <w:bodyDiv w:val="1"/>
      <w:marLeft w:val="0"/>
      <w:marRight w:val="0"/>
      <w:marTop w:val="0"/>
      <w:marBottom w:val="0"/>
      <w:divBdr>
        <w:top w:val="none" w:sz="0" w:space="0" w:color="auto"/>
        <w:left w:val="none" w:sz="0" w:space="0" w:color="auto"/>
        <w:bottom w:val="none" w:sz="0" w:space="0" w:color="auto"/>
        <w:right w:val="none" w:sz="0" w:space="0" w:color="auto"/>
      </w:divBdr>
    </w:div>
    <w:div w:id="179162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Kos20</b:Tag>
    <b:SourceType>Misc</b:SourceType>
    <b:Guid>{F19D730C-6D77-4429-950D-3315EB3C2442}</b:Guid>
    <b:Title>DevSecOps: Building Security Into the Core of DevOps</b:Title>
    <b:Year>2020</b:Year>
    <b:City>Jyväskylä</b:City>
    <b:Publisher>M.S. Thesis, University of Jyväskylä's Faculty of Information Technology</b:Publisher>
    <b:CountryRegion>Finland</b:CountryRegion>
    <b:Author>
      <b:Author>
        <b:NameList>
          <b:Person>
            <b:Last>Koskinen</b:Last>
            <b:First>Anna</b:First>
          </b:Person>
        </b:NameList>
      </b:Author>
    </b:Author>
    <b:PublicationTitle>M.S. Thesis</b:PublicationTitle>
    <b:RefOrder>2</b:RefOrder>
  </b:Source>
  <b:Source>
    <b:Tag>Sϕh18</b:Tag>
    <b:SourceType>ConferenceProceedings</b:SourceType>
    <b:Guid>{0BD0BC09-59EF-4F15-A4AE-944001800A16}</b:Guid>
    <b:Title>OWASP Top 10 - Do Startups Care?</b:Title>
    <b:Year>2018</b:Year>
    <b:ConferenceName>2018 International Conference on Cyber Security and Protection of Digital Services (Cyber Security)</b:ConferenceName>
    <b:City>Glasgow</b:City>
    <b:YearAccessed>2021</b:YearAccessed>
    <b:URL>https://ieeexplore-ieee-org.proxy.library.nyu.edu/document/8560666/authors#authors</b:URL>
    <b:Author>
      <b:Author>
        <b:NameList>
          <b:Person>
            <b:Last>Sϕhoel</b:Last>
            <b:First>Halldis</b:First>
          </b:Person>
          <b:Person>
            <b:Last>Jaatun</b:Last>
            <b:Middle>Gilje</b:Middle>
            <b:First>Martin</b:First>
          </b:Person>
          <b:Person>
            <b:Last>Boyd</b:Last>
            <b:First>Colin</b:First>
          </b:Person>
        </b:NameList>
      </b:Author>
    </b:Author>
    <b:DOI>10.1109/CyberSecPODS.2018.8560666</b:DOI>
    <b:RefOrder>1</b:RefOrder>
  </b:Source>
  <b:Source>
    <b:Tag>FIR</b:Tag>
    <b:SourceType>InternetSite</b:SourceType>
    <b:Guid>{F1109AA8-EC88-416E-870C-07615E2DB8EC}</b:Guid>
    <b:Title>Common Vulnerability Scoring System v3.1: User Guide</b:Title>
    <b:Author>
      <b:Author>
        <b:Corporate> FIRST.Org, Inc</b:Corporate>
      </b:Author>
    </b:Author>
    <b:URL>https://www.first.org/cvss/v3.1/user-guide</b:URL>
    <b:RefOrder>3</b:RefOrder>
  </b:Source>
</b:Sources>
</file>

<file path=customXml/itemProps1.xml><?xml version="1.0" encoding="utf-8"?>
<ds:datastoreItem xmlns:ds="http://schemas.openxmlformats.org/officeDocument/2006/customXml" ds:itemID="{F98B706E-F344-49DB-8A6E-E3BE20823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cp:lastModifiedBy>anonymized</cp:lastModifiedBy>
  <cp:revision>4</cp:revision>
  <cp:lastPrinted>2008-05-14T19:47:00Z</cp:lastPrinted>
  <dcterms:created xsi:type="dcterms:W3CDTF">2021-11-29T01:19:00Z</dcterms:created>
  <dcterms:modified xsi:type="dcterms:W3CDTF">2021-11-29T01:20:00Z</dcterms:modified>
  <dc:identifier>anonymized</dc:identifier>
  <dc:description>anonymized</dc:description>
</cp:coreProperties>
</file>