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9a2a4d299db486e" /><Relationship Type="http://schemas.openxmlformats.org/package/2006/relationships/metadata/core-properties" Target="/docProps/core.xml" Id="R4df5454a94d843a3" /><Relationship Type="http://schemas.openxmlformats.org/officeDocument/2006/relationships/extended-properties" Target="/docProps/app.xml" Id="R29916fb8a19641ea" /><Relationship Type="http://schemas.openxmlformats.org/officeDocument/2006/relationships/custom-properties" Target="/docProps/custom.xml" Id="Ra3ae3d76b8994101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8">
      <w:pPr>
        <w:spacing w:line="240" w:lineRule="auto"/>
        <w:jc w:val="center"/>
      </w:pPr>
      <w:r>
        <w:rPr/>
        <w:drawing>
          <wp:inline distT="0" distB="0" distL="0" distR="0">
            <wp:extent cx="1152000" cy="1332000"/>
            <wp:effectExtent l="0" t="0" r="0" b="0"/>
            <wp:docPr id="1" name="Indigo Bio Med logo" descr="Indigo Bio Med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Indigo Bio Med logo"/>
                    <pic:cNvPicPr/>
                  </pic:nvPicPr>
                  <pic:blipFill>
                    <a:blip r:embed="R57a117dbad6848e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2" w14:textId="00100003">
      <w:pPr>
        <w:spacing w:before="120" w:after="40"/>
        <w:jc w:val="center"/>
      </w:pPr>
      <w:r>
        <w:rPr>
          <w:rFonts w:ascii="Arial" w:hAnsi="Arial" w:eastAsia="Arial"/>
          <w:b/>
          <w:color w:val="051B3F"/>
          <w:sz w:val="56"/>
        </w:rPr>
        <w:t xml:space="preserve">NovaCart Account Dashboard</w:t>
      </w:r>
    </w:p>
    <w:p w14:paraId="00100004" w14:textId="00100005">
      <w:pPr>
        <w:spacing w:after="40"/>
        <w:jc w:val="center"/>
      </w:pPr>
      <w:r>
        <w:rPr>
          <w:rFonts w:ascii="Arial" w:hAnsi="Arial" w:eastAsia="Arial"/>
          <w:color w:val="1C4EF5"/>
          <w:sz w:val="32"/>
        </w:rPr>
        <w:t xml:space="preserve">Solution Design Document</w:t>
      </w:r>
    </w:p>
    <w:p w14:paraId="00100006" w14:textId="00100007">
      <w:pPr>
        <w:spacing w:after="200"/>
        <w:jc w:val="center"/>
      </w:pPr>
      <w:r>
        <w:rPr>
          <w:rFonts w:ascii="Arial" w:hAnsi="Arial" w:eastAsia="Arial"/>
          <w:i/>
          <w:color w:val="57606A"/>
          <w:sz w:val="20"/>
        </w:rPr>
        <w:t xml:space="preserve">Indigo BioMed  |  NovaCart online retail  |  Team 26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738"/>
      </w:tblGrid>
      <w:tr>
        <w:trPr/>
        <w:tc>
          <w:tcPr>
            <w:tcW w:w="1900" w:type="dxa"/>
            <w:shd w:val="clear" w:fill="BBDEFB"/>
          </w:tcPr>
          <w:p w14:paraId="00100009" w14:textId="0010000A">
            <w:r>
              <w:rPr>
                <w:rFonts w:ascii="Arial" w:hAnsi="Arial" w:eastAsia="Arial"/>
                <w:b/>
                <w:color w:val="051B3F"/>
                <w:sz w:val="20"/>
              </w:rPr>
              <w:t xml:space="preserve">Version</w:t>
            </w:r>
          </w:p>
        </w:tc>
        <w:tc>
          <w:tcPr>
            <w:tcW w:w="7738" w:type="dxa"/>
          </w:tcPr>
          <w:p w14:paraId="0010000B" w14:textId="0010000C">
            <w:r>
              <w:rPr>
                <w:rFonts w:ascii="Arial" w:hAnsi="Arial" w:eastAsia="Arial"/>
                <w:sz w:val="20"/>
              </w:rPr>
              <w:t xml:space="preserve">0.1 (draft)</w:t>
            </w:r>
          </w:p>
        </w:tc>
      </w:tr>
      <w:tr>
        <w:trPr/>
        <w:tc>
          <w:tcPr>
            <w:tcW w:w="1900" w:type="dxa"/>
            <w:shd w:val="clear" w:fill="BBDEFB"/>
          </w:tcPr>
          <w:p w14:paraId="0010000D" w14:textId="0010000E">
            <w:r>
              <w:rPr>
                <w:rFonts w:ascii="Arial" w:hAnsi="Arial" w:eastAsia="Arial"/>
                <w:b/>
                <w:color w:val="051B3F"/>
                <w:sz w:val="20"/>
              </w:rPr>
              <w:t xml:space="preserve">Date</w:t>
            </w:r>
          </w:p>
        </w:tc>
        <w:tc>
          <w:tcPr>
            <w:tcW w:w="7738" w:type="dxa"/>
          </w:tcPr>
          <w:p w14:paraId="0010000F" w14:textId="00100010">
            <w:r>
              <w:rPr>
                <w:rFonts w:ascii="Arial" w:hAnsi="Arial" w:eastAsia="Arial"/>
                <w:sz w:val="20"/>
              </w:rPr>
              <w:t xml:space="preserve">October 2026</w:t>
            </w:r>
          </w:p>
        </w:tc>
      </w:tr>
      <w:tr>
        <w:trPr/>
        <w:tc>
          <w:tcPr>
            <w:tcW w:w="1900" w:type="dxa"/>
            <w:shd w:val="clear" w:fill="BBDEFB"/>
          </w:tcPr>
          <w:p w14:paraId="00100011" w14:textId="00100012">
            <w:r>
              <w:rPr>
                <w:rFonts w:ascii="Arial" w:hAnsi="Arial" w:eastAsia="Arial"/>
                <w:b/>
                <w:color w:val="051B3F"/>
                <w:sz w:val="20"/>
              </w:rPr>
              <w:t xml:space="preserve">Prepared by</w:t>
            </w:r>
          </w:p>
        </w:tc>
        <w:tc>
          <w:tcPr>
            <w:tcW w:w="7738" w:type="dxa"/>
          </w:tcPr>
          <w:p w14:paraId="00100013" w14:textId="00100014">
            <w:r>
              <w:rPr>
                <w:rFonts w:ascii="Arial" w:hAnsi="Arial" w:eastAsia="Arial"/>
                <w:sz w:val="20"/>
              </w:rPr>
              <w:t xml:space="preserve">Team 26 App Consultants: Katie Nam, Eyan Jaffery, Harshi Brahmbhatt, Henry Pu</w:t>
            </w:r>
          </w:p>
        </w:tc>
      </w:tr>
      <w:tr>
        <w:trPr/>
        <w:tc>
          <w:tcPr>
            <w:tcW w:w="1900" w:type="dxa"/>
            <w:shd w:val="clear" w:fill="BBDEFB"/>
          </w:tcPr>
          <w:p w14:paraId="00100015" w14:textId="00100016">
            <w:r>
              <w:rPr>
                <w:rFonts w:ascii="Arial" w:hAnsi="Arial" w:eastAsia="Arial"/>
                <w:b/>
                <w:color w:val="051B3F"/>
                <w:sz w:val="20"/>
              </w:rPr>
              <w:t xml:space="preserve">Audience</w:t>
            </w:r>
          </w:p>
        </w:tc>
        <w:tc>
          <w:tcPr>
            <w:tcW w:w="7738" w:type="dxa"/>
          </w:tcPr>
          <w:p w14:paraId="00100017" w14:textId="00100018">
            <w:r>
              <w:rPr>
                <w:rFonts w:ascii="Arial" w:hAnsi="Arial" w:eastAsia="Arial"/>
                <w:sz w:val="20"/>
              </w:rPr>
              <w:t xml:space="preserve">NovaCart account managers and business stakeholders</w:t>
            </w:r>
          </w:p>
        </w:tc>
      </w:tr>
    </w:tbl>
    <w:p w14:paraId="00100019" w14:textId="0010001A">
      <w:pPr>
        <w:pStyle w:val="Heading1"/>
        <w:spacing w:before="280" w:after="80"/>
      </w:pPr>
      <w:r>
        <w:rPr>
          <w:rFonts w:ascii="Arial" w:hAnsi="Arial" w:eastAsia="Arial"/>
          <w:b/>
          <w:color w:val="1C4EF5"/>
          <w:sz w:val="32"/>
        </w:rPr>
        <w:t xml:space="preserve">1. The Problem and the Goal</w:t>
      </w:r>
    </w:p>
    <w:p w14:paraId="0010001B" w14:textId="0010001C">
      <w:pPr>
        <w:spacing w:after="120"/>
      </w:pPr>
      <w:r>
        <w:rPr>
          <w:rFonts w:ascii="Arial" w:hAnsi="Arial" w:eastAsia="Arial"/>
          <w:sz w:val="21"/>
        </w:rPr>
        <w:t xml:space="preserve">Today, NovaCart account managers get order information from a weekly Excel report, or by asking someone to pull numbers for them. That is slow, and the numbers can differ depending on who prepared them.</w:t>
      </w:r>
    </w:p>
    <w:p w14:paraId="0010001D" w14:textId="0010001E">
      <w:pPr>
        <w:spacing w:after="120"/>
      </w:pPr>
      <w:r>
        <w:rPr>
          <w:rFonts w:ascii="Arial" w:hAnsi="Arial" w:eastAsia="Arial"/>
          <w:sz w:val="21"/>
        </w:rPr>
        <w:t xml:space="preserve">Goal: give account managers one web page where they can look up orders, products and customers themselves, for any date range, using the same agreed numbers every time.</w:t>
      </w:r>
    </w:p>
    <w:p w14:paraId="0010001F" w14:textId="00100020">
      <w:pPr>
        <w:pStyle w:val="Heading1"/>
        <w:spacing w:before="280" w:after="80"/>
      </w:pPr>
      <w:r>
        <w:rPr>
          <w:rFonts w:ascii="Arial" w:hAnsi="Arial" w:eastAsia="Arial"/>
          <w:b/>
          <w:color w:val="1C4EF5"/>
          <w:sz w:val="32"/>
        </w:rPr>
        <w:t xml:space="preserve">2. What We Are Building</w:t>
      </w:r>
    </w:p>
    <w:p w14:paraId="00100021" w14:textId="00100022">
      <w:pPr>
        <w:spacing w:after="80"/>
      </w:pPr>
      <w:r>
        <w:rPr>
          <w:rFonts w:ascii="Arial" w:hAnsi="Arial" w:eastAsia="Arial"/>
          <w:sz w:val="21"/>
        </w:rPr>
        <w:t xml:space="preserve">A web dashboard with three views: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w="2400" w:type="dxa"/>
            <w:shd w:val="clear" w:fill="1C4EF5"/>
          </w:tcPr>
          <w:p w14:paraId="00100023" w14:textId="00100024">
            <w:r>
              <w:rPr>
                <w:rFonts w:ascii="Arial" w:hAnsi="Arial" w:eastAsia="Arial"/>
                <w:b/>
                <w:color w:val="FFFFFF"/>
                <w:sz w:val="20"/>
              </w:rPr>
              <w:t xml:space="preserve">View</w:t>
            </w:r>
          </w:p>
        </w:tc>
        <w:tc>
          <w:tcPr>
            <w:tcW w:w="7238" w:type="dxa"/>
            <w:shd w:val="clear" w:fill="1C4EF5"/>
          </w:tcPr>
          <w:p w14:paraId="00100025" w14:textId="00100026">
            <w:r>
              <w:rPr>
                <w:rFonts w:ascii="Arial" w:hAnsi="Arial" w:eastAsia="Arial"/>
                <w:b/>
                <w:color w:val="FFFFFF"/>
                <w:sz w:val="20"/>
              </w:rPr>
              <w:t xml:space="preserve">What the manager sees</w:t>
            </w:r>
          </w:p>
        </w:tc>
      </w:tr>
      <w:tr>
        <w:trPr/>
        <w:tc>
          <w:tcPr>
            <w:tcW w:w="2400" w:type="dxa"/>
          </w:tcPr>
          <w:p w14:paraId="00100027" w14:textId="00100028">
            <w:r>
              <w:rPr>
                <w:rFonts w:ascii="Arial" w:hAnsi="Arial" w:eastAsia="Arial"/>
                <w:b/>
                <w:sz w:val="20"/>
              </w:rPr>
              <w:t xml:space="preserve">Orders Overview</w:t>
            </w:r>
          </w:p>
        </w:tc>
        <w:tc>
          <w:tcPr>
            <w:tcW w:w="7238" w:type="dxa"/>
          </w:tcPr>
          <w:p w14:paraId="00100029" w14:textId="0010002A">
            <w:r>
              <w:rPr>
                <w:rFonts w:ascii="Arial" w:hAnsi="Arial" w:eastAsia="Arial"/>
                <w:sz w:val="20"/>
              </w:rPr>
              <w:t xml:space="preserve">Total revenue, total orders and unique customers, plus revenue by month and revenue by city</w:t>
            </w:r>
          </w:p>
        </w:tc>
      </w:tr>
      <w:tr>
        <w:trPr/>
        <w:tc>
          <w:tcPr>
            <w:tcW w:w="2400" w:type="dxa"/>
          </w:tcPr>
          <w:p w14:paraId="0010002B" w14:textId="0010002C">
            <w:r>
              <w:rPr>
                <w:rFonts w:ascii="Arial" w:hAnsi="Arial" w:eastAsia="Arial"/>
                <w:b/>
                <w:sz w:val="20"/>
              </w:rPr>
              <w:t xml:space="preserve">Product Performance</w:t>
            </w:r>
          </w:p>
        </w:tc>
        <w:tc>
          <w:tcPr>
            <w:tcW w:w="7238" w:type="dxa"/>
          </w:tcPr>
          <w:p w14:paraId="0010002D" w14:textId="0010002E">
            <w:r>
              <w:rPr>
                <w:rFonts w:ascii="Arial" w:hAnsi="Arial" w:eastAsia="Arial"/>
                <w:sz w:val="20"/>
              </w:rPr>
              <w:t xml:space="preserve">The top 10 products by revenue, as a chart and a table</w:t>
            </w:r>
          </w:p>
        </w:tc>
      </w:tr>
      <w:tr>
        <w:trPr/>
        <w:tc>
          <w:tcPr>
            <w:tcW w:w="2400" w:type="dxa"/>
          </w:tcPr>
          <w:p w14:paraId="0010002F" w14:textId="00100030">
            <w:r>
              <w:rPr>
                <w:rFonts w:ascii="Arial" w:hAnsi="Arial" w:eastAsia="Arial"/>
                <w:b/>
                <w:sz w:val="20"/>
              </w:rPr>
              <w:t xml:space="preserve">Customer List</w:t>
            </w:r>
          </w:p>
        </w:tc>
        <w:tc>
          <w:tcPr>
            <w:tcW w:w="7238" w:type="dxa"/>
          </w:tcPr>
          <w:p w14:paraId="00100031" w14:textId="00100032">
            <w:r>
              <w:rPr>
                <w:rFonts w:ascii="Arial" w:hAnsi="Arial" w:eastAsia="Arial"/>
                <w:sz w:val="20"/>
              </w:rPr>
              <w:t xml:space="preserve">The top 20 customers by revenue, sortable by any column</w:t>
            </w:r>
          </w:p>
        </w:tc>
      </w:tr>
    </w:tbl>
    <w:p w14:paraId="00100033" w14:textId="00100034">
      <w:pPr>
        <w:spacing w:before="120" w:after="120"/>
      </w:pPr>
      <w:r>
        <w:rPr>
          <w:rFonts w:ascii="Arial" w:hAnsi="Arial" w:eastAsia="Arial"/>
          <w:sz w:val="21"/>
        </w:rPr>
        <w:t xml:space="preserve">Every view has a start and end date filter. The dashboard also has a dark mode and a status light that shows whether the service is running.</w:t>
      </w:r>
    </w:p>
    <w:p w14:paraId="00100035" w14:textId="00100036">
      <w:pPr>
        <w:spacing w:after="120"/>
      </w:pPr>
      <w:r>
        <w:rPr>
          <w:rFonts w:ascii="Arial" w:hAnsi="Arial" w:eastAsia="Arial"/>
          <w:sz w:val="21"/>
        </w:rPr>
        <w:t xml:space="preserve">Out of scope: changing any data (the dashboard is read-only), forecasting, and user-specific permissions. These appear under next steps.</w:t>
      </w:r>
    </w:p>
    <w:p w14:paraId="00100037" w14:textId="00100038">
      <w:pPr>
        <w:pStyle w:val="Heading1"/>
        <w:spacing w:before="280" w:after="80"/>
      </w:pPr>
      <w:r>
        <w:rPr>
          <w:rFonts w:ascii="Arial" w:hAnsi="Arial" w:eastAsia="Arial"/>
          <w:b/>
          <w:color w:val="1C4EF5"/>
          <w:sz w:val="32"/>
        </w:rPr>
        <w:t xml:space="preserve">3. How It Works</w:t>
      </w:r>
    </w:p>
    <w:p w14:paraId="00100039" w14:textId="0010003A">
      <w:pPr>
        <w:spacing w:after="80"/>
      </w:pPr>
      <w:r>
        <w:rPr>
          <w:rFonts w:ascii="Arial" w:hAnsi="Arial" w:eastAsia="Arial"/>
          <w:i/>
          <w:color w:val="57606A"/>
          <w:sz w:val="20"/>
        </w:rPr>
        <w:t xml:space="preserve">Every component runs inside Snowflake. The manager's browser is the only thing outside it.</w:t>
      </w:r>
    </w:p>
    <w:p w14:paraId="0010003B" w14:textId="0010003C">
      <w:pPr>
        <w:spacing w:line="240" w:lineRule="auto"/>
      </w:pPr>
      <w:r>
        <w:rPr/>
        <w:drawing>
          <wp:inline distT="0" distB="0" distL="0" distR="0">
            <wp:extent cx="5940000" cy="2509200"/>
            <wp:effectExtent l="0" t="0" r="0" b="0"/>
            <wp:docPr id="2" name="Architecture diagram: browser to router, which sends pages to the React screens and data requests to the FastAPI data service, which reads the Gold data tables, all inside Snowflake" descr="Architecture diagram: browser to router, which sends pages to the React screens and data requests to the FastAPI data service, which reads the Gold data tables, all inside Snowflak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Architecture diagram: browser to router, which sends pages to the React screens and data requests to the FastAPI data service, which reads the Gold data tables, all inside Snowflake"/>
                    <pic:cNvPicPr/>
                  </pic:nvPicPr>
                  <pic:blipFill>
                    <a:blip r:embed="R60fd217fa84d45fa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5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3D" w14:textId="0010003E">
      <w:pPr>
        <w:spacing w:before="120" w:after="40"/>
      </w:pPr>
      <w:r>
        <w:rPr>
          <w:rFonts w:ascii="Arial" w:hAnsi="Arial" w:eastAsia="Arial"/>
          <w:b/>
          <w:sz w:val="21"/>
        </w:rPr>
        <w:t xml:space="preserve">In plain words:</w:t>
      </w:r>
    </w:p>
    <w:p w14:paraId="0010003F" w14:textId="00100040">
      <w:pPr>
        <w:numPr>
          <w:ilvl w:val="0"/>
          <w:numId w:val="1"/>
        </w:numPr>
        <w:spacing w:after="40"/>
      </w:pPr>
      <w:r>
        <w:rPr>
          <w:rFonts w:ascii="Arial" w:hAnsi="Arial" w:eastAsia="Arial"/>
          <w:sz w:val="21"/>
        </w:rPr>
        <w:t xml:space="preserve">The manager opens the dashboard and signs in with their Snowflake account.</w:t>
      </w:r>
    </w:p>
    <w:p w14:paraId="00100041" w14:textId="00100042">
      <w:pPr>
        <w:numPr>
          <w:ilvl w:val="0"/>
          <w:numId w:val="1"/>
        </w:numPr>
        <w:spacing w:after="40"/>
      </w:pPr>
      <w:r>
        <w:rPr>
          <w:rFonts w:ascii="Arial" w:hAnsi="Arial" w:eastAsia="Arial"/>
          <w:sz w:val="21"/>
        </w:rPr>
        <w:t xml:space="preserve">The router delivers the screens.</w:t>
      </w:r>
    </w:p>
    <w:p w14:paraId="00100043" w14:textId="00100044">
      <w:pPr>
        <w:numPr>
          <w:ilvl w:val="0"/>
          <w:numId w:val="1"/>
        </w:numPr>
        <w:spacing w:after="40"/>
      </w:pPr>
      <w:r>
        <w:rPr>
          <w:rFonts w:ascii="Arial" w:hAnsi="Arial" w:eastAsia="Arial"/>
          <w:sz w:val="21"/>
        </w:rPr>
        <w:t xml:space="preserve">When the manager picks dates, the screens ask the data service for the numbers.</w:t>
      </w:r>
    </w:p>
    <w:p w14:paraId="00100045" w14:textId="00100046">
      <w:pPr>
        <w:numPr>
          <w:ilvl w:val="0"/>
          <w:numId w:val="1"/>
        </w:numPr>
        <w:spacing w:after="120"/>
      </w:pPr>
      <w:r>
        <w:rPr>
          <w:rFonts w:ascii="Arial" w:hAnsi="Arial" w:eastAsia="Arial"/>
          <w:sz w:val="21"/>
        </w:rPr>
        <w:t xml:space="preserve">The data service reads the order data from Snowflake, applies the agreed business rules, and sends back the results to be drawn as charts and tables.</w:t>
      </w:r>
    </w:p>
    <w:p w14:paraId="00100047" w14:textId="00100048">
      <w:pPr>
        <w:pStyle w:val="Heading1"/>
        <w:spacing w:before="280" w:after="80"/>
      </w:pPr>
      <w:r>
        <w:rPr>
          <w:rFonts w:ascii="Arial" w:hAnsi="Arial" w:eastAsia="Arial"/>
          <w:b/>
          <w:color w:val="1C4EF5"/>
          <w:sz w:val="32"/>
        </w:rPr>
        <w:t xml:space="preserve">4. Numbers Managers Can Trust</w:t>
      </w:r>
    </w:p>
    <w:p w14:paraId="00100049" w14:textId="0010004A">
      <w:pPr>
        <w:spacing w:after="40"/>
      </w:pPr>
      <w:r>
        <w:rPr>
          <w:rFonts w:ascii="Arial" w:hAnsi="Arial" w:eastAsia="Arial"/>
          <w:sz w:val="21"/>
        </w:rPr>
        <w:t xml:space="preserve">The data service applies the same rules on every screen:</w:t>
      </w:r>
    </w:p>
    <w:p w14:paraId="0010004B" w14:textId="0010004C">
      <w:pPr>
        <w:numPr>
          <w:ilvl w:val="0"/>
          <w:numId w:val="2"/>
        </w:numPr>
        <w:spacing w:after="40"/>
      </w:pPr>
      <w:r>
        <w:rPr>
          <w:rFonts w:ascii="Arial" w:hAnsi="Arial" w:eastAsia="Arial"/>
          <w:sz w:val="21"/>
        </w:rPr>
        <w:t xml:space="preserve">Revenue counts only orders that are delivered or shipped. Pending, cancelled and returned orders are left out.</w:t>
      </w:r>
    </w:p>
    <w:p w14:paraId="0010004D" w14:textId="0010004E">
      <w:pPr>
        <w:numPr>
          <w:ilvl w:val="0"/>
          <w:numId w:val="2"/>
        </w:numPr>
        <w:spacing w:after="40"/>
      </w:pPr>
      <w:r>
        <w:rPr>
          <w:rFonts w:ascii="Arial" w:hAnsi="Arial" w:eastAsia="Arial"/>
          <w:sz w:val="21"/>
        </w:rPr>
        <w:t xml:space="preserve">Customer details (name, city, state) always use the customer's current record.</w:t>
      </w:r>
    </w:p>
    <w:p w14:paraId="0010004F" w14:textId="00100050">
      <w:pPr>
        <w:numPr>
          <w:ilvl w:val="0"/>
          <w:numId w:val="2"/>
        </w:numPr>
        <w:spacing w:after="40"/>
      </w:pPr>
      <w:r>
        <w:rPr>
          <w:rFonts w:ascii="Arial" w:hAnsi="Arial" w:eastAsia="Arial"/>
          <w:sz w:val="21"/>
        </w:rPr>
        <w:t xml:space="preserve">All amounts are in US dollars.</w:t>
      </w:r>
    </w:p>
    <w:p w14:paraId="00100051" w14:textId="00100052">
      <w:pPr>
        <w:numPr>
          <w:ilvl w:val="0"/>
          <w:numId w:val="2"/>
        </w:numPr>
        <w:spacing w:after="120"/>
      </w:pPr>
      <w:r>
        <w:rPr>
          <w:rFonts w:ascii="Arial" w:hAnsi="Arial" w:eastAsia="Arial"/>
          <w:sz w:val="21"/>
        </w:rPr>
        <w:t xml:space="preserve">Data coverage: about 30,000 orders from 400 customers across 15 products, dated 1 January to 31 December 2022.</w:t>
      </w:r>
    </w:p>
    <w:p w14:paraId="00100053" w14:textId="00100054">
      <w:pPr>
        <w:pStyle w:val="Heading1"/>
        <w:spacing w:before="280" w:after="80"/>
      </w:pPr>
      <w:r>
        <w:rPr>
          <w:rFonts w:ascii="Arial" w:hAnsi="Arial" w:eastAsia="Arial"/>
          <w:b/>
          <w:color w:val="1C4EF5"/>
          <w:sz w:val="32"/>
        </w:rPr>
        <w:t xml:space="preserve">5. Key Technology Decisions and Trade-offs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600"/>
        <w:gridCol w:w="3600"/>
        <w:gridCol w:w="3438"/>
      </w:tblGrid>
      <w:tr>
        <w:trPr>
          <w:tblHeader/>
        </w:trPr>
        <w:tc>
          <w:tcPr>
            <w:tcW w:w="2600" w:type="dxa"/>
            <w:shd w:val="clear" w:fill="1C4EF5"/>
          </w:tcPr>
          <w:p w14:paraId="00100055" w14:textId="00100056">
            <w:r>
              <w:rPr>
                <w:rFonts w:ascii="Arial" w:hAnsi="Arial" w:eastAsia="Arial"/>
                <w:b/>
                <w:color w:val="FFFFFF"/>
                <w:sz w:val="20"/>
              </w:rPr>
              <w:t xml:space="preserve">Decision</w:t>
            </w:r>
          </w:p>
        </w:tc>
        <w:tc>
          <w:tcPr>
            <w:tcW w:w="3600" w:type="dxa"/>
            <w:shd w:val="clear" w:fill="1C4EF5"/>
          </w:tcPr>
          <w:p w14:paraId="00100057" w14:textId="00100058">
            <w:r>
              <w:rPr>
                <w:rFonts w:ascii="Arial" w:hAnsi="Arial" w:eastAsia="Arial"/>
                <w:b/>
                <w:color w:val="FFFFFF"/>
                <w:sz w:val="20"/>
              </w:rPr>
              <w:t xml:space="preserve">Why we chose it</w:t>
            </w:r>
          </w:p>
        </w:tc>
        <w:tc>
          <w:tcPr>
            <w:tcW w:w="3438" w:type="dxa"/>
            <w:shd w:val="clear" w:fill="1C4EF5"/>
          </w:tcPr>
          <w:p w14:paraId="00100059" w14:textId="0010005A">
            <w:r>
              <w:rPr>
                <w:rFonts w:ascii="Arial" w:hAnsi="Arial" w:eastAsia="Arial"/>
                <w:b/>
                <w:color w:val="FFFFFF"/>
                <w:sz w:val="20"/>
              </w:rPr>
              <w:t xml:space="preserve">Trade-off we accepted</w:t>
            </w:r>
          </w:p>
        </w:tc>
      </w:tr>
      <w:tr>
        <w:trPr/>
        <w:tc>
          <w:tcPr>
            <w:tcW w:w="2600" w:type="dxa"/>
          </w:tcPr>
          <w:p w14:paraId="0010005B" w14:textId="0010005C">
            <w:r>
              <w:rPr>
                <w:rFonts w:ascii="Arial" w:hAnsi="Arial" w:eastAsia="Arial"/>
                <w:b/>
                <w:sz w:val="19"/>
              </w:rPr>
              <w:t xml:space="preserve">Run inside Snowflake (Snowpark Container Services) rather than on separate hosting</w:t>
            </w:r>
          </w:p>
        </w:tc>
        <w:tc>
          <w:tcPr>
            <w:tcW w:w="3600" w:type="dxa"/>
          </w:tcPr>
          <w:p w14:paraId="0010005D" w14:textId="0010005E">
            <w:r>
              <w:rPr>
                <w:rFonts w:ascii="Arial" w:hAnsi="Arial" w:eastAsia="Arial"/>
                <w:sz w:val="19"/>
              </w:rPr>
              <w:t xml:space="preserve">The data stays where it already lives and is already governed. Users sign in with existing Snowflake accounts, and there is no extra infrastructure to secure.</w:t>
            </w:r>
          </w:p>
        </w:tc>
        <w:tc>
          <w:tcPr>
            <w:tcW w:w="3438" w:type="dxa"/>
          </w:tcPr>
          <w:p w14:paraId="0010005F" w14:textId="00100060">
            <w:r>
              <w:rPr>
                <w:rFonts w:ascii="Arial" w:hAnsi="Arial" w:eastAsia="Arial"/>
                <w:sz w:val="19"/>
              </w:rPr>
              <w:t xml:space="preserve">Less flexibility than a general cloud host. Setup depends on Snowflake-specific tooling, and the Snowflake team must create and manage the services.</w:t>
            </w:r>
          </w:p>
        </w:tc>
      </w:tr>
      <w:tr>
        <w:trPr/>
        <w:tc>
          <w:tcPr>
            <w:tcW w:w="2600" w:type="dxa"/>
          </w:tcPr>
          <w:p w14:paraId="00100061" w14:textId="00100062">
            <w:r>
              <w:rPr>
                <w:rFonts w:ascii="Arial" w:hAnsi="Arial" w:eastAsia="Arial"/>
                <w:b/>
                <w:sz w:val="19"/>
              </w:rPr>
              <w:t xml:space="preserve">A separate data service (FastAPI) between the screens and the database</w:t>
            </w:r>
          </w:p>
        </w:tc>
        <w:tc>
          <w:tcPr>
            <w:tcW w:w="3600" w:type="dxa"/>
          </w:tcPr>
          <w:p w14:paraId="00100063" w14:textId="00100064">
            <w:r>
              <w:rPr>
                <w:rFonts w:ascii="Arial" w:hAnsi="Arial" w:eastAsia="Arial"/>
                <w:sz w:val="19"/>
              </w:rPr>
              <w:t xml:space="preserve">The business rules live in one place, so every screen shows the same numbers. It also produces built-in documentation that lets us test each data request against the requirements.</w:t>
            </w:r>
          </w:p>
        </w:tc>
        <w:tc>
          <w:tcPr>
            <w:tcW w:w="3438" w:type="dxa"/>
          </w:tcPr>
          <w:p w14:paraId="00100065" w14:textId="00100066">
            <w:r>
              <w:rPr>
                <w:rFonts w:ascii="Arial" w:hAnsi="Arial" w:eastAsia="Arial"/>
                <w:sz w:val="19"/>
              </w:rPr>
              <w:t xml:space="preserve">One more component to build, deploy and monitor than screens that query the database directly.</w:t>
            </w:r>
          </w:p>
        </w:tc>
      </w:tr>
      <w:tr>
        <w:trPr/>
        <w:tc>
          <w:tcPr>
            <w:tcW w:w="2600" w:type="dxa"/>
          </w:tcPr>
          <w:p w14:paraId="00100067" w14:textId="00100068">
            <w:r>
              <w:rPr>
                <w:rFonts w:ascii="Arial" w:hAnsi="Arial" w:eastAsia="Arial"/>
                <w:b/>
                <w:sz w:val="19"/>
              </w:rPr>
              <w:t xml:space="preserve">A small local sample database for development</w:t>
            </w:r>
          </w:p>
        </w:tc>
        <w:tc>
          <w:tcPr>
            <w:tcW w:w="3600" w:type="dxa"/>
          </w:tcPr>
          <w:p w14:paraId="00100069" w14:textId="0010006A">
            <w:r>
              <w:rPr>
                <w:rFonts w:ascii="Arial" w:hAnsi="Arial" w:eastAsia="Arial"/>
                <w:sz w:val="19"/>
              </w:rPr>
              <w:t xml:space="preserve">Developers can build and test without touching live Snowflake data or sharing credentials.</w:t>
            </w:r>
          </w:p>
        </w:tc>
        <w:tc>
          <w:tcPr>
            <w:tcW w:w="3438" w:type="dxa"/>
          </w:tcPr>
          <w:p w14:paraId="0010006B" w14:textId="0010006C">
            <w:r>
              <w:rPr>
                <w:rFonts w:ascii="Arial" w:hAnsi="Arial" w:eastAsia="Arial"/>
                <w:sz w:val="19"/>
              </w:rPr>
              <w:t xml:space="preserve">The code must work with two databases, so we test against both to avoid surprises at deployment.</w:t>
            </w:r>
          </w:p>
        </w:tc>
      </w:tr>
    </w:tbl>
    <w:p w14:paraId="0010006D" w14:textId="0010006E">
      <w:pPr>
        <w:pStyle w:val="Heading1"/>
        <w:spacing w:before="280" w:after="80"/>
      </w:pPr>
      <w:r>
        <w:rPr>
          <w:rFonts w:ascii="Arial" w:hAnsi="Arial" w:eastAsia="Arial"/>
          <w:b/>
          <w:color w:val="1C4EF5"/>
          <w:sz w:val="32"/>
        </w:rPr>
        <w:t xml:space="preserve">6. Security and Data Handling</w:t>
      </w:r>
    </w:p>
    <w:p w14:paraId="0010006F" w14:textId="00100070">
      <w:pPr>
        <w:numPr>
          <w:ilvl w:val="0"/>
          <w:numId w:val="3"/>
        </w:numPr>
        <w:spacing w:after="40"/>
      </w:pPr>
      <w:r>
        <w:rPr>
          <w:rFonts w:ascii="Arial" w:hAnsi="Arial" w:eastAsia="Arial"/>
          <w:sz w:val="21"/>
        </w:rPr>
        <w:t xml:space="preserve">The application runs inside Snowflake, and users sign in with their Snowflake account.</w:t>
      </w:r>
    </w:p>
    <w:p w14:paraId="00100071" w14:textId="00100072">
      <w:pPr>
        <w:numPr>
          <w:ilvl w:val="0"/>
          <w:numId w:val="3"/>
        </w:numPr>
        <w:spacing w:after="40"/>
      </w:pPr>
      <w:r>
        <w:rPr>
          <w:rFonts w:ascii="Arial" w:hAnsi="Arial" w:eastAsia="Arial"/>
          <w:sz w:val="21"/>
        </w:rPr>
        <w:t xml:space="preserve">The data service only reads data. There is no way to change orders, customers or products from the dashboard.</w:t>
      </w:r>
    </w:p>
    <w:p w14:paraId="00100073" w14:textId="00100074">
      <w:pPr>
        <w:numPr>
          <w:ilvl w:val="0"/>
          <w:numId w:val="3"/>
        </w:numPr>
        <w:spacing w:after="40"/>
      </w:pPr>
      <w:r>
        <w:rPr>
          <w:rFonts w:ascii="Arial" w:hAnsi="Arial" w:eastAsia="Arial"/>
          <w:sz w:val="21"/>
        </w:rPr>
        <w:t xml:space="preserve">Passwords and keys are never stored in the code. They are supplied securely at run time.</w:t>
      </w:r>
    </w:p>
    <w:p w14:paraId="00100075" w14:textId="00100076">
      <w:pPr>
        <w:numPr>
          <w:ilvl w:val="0"/>
          <w:numId w:val="3"/>
        </w:numPr>
        <w:spacing w:after="120"/>
      </w:pPr>
      <w:r>
        <w:rPr>
          <w:rFonts w:ascii="Arial" w:hAnsi="Arial" w:eastAsia="Arial"/>
          <w:sz w:val="21"/>
        </w:rPr>
        <w:t xml:space="preserve">Error messages shown to users are generic. Technical details stay in internal logs.</w:t>
      </w:r>
    </w:p>
    <w:p w14:paraId="00100077" w14:textId="00100078">
      <w:pPr>
        <w:pStyle w:val="Heading1"/>
        <w:spacing w:before="280" w:after="80"/>
      </w:pPr>
      <w:r>
        <w:rPr>
          <w:rFonts w:ascii="Arial" w:hAnsi="Arial" w:eastAsia="Arial"/>
          <w:b/>
          <w:color w:val="1C4EF5"/>
          <w:sz w:val="32"/>
        </w:rPr>
        <w:t xml:space="preserve">7. Assumptions, Risks and Open Questions</w:t>
      </w:r>
    </w:p>
    <w:tbl>
      <w:tblPr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900"/>
        <w:gridCol w:w="7738"/>
      </w:tblGrid>
      <w:tr>
        <w:trPr>
          <w:tblHeader/>
        </w:trPr>
        <w:tc>
          <w:tcPr>
            <w:tcW w:w="1900" w:type="dxa"/>
            <w:shd w:val="clear" w:fill="1C4EF5"/>
          </w:tcPr>
          <w:p w14:paraId="00100079" w14:textId="0010007A">
            <w:r>
              <w:rPr>
                <w:rFonts w:ascii="Arial" w:hAnsi="Arial" w:eastAsia="Arial"/>
                <w:b/>
                <w:color w:val="FFFFFF"/>
                <w:sz w:val="20"/>
              </w:rPr>
              <w:t xml:space="preserve">Item</w:t>
            </w:r>
          </w:p>
        </w:tc>
        <w:tc>
          <w:tcPr>
            <w:tcW w:w="7738" w:type="dxa"/>
            <w:shd w:val="clear" w:fill="1C4EF5"/>
          </w:tcPr>
          <w:p w14:paraId="0010007B" w14:textId="0010007C">
            <w:r>
              <w:rPr>
                <w:rFonts w:ascii="Arial" w:hAnsi="Arial" w:eastAsia="Arial"/>
                <w:b/>
                <w:color w:val="FFFFFF"/>
                <w:sz w:val="20"/>
              </w:rPr>
              <w:t xml:space="preserve">Detail</w:t>
            </w:r>
          </w:p>
        </w:tc>
      </w:tr>
      <w:tr>
        <w:trPr/>
        <w:tc>
          <w:tcPr>
            <w:tcW w:w="1900" w:type="dxa"/>
          </w:tcPr>
          <w:p w14:paraId="0010007D" w14:textId="0010007E">
            <w:r>
              <w:rPr>
                <w:rFonts w:ascii="Arial" w:hAnsi="Arial" w:eastAsia="Arial"/>
                <w:b/>
                <w:sz w:val="20"/>
              </w:rPr>
              <w:t xml:space="preserve">Assumption</w:t>
            </w:r>
          </w:p>
        </w:tc>
        <w:tc>
          <w:tcPr>
            <w:tcW w:w="7738" w:type="dxa"/>
          </w:tcPr>
          <w:p w14:paraId="0010007F" w14:textId="00100080">
            <w:r>
              <w:rPr>
                <w:rFonts w:ascii="Arial" w:hAnsi="Arial" w:eastAsia="Arial"/>
                <w:sz w:val="20"/>
              </w:rPr>
              <w:t xml:space="preserve">The data is a static 2022 snapshot, so "latest" means the end of 2022.</w:t>
            </w:r>
          </w:p>
        </w:tc>
      </w:tr>
      <w:tr>
        <w:trPr/>
        <w:tc>
          <w:tcPr>
            <w:tcW w:w="1900" w:type="dxa"/>
          </w:tcPr>
          <w:p w14:paraId="00100081" w14:textId="00100082">
            <w:r>
              <w:rPr>
                <w:rFonts w:ascii="Arial" w:hAnsi="Arial" w:eastAsia="Arial"/>
                <w:b/>
                <w:sz w:val="20"/>
              </w:rPr>
              <w:t xml:space="preserve">Assumption</w:t>
            </w:r>
          </w:p>
        </w:tc>
        <w:tc>
          <w:tcPr>
            <w:tcW w:w="7738" w:type="dxa"/>
          </w:tcPr>
          <w:p w14:paraId="00100083" w14:textId="00100084">
            <w:r>
              <w:rPr>
                <w:rFonts w:ascii="Arial" w:hAnsi="Arial" w:eastAsia="Arial"/>
                <w:sz w:val="20"/>
              </w:rPr>
              <w:t xml:space="preserve">Data is shown by US city and state because it holds no country field.</w:t>
            </w:r>
          </w:p>
        </w:tc>
      </w:tr>
      <w:tr>
        <w:trPr/>
        <w:tc>
          <w:tcPr>
            <w:tcW w:w="1900" w:type="dxa"/>
          </w:tcPr>
          <w:p w14:paraId="00100085" w14:textId="00100086">
            <w:r>
              <w:rPr>
                <w:rFonts w:ascii="Arial" w:hAnsi="Arial" w:eastAsia="Arial"/>
                <w:b/>
                <w:sz w:val="20"/>
              </w:rPr>
              <w:t xml:space="preserve">Risk</w:t>
            </w:r>
          </w:p>
        </w:tc>
        <w:tc>
          <w:tcPr>
            <w:tcW w:w="7738" w:type="dxa"/>
          </w:tcPr>
          <w:p w14:paraId="00100087" w14:textId="00100088">
            <w:r>
              <w:rPr>
                <w:rFonts w:ascii="Arial" w:hAnsi="Arial" w:eastAsia="Arial"/>
                <w:sz w:val="20"/>
              </w:rPr>
              <w:t xml:space="preserve">Services in Snowflake are created by the NovaCart facilitator, so any delay there affects the deployment date.</w:t>
            </w:r>
          </w:p>
        </w:tc>
      </w:tr>
      <w:tr>
        <w:trPr/>
        <w:tc>
          <w:tcPr>
            <w:tcW w:w="1900" w:type="dxa"/>
          </w:tcPr>
          <w:p w14:paraId="00100089" w14:textId="0010008A">
            <w:r>
              <w:rPr>
                <w:rFonts w:ascii="Arial" w:hAnsi="Arial" w:eastAsia="Arial"/>
                <w:b/>
                <w:sz w:val="20"/>
              </w:rPr>
              <w:t xml:space="preserve">Open question</w:t>
            </w:r>
          </w:p>
        </w:tc>
        <w:tc>
          <w:tcPr>
            <w:tcW w:w="7738" w:type="dxa"/>
          </w:tcPr>
          <w:p w14:paraId="0010008B" w14:textId="0010008C">
            <w:r>
              <w:rPr>
                <w:rFonts w:ascii="Arial" w:hAnsi="Arial" w:eastAsia="Arial"/>
                <w:sz w:val="20"/>
              </w:rPr>
              <w:t xml:space="preserve">What date range should the dashboard open on?</w:t>
            </w:r>
          </w:p>
        </w:tc>
      </w:tr>
      <w:tr>
        <w:trPr/>
        <w:tc>
          <w:tcPr>
            <w:tcW w:w="1900" w:type="dxa"/>
          </w:tcPr>
          <w:p w14:paraId="0010008D" w14:textId="0010008E">
            <w:r>
              <w:rPr>
                <w:rFonts w:ascii="Arial" w:hAnsi="Arial" w:eastAsia="Arial"/>
                <w:b/>
                <w:sz w:val="20"/>
              </w:rPr>
              <w:t xml:space="preserve">Open question</w:t>
            </w:r>
          </w:p>
        </w:tc>
        <w:tc>
          <w:tcPr>
            <w:tcW w:w="7738" w:type="dxa"/>
          </w:tcPr>
          <w:p w14:paraId="0010008F" w14:textId="00100090">
            <w:r>
              <w:rPr>
                <w:rFonts w:ascii="Arial" w:hAnsi="Arial" w:eastAsia="Arial"/>
                <w:sz w:val="20"/>
              </w:rPr>
              <w:t xml:space="preserve">What does "franchise" mean for NovaCart, and who will sign in?</w:t>
            </w:r>
          </w:p>
        </w:tc>
      </w:tr>
      <w:tr>
        <w:trPr/>
        <w:tc>
          <w:tcPr>
            <w:tcW w:w="1900" w:type="dxa"/>
          </w:tcPr>
          <w:p w14:paraId="00100091" w14:textId="00100092">
            <w:r>
              <w:rPr>
                <w:rFonts w:ascii="Arial" w:hAnsi="Arial" w:eastAsia="Arial"/>
                <w:b/>
                <w:sz w:val="20"/>
              </w:rPr>
              <w:t xml:space="preserve">Open question</w:t>
            </w:r>
          </w:p>
        </w:tc>
        <w:tc>
          <w:tcPr>
            <w:tcW w:w="7738" w:type="dxa"/>
          </w:tcPr>
          <w:p w14:paraId="00100093" w14:textId="00100094">
            <w:r>
              <w:rPr>
                <w:rFonts w:ascii="Arial" w:hAnsi="Arial" w:eastAsia="Arial"/>
                <w:sz w:val="20"/>
              </w:rPr>
              <w:t xml:space="preserve">What should a manager see first when they open the dashboard?</w:t>
            </w:r>
          </w:p>
        </w:tc>
      </w:tr>
      <w:tr>
        <w:trPr/>
        <w:tc>
          <w:tcPr>
            <w:tcW w:w="1900" w:type="dxa"/>
          </w:tcPr>
          <w:p w14:paraId="00100095" w14:textId="00100096">
            <w:r>
              <w:rPr>
                <w:rFonts w:ascii="Arial" w:hAnsi="Arial" w:eastAsia="Arial"/>
                <w:b/>
                <w:sz w:val="20"/>
              </w:rPr>
              <w:t xml:space="preserve">Open question</w:t>
            </w:r>
          </w:p>
        </w:tc>
        <w:tc>
          <w:tcPr>
            <w:tcW w:w="7738" w:type="dxa"/>
          </w:tcPr>
          <w:p w14:paraId="00100097" w14:textId="00100098">
            <w:r>
              <w:rPr>
                <w:rFonts w:ascii="Arial" w:hAnsi="Arial" w:eastAsia="Arial"/>
                <w:sz w:val="20"/>
              </w:rPr>
              <w:t xml:space="preserve">Is city and state an acceptable replacement for country?</w:t>
            </w:r>
          </w:p>
        </w:tc>
      </w:tr>
    </w:tbl>
    <w:p w14:paraId="00100099" w14:textId="0010009A">
      <w:pPr>
        <w:pStyle w:val="Heading1"/>
        <w:spacing w:before="280" w:after="80"/>
      </w:pPr>
      <w:r>
        <w:rPr>
          <w:rFonts w:ascii="Arial" w:hAnsi="Arial" w:eastAsia="Arial"/>
          <w:b/>
          <w:color w:val="1C4EF5"/>
          <w:sz w:val="32"/>
        </w:rPr>
        <w:t xml:space="preserve">8. Recommended Next Steps for NovaCart</w:t>
      </w:r>
    </w:p>
    <w:p w14:paraId="0010009B" w14:textId="0010009C">
      <w:pPr>
        <w:numPr>
          <w:ilvl w:val="0"/>
          <w:numId w:val="4"/>
        </w:numPr>
        <w:spacing w:after="40"/>
      </w:pPr>
      <w:r>
        <w:rPr>
          <w:rFonts w:ascii="Arial" w:hAnsi="Arial" w:eastAsia="Arial"/>
          <w:sz w:val="21"/>
        </w:rPr>
        <w:t xml:space="preserve">Connect live data so the dashboard shows current orders instead of a 2022 snapshot.</w:t>
      </w:r>
    </w:p>
    <w:p w14:paraId="0010009D" w14:textId="0010009E">
      <w:pPr>
        <w:numPr>
          <w:ilvl w:val="0"/>
          <w:numId w:val="4"/>
        </w:numPr>
        <w:spacing w:after="40"/>
      </w:pPr>
      <w:r>
        <w:rPr>
          <w:rFonts w:ascii="Arial" w:hAnsi="Arial" w:eastAsia="Arial"/>
          <w:sz w:val="21"/>
        </w:rPr>
        <w:t xml:space="preserve">Add roles so each account manager sees only their own accounts.</w:t>
      </w:r>
    </w:p>
    <w:p w14:paraId="0010009F" w14:textId="001000A0">
      <w:pPr>
        <w:numPr>
          <w:ilvl w:val="0"/>
          <w:numId w:val="4"/>
        </w:numPr>
        <w:spacing w:after="40"/>
      </w:pPr>
      <w:r>
        <w:rPr>
          <w:rFonts w:ascii="Arial" w:hAnsi="Arial" w:eastAsia="Arial"/>
          <w:sz w:val="21"/>
        </w:rPr>
        <w:t xml:space="preserve">Add customer detail pages showing a single customer's order history.</w:t>
      </w:r>
    </w:p>
    <w:p w14:paraId="001000A1" w14:textId="001000A2">
      <w:pPr>
        <w:numPr>
          <w:ilvl w:val="0"/>
          <w:numId w:val="4"/>
        </w:numPr>
        <w:spacing w:after="120"/>
      </w:pPr>
      <w:r>
        <w:rPr>
          <w:rFonts w:ascii="Arial" w:hAnsi="Arial" w:eastAsia="Arial"/>
          <w:sz w:val="21"/>
        </w:rPr>
        <w:t xml:space="preserve">Export to Excel or CSV to bridge the move away from the weekly spreadsheet.</w:t>
      </w:r>
    </w:p>
    <w:sectPr>
      <w:footerReference w:type="default" r:id="Rfba5ebc270f241a3"/>
      <w:pgSz w:w="11906" w:h="16838"/>
      <w:pgMar w:top="1020" w:right="1134" w:bottom="1020" w:left="1134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A3" w14:textId="001000A4">
    <w:pPr>
      <w:jc w:val="center"/>
    </w:pPr>
    <w:r>
      <w:rPr>
        <w:rFonts w:ascii="Arial" w:hAnsi="Arial" w:eastAsia="Arial"/>
        <w:color w:val="57606A"/>
        <w:sz w:val="18"/>
      </w:rPr>
      <w:t xml:space="preserve">Prepared for Indigo BioMed  |  NovaCart Account Dashboard  |  Team 26  |  Draft v0.1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f52103e277945f3" /><Relationship Type="http://schemas.openxmlformats.org/officeDocument/2006/relationships/styles" Target="/word/styles.xml" Id="R622f7cbe0d7540bf" /><Relationship Type="http://schemas.openxmlformats.org/officeDocument/2006/relationships/theme" Target="/word/theme/theme1.xml" Id="R79d93788c1a64d9f" /><Relationship Type="http://schemas.openxmlformats.org/officeDocument/2006/relationships/numbering" Target="/word/numbering.xml" Id="R1d9b316237754552" /><Relationship Type="http://schemas.openxmlformats.org/officeDocument/2006/relationships/image" Target="/media/image.png" Id="R57a117dbad6848e1" /><Relationship Type="http://schemas.openxmlformats.org/officeDocument/2006/relationships/image" Target="/media/image2.png" Id="R60fd217fa84d45fa" /><Relationship Type="http://schemas.openxmlformats.org/officeDocument/2006/relationships/footer" Target="/word/footer1.xml" Id="Rfba5ebc270f241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2026-10-13T21:08:53Z</dcterms:created>
  <cp:lastModifiedBy>OfficeCLI</cp:lastModifiedBy>
  <dcterms:modified xsi:type="dcterms:W3CDTF">2026-10-13T21:08:53Z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2026-10-13T21:11:42Z</vt:lpwstr>
  </op:property>
</op:Properties>
</file>