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b9a2a4d299db486e" Type="http://schemas.openxmlformats.org/officeDocument/2006/relationships/officeDocument" Target="word/document.xml"/><Relationship Id="R4df5454a94d843a3" Type="http://schemas.openxmlformats.org/package/2006/relationships/metadata/core-properties" Target="docProps/core.xml"/><Relationship Id="R29916fb8a19641ea" Type="http://schemas.openxmlformats.org/officeDocument/2006/relationships/extended-properties" Target="docProps/app.xml"/><Relationship Id="Ra3ae3d76b8994101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8">
      <w:pPr>
        <w:spacing w:line="240" w:lineRule="auto"/>
        <w:jc w:val="center"/>
      </w:pPr>
      <w:r>
        <w:rPr/>
        <w:drawing>
          <wp:inline distT="0" distB="0" distL="0" distR="0">
            <wp:extent cx="1152000" cy="1332000"/>
            <wp:effectExtent l="0" t="0" r="0" b="0"/>
            <wp:docPr id="1" name="Indigo Bio Med logo" descr="Indigo Bio Med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ndigo Bio Med logo"/>
                    <pic:cNvPicPr/>
                  </pic:nvPicPr>
                  <pic:blipFill>
                    <a:blip r:embed="R57a117dbad6848e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3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02" w14:textId="00100003">
      <w:pPr>
        <w:spacing w:before="120" w:after="40"/>
        <w:jc w:val="center"/>
      </w:pPr>
      <w:r>
        <w:rPr>
          <w:rFonts w:ascii="Arial" w:hAnsi="Arial" w:eastAsia="Arial"/>
          <w:b/>
          <w:color w:val="051B3F"/>
          <w:sz w:val="56"/>
        </w:rPr>
        <w:t xml:space="preserve">NovaCart Account Dashboard</w:t>
      </w:r>
    </w:p>
    <w:p w14:paraId="00100004" w14:textId="00100005">
      <w:pPr>
        <w:spacing w:after="40"/>
        <w:jc w:val="center"/>
      </w:pPr>
      <w:r>
        <w:rPr>
          <w:rFonts w:ascii="Arial" w:hAnsi="Arial" w:eastAsia="Arial"/>
          <w:color w:val="1C4EF5"/>
          <w:sz w:val="32"/>
        </w:rPr>
        <w:t xml:space="preserve">Solution Design Document</w:t>
      </w:r>
    </w:p>
    <w:p w14:paraId="00100006" w14:textId="00100007">
      <w:pPr>
        <w:spacing w:after="200"/>
        <w:jc w:val="center"/>
      </w:pPr>
      <w:r>
        <w:rPr>
          <w:rFonts w:ascii="Arial" w:hAnsi="Arial" w:eastAsia="Arial"/>
          <w:i/>
          <w:color w:val="57606A"/>
          <w:sz w:val="20"/>
        </w:rPr>
        <w:t xml:space="preserve">Indigo BioMed  |  NovaCart online retail  |  Team 26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00"/>
        <w:gridCol w:w="7738"/>
      </w:tblGrid>
      <w:tr>
        <w:trPr/>
        <w:tc>
          <w:tcPr>
            <w:tcW w:w="1900" w:type="dxa"/>
            <w:shd w:val="clear" w:fill="BBDEFB"/>
          </w:tcPr>
          <w:p w14:paraId="00100009" w14:textId="0010000A">
            <w:r>
              <w:rPr>
                <w:rFonts w:ascii="Arial" w:hAnsi="Arial" w:eastAsia="Arial"/>
                <w:b/>
                <w:color w:val="051B3F"/>
                <w:sz w:val="20"/>
              </w:rPr>
              <w:t xml:space="preserve">Version</w:t>
            </w:r>
          </w:p>
        </w:tc>
        <w:tc>
          <w:tcPr>
            <w:tcW w:w="7738" w:type="dxa"/>
          </w:tcPr>
          <w:p w14:paraId="0010000B" w14:textId="0010000C">
            <w:r>
              <w:rPr>
                <w:rFonts w:ascii="Arial" w:hAnsi="Arial" w:eastAsia="Arial"/>
                <w:sz w:val="20"/>
              </w:rPr>
              <w:t xml:space="preserve">0.2 (draft)</w:t>
            </w:r>
          </w:p>
        </w:tc>
      </w:tr>
      <w:tr>
        <w:trPr/>
        <w:tc>
          <w:tcPr>
            <w:tcW w:w="1900" w:type="dxa"/>
            <w:shd w:val="clear" w:fill="BBDEFB"/>
          </w:tcPr>
          <w:p w14:paraId="0010000D" w14:textId="0010000E">
            <w:r>
              <w:rPr>
                <w:rFonts w:ascii="Arial" w:hAnsi="Arial" w:eastAsia="Arial"/>
                <w:b/>
                <w:color w:val="051B3F"/>
                <w:sz w:val="20"/>
              </w:rPr>
              <w:t xml:space="preserve">Date</w:t>
            </w:r>
          </w:p>
        </w:tc>
        <w:tc>
          <w:tcPr>
            <w:tcW w:w="7738" w:type="dxa"/>
          </w:tcPr>
          <w:p w14:paraId="0010000F" w14:textId="00100010">
            <w:r>
              <w:rPr>
                <w:rFonts w:ascii="Arial" w:hAnsi="Arial" w:eastAsia="Arial"/>
                <w:sz w:val="20"/>
              </w:rPr>
              <w:t xml:space="preserve">October 14, 2026</w:t>
            </w:r>
          </w:p>
        </w:tc>
      </w:tr>
      <w:tr>
        <w:trPr/>
        <w:tc>
          <w:tcPr>
            <w:tcW w:w="1900" w:type="dxa"/>
            <w:shd w:val="clear" w:fill="BBDEFB"/>
          </w:tcPr>
          <w:p w14:paraId="00100011" w14:textId="00100012">
            <w:r>
              <w:rPr>
                <w:rFonts w:ascii="Arial" w:hAnsi="Arial" w:eastAsia="Arial"/>
                <w:b/>
                <w:color w:val="051B3F"/>
                <w:sz w:val="20"/>
              </w:rPr>
              <w:t xml:space="preserve">Prepared by</w:t>
            </w:r>
          </w:p>
        </w:tc>
        <w:tc>
          <w:tcPr>
            <w:tcW w:w="7738" w:type="dxa"/>
          </w:tcPr>
          <w:p w14:paraId="00100013" w14:textId="00100014">
            <w:r>
              <w:rPr>
                <w:rFonts w:ascii="Arial" w:hAnsi="Arial" w:eastAsia="Arial"/>
                <w:sz w:val="20"/>
              </w:rPr>
              <w:t xml:space="preserve">Team 26 App Consultants: Katie Nam, Eyan Jaffery, Harshi Brahmbhatt, Henry Pu</w:t>
            </w:r>
          </w:p>
        </w:tc>
      </w:tr>
      <w:tr>
        <w:trPr/>
        <w:tc>
          <w:tcPr>
            <w:tcW w:w="1900" w:type="dxa"/>
            <w:shd w:val="clear" w:fill="BBDEFB"/>
          </w:tcPr>
          <w:p w14:paraId="00100015" w14:textId="00100016">
            <w:r>
              <w:rPr>
                <w:rFonts w:ascii="Arial" w:hAnsi="Arial" w:eastAsia="Arial"/>
                <w:b/>
                <w:color w:val="051B3F"/>
                <w:sz w:val="20"/>
              </w:rPr>
              <w:t xml:space="preserve">Audience</w:t>
            </w:r>
          </w:p>
        </w:tc>
        <w:tc>
          <w:tcPr>
            <w:tcW w:w="7738" w:type="dxa"/>
          </w:tcPr>
          <w:p w14:paraId="00100017" w14:textId="00100018">
            <w:r>
              <w:rPr>
                <w:rFonts w:ascii="Arial" w:hAnsi="Arial" w:eastAsia="Arial"/>
                <w:sz w:val="20"/>
              </w:rPr>
              <w:t xml:space="preserve">NovaCart account managers and business stakeholders</w:t>
            </w:r>
          </w:p>
        </w:tc>
      </w:tr>
    </w:tbl>
    <w:p w14:paraId="00100019" w14:textId="0010001A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1. The Problem and the Goal</w:t>
      </w:r>
    </w:p>
    <w:p w14:paraId="0010001B" w14:textId="0010001C">
      <w:pPr>
        <w:spacing w:after="120"/>
      </w:pPr>
      <w:r>
        <w:rPr>
          <w:rFonts w:ascii="Arial" w:hAnsi="Arial" w:eastAsia="Arial"/>
          <w:sz w:val="21"/>
        </w:rPr>
        <w:t xml:space="preserve">Today, NovaCart account managers get order information from a weekly Excel report, or by asking someone to pull numbers for them. That is slow, and the numbers can differ depending on who prepared them.</w:t>
      </w:r>
    </w:p>
    <w:p w14:paraId="0010001D" w14:textId="0010001E">
      <w:pPr>
        <w:spacing w:after="120"/>
      </w:pPr>
      <w:r>
        <w:rPr>
          <w:rFonts w:ascii="Arial" w:hAnsi="Arial" w:eastAsia="Arial"/>
          <w:sz w:val="21"/>
        </w:rPr>
        <w:t xml:space="preserve">Goal: give account managers one web page where they can look up orders, products and customers themselves, for any date range, using the same agreed numbers every time.</w:t>
      </w:r>
    </w:p>
    <w:p w14:paraId="0010001F" w14:textId="00100020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2. What We Are Building</w:t>
      </w:r>
    </w:p>
    <w:p w14:paraId="00100021" w14:textId="00100022">
      <w:pPr>
        <w:spacing w:after="80"/>
      </w:pPr>
      <w:r>
        <w:rPr>
          <w:rFonts w:ascii="Arial" w:hAnsi="Arial" w:eastAsia="Arial"/>
          <w:sz w:val="21"/>
        </w:rPr>
        <w:t xml:space="preserve">A web dashboard with three views: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w="2400" w:type="dxa"/>
            <w:shd w:val="clear" w:fill="1C4EF5"/>
          </w:tcPr>
          <w:p w14:paraId="00100023" w14:textId="00100024">
            <w:r>
              <w:rPr>
                <w:rFonts w:ascii="Arial" w:hAnsi="Arial" w:eastAsia="Arial"/>
                <w:b/>
                <w:color w:val="FFFFFF"/>
                <w:sz w:val="20"/>
              </w:rPr>
              <w:t xml:space="preserve">View</w:t>
            </w:r>
          </w:p>
        </w:tc>
        <w:tc>
          <w:tcPr>
            <w:tcW w:w="7238" w:type="dxa"/>
            <w:shd w:val="clear" w:fill="1C4EF5"/>
          </w:tcPr>
          <w:p w14:paraId="00100025" w14:textId="00100026">
            <w:r>
              <w:rPr>
                <w:rFonts w:ascii="Arial" w:hAnsi="Arial" w:eastAsia="Arial"/>
                <w:b/>
                <w:color w:val="FFFFFF"/>
                <w:sz w:val="20"/>
              </w:rPr>
              <w:t xml:space="preserve">What the manager sees</w:t>
            </w:r>
          </w:p>
        </w:tc>
      </w:tr>
      <w:tr>
        <w:trPr/>
        <w:tc>
          <w:tcPr>
            <w:tcW w:w="2400" w:type="dxa"/>
          </w:tcPr>
          <w:p w14:paraId="00100027" w14:textId="00100028">
            <w:r>
              <w:rPr>
                <w:rFonts w:ascii="Arial" w:hAnsi="Arial" w:eastAsia="Arial"/>
                <w:b/>
                <w:sz w:val="20"/>
              </w:rPr>
              <w:t xml:space="preserve">Orders Overview</w:t>
            </w:r>
          </w:p>
        </w:tc>
        <w:tc>
          <w:tcPr>
            <w:tcW w:w="7238" w:type="dxa"/>
          </w:tcPr>
          <w:p w14:paraId="00100029" w14:textId="0010002A">
            <w:r>
              <w:rPr>
                <w:rFonts w:ascii="Arial" w:hAnsi="Arial" w:eastAsia="Arial"/>
                <w:sz w:val="20"/>
              </w:rPr>
              <w:t xml:space="preserve">Total revenue, total orders and unique customers, plus revenue by month and revenue by city</w:t>
            </w:r>
          </w:p>
        </w:tc>
      </w:tr>
      <w:tr>
        <w:trPr/>
        <w:tc>
          <w:tcPr>
            <w:tcW w:w="2400" w:type="dxa"/>
          </w:tcPr>
          <w:p w14:paraId="0010002B" w14:textId="0010002C">
            <w:r>
              <w:rPr>
                <w:rFonts w:ascii="Arial" w:hAnsi="Arial" w:eastAsia="Arial"/>
                <w:b/>
                <w:sz w:val="20"/>
              </w:rPr>
              <w:t xml:space="preserve">Product Performance</w:t>
            </w:r>
          </w:p>
        </w:tc>
        <w:tc>
          <w:tcPr>
            <w:tcW w:w="7238" w:type="dxa"/>
          </w:tcPr>
          <w:p w14:paraId="0010002D" w14:textId="0010002E">
            <w:r>
              <w:rPr>
                <w:rFonts w:ascii="Arial" w:hAnsi="Arial" w:eastAsia="Arial"/>
                <w:sz w:val="20"/>
              </w:rPr>
              <w:t xml:space="preserve">The top 10 products by revenue, as a chart and a table</w:t>
            </w:r>
          </w:p>
        </w:tc>
      </w:tr>
      <w:tr>
        <w:trPr/>
        <w:tc>
          <w:tcPr>
            <w:tcW w:w="2400" w:type="dxa"/>
          </w:tcPr>
          <w:p w14:paraId="0010002F" w14:textId="00100030">
            <w:r>
              <w:rPr>
                <w:rFonts w:ascii="Arial" w:hAnsi="Arial" w:eastAsia="Arial"/>
                <w:b/>
                <w:sz w:val="20"/>
              </w:rPr>
              <w:t xml:space="preserve">Customer List</w:t>
            </w:r>
          </w:p>
        </w:tc>
        <w:tc>
          <w:tcPr>
            <w:tcW w:w="7238" w:type="dxa"/>
          </w:tcPr>
          <w:p w14:paraId="00100031" w14:textId="00100032">
            <w:r>
              <w:rPr>
                <w:rFonts w:ascii="Arial" w:hAnsi="Arial" w:eastAsia="Arial"/>
                <w:sz w:val="20"/>
              </w:rPr>
              <w:t xml:space="preserve">The top 20 customers by revenue, sortable by any column</w:t>
            </w:r>
          </w:p>
        </w:tc>
      </w:tr>
    </w:tbl>
    <w:p w14:paraId="00100033" w14:textId="00100034">
      <w:pPr>
        <w:spacing w:before="120" w:after="120"/>
      </w:pPr>
      <w:r>
        <w:rPr>
          <w:rFonts w:ascii="Arial" w:hAnsi="Arial" w:eastAsia="Arial"/>
          <w:sz w:val="21"/>
        </w:rPr>
        <w:t xml:space="preserve">Every view has a start and end date filter. The dashboard also has a dark mode and a status light that shows whether the service is running.</w:t>
      </w:r>
    </w:p>
    <w:p w14:paraId="00100035" w14:textId="001000B3">
      <w:pPr>
        <w:spacing w:after="120"/>
      </w:pPr>
      <w:r>
        <w:rPr>
          <w:rFonts w:ascii="Arial" w:hAnsi="Arial" w:eastAsia="Arial"/>
          <w:sz w:val="21"/>
        </w:rPr>
        <w:t xml:space="preserve">Out of scope: changing any data (the dashboard is read-only), forecasting, and user-specific permissions.</w:t>
      </w:r>
    </w:p>
    <w:p w14:paraId="00100037" w14:textId="00100038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3. How It Works</w:t>
      </w:r>
    </w:p>
    <w:p w14:paraId="00100039" w14:textId="0010003A">
      <w:pPr>
        <w:spacing w:after="80"/>
      </w:pPr>
      <w:r>
        <w:rPr>
          <w:rFonts w:ascii="Arial" w:hAnsi="Arial" w:eastAsia="Arial"/>
          <w:i/>
          <w:color w:val="57606A"/>
          <w:sz w:val="20"/>
        </w:rPr>
        <w:t xml:space="preserve">Every component runs inside Snowflake. The manager's browser is the only thing outside it.</w:t>
      </w:r>
    </w:p>
    <w:p w14:paraId="0010003B" w14:textId="0010003C">
      <w:pPr>
        <w:spacing w:line="240" w:lineRule="auto"/>
      </w:pPr>
      <w:r>
        <w:rPr/>
        <w:drawing>
          <wp:inline distT="0" distB="0" distL="0" distR="0">
            <wp:extent cx="5940000" cy="2509200"/>
            <wp:effectExtent l="0" t="0" r="0" b="0"/>
            <wp:docPr id="2" name="Architecture diagram: browser to router, which sends pages to the React screens and data requests to the FastAPI data service, which reads the Gold data tables, all inside Snowflake" descr="Architecture diagram: browser to router, which sends pages to the React screens and data requests to the FastAPI data service, which reads the Gold data tables, all inside Snowflak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Architecture diagram: browser to router, which sends pages to the React screens and data requests to the FastAPI data service, which reads the Gold data tables, all inside Snowflake"/>
                    <pic:cNvPicPr/>
                  </pic:nvPicPr>
                  <pic:blipFill>
                    <a:blip r:embed="R60fd217fa84d45f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3D" w14:textId="0010003E">
      <w:pPr>
        <w:spacing w:before="120" w:after="40"/>
      </w:pPr>
      <w:r>
        <w:rPr>
          <w:rFonts w:ascii="Arial" w:hAnsi="Arial" w:eastAsia="Arial"/>
          <w:b/>
          <w:sz w:val="21"/>
        </w:rPr>
        <w:t xml:space="preserve">In plain words:</w:t>
      </w:r>
    </w:p>
    <w:p w14:paraId="0010003F" w14:textId="001000AC">
      <w:pPr>
        <w:numPr>
          <w:ilvl w:val="0"/>
          <w:numId w:val="1"/>
        </w:numPr>
        <w:spacing w:after="40"/>
      </w:pPr>
      <w:r>
        <w:rPr>
          <w:rFonts w:ascii="Arial" w:hAnsi="Arial" w:eastAsia="Arial"/>
          <w:sz w:val="21"/>
        </w:rPr>
        <w:t xml:space="preserve">1. The manager opens the dashboard in their browser and signs in with their Snowflake account.</w:t>
      </w:r>
    </w:p>
    <w:p w14:paraId="00100041" w14:textId="001000AD">
      <w:pPr>
        <w:numPr>
          <w:ilvl w:val="0"/>
          <w:numId w:val="1"/>
        </w:numPr>
        <w:spacing w:after="40"/>
      </w:pPr>
      <w:r>
        <w:rPr>
          <w:rFonts w:ascii="Arial" w:hAnsi="Arial" w:eastAsia="Arial"/>
          <w:sz w:val="21"/>
        </w:rPr>
        <w:t xml:space="preserve">2. The router delivers the React screens to the browser.</w:t>
      </w:r>
    </w:p>
    <w:p w14:paraId="00100043" w14:textId="001000AE">
      <w:pPr>
        <w:numPr>
          <w:ilvl w:val="0"/>
          <w:numId w:val="1"/>
        </w:numPr>
        <w:spacing w:after="40"/>
      </w:pPr>
      <w:r>
        <w:rPr>
          <w:rFonts w:ascii="Arial" w:hAnsi="Arial" w:eastAsia="Arial"/>
          <w:sz w:val="21"/>
        </w:rPr>
        <w:t>3. When the manager picks a date range and clicks Apply, the screens ask the data service for the numbers, through the router.</w:t>
      </w:r>
    </w:p>
    <w:p w14:paraId="00100045" w14:textId="001000AF">
      <w:pPr>
        <w:numPr>
          <w:ilvl w:val="0"/>
          <w:numId w:val="1"/>
        </w:numPr>
        <w:spacing w:after="120"/>
      </w:pPr>
      <w:r>
        <w:rPr>
          <w:rFonts w:ascii="Arial" w:hAnsi="Arial" w:eastAsia="Arial"/>
          <w:sz w:val="21"/>
        </w:rPr>
        <w:t>4. The data service reads the Gold data tables using a secure token, applies the agreed business rules, and sends back the results to be drawn as charts and tables.</w:t>
      </w:r>
    </w:p>
    <w:p w14:paraId="00100047" w14:textId="00100048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4. Numbers Managers Can Trust</w:t>
      </w:r>
    </w:p>
    <w:p w14:paraId="00100049" w14:textId="0010004A">
      <w:pPr>
        <w:spacing w:after="40"/>
      </w:pPr>
      <w:r>
        <w:rPr>
          <w:rFonts w:ascii="Arial" w:hAnsi="Arial" w:eastAsia="Arial"/>
          <w:sz w:val="21"/>
        </w:rPr>
        <w:t xml:space="preserve">The data service applies the same rules on every screen:</w:t>
      </w:r>
    </w:p>
    <w:p w14:paraId="0010004B" w14:textId="0010004C">
      <w:pPr>
        <w:numPr>
          <w:ilvl w:val="0"/>
          <w:numId w:val="2"/>
        </w:numPr>
        <w:spacing w:after="40"/>
      </w:pPr>
      <w:r>
        <w:rPr>
          <w:rFonts w:ascii="Arial" w:hAnsi="Arial" w:eastAsia="Arial"/>
          <w:sz w:val="21"/>
        </w:rPr>
        <w:t xml:space="preserve">Revenue counts only orders that are delivered or shipped. Pending, cancelled and returned orders are left out.</w:t>
      </w:r>
    </w:p>
    <w:p w14:paraId="0010004D" w14:textId="0010004E">
      <w:pPr>
        <w:numPr>
          <w:ilvl w:val="0"/>
          <w:numId w:val="2"/>
        </w:numPr>
        <w:spacing w:after="40"/>
      </w:pPr>
      <w:r>
        <w:rPr>
          <w:rFonts w:ascii="Arial" w:hAnsi="Arial" w:eastAsia="Arial"/>
          <w:sz w:val="21"/>
        </w:rPr>
        <w:t xml:space="preserve">Customer details (name, city, state) always use the customer's current record.</w:t>
      </w:r>
    </w:p>
    <w:p w14:paraId="0010004F" w14:textId="00100050">
      <w:pPr>
        <w:numPr>
          <w:ilvl w:val="0"/>
          <w:numId w:val="2"/>
        </w:numPr>
        <w:spacing w:after="40"/>
      </w:pPr>
      <w:r>
        <w:rPr>
          <w:rFonts w:ascii="Arial" w:hAnsi="Arial" w:eastAsia="Arial"/>
          <w:sz w:val="21"/>
        </w:rPr>
        <w:t xml:space="preserve">All amounts are in US dollars.</w:t>
      </w:r>
    </w:p>
    <w:p w14:paraId="00100051" w14:textId="001000A9">
      <w:pPr>
        <w:numPr>
          <w:ilvl w:val="0"/>
          <w:numId w:val="2"/>
        </w:numPr>
        <w:spacing w:after="120"/>
      </w:pPr>
      <w:r>
        <w:rPr>
          <w:rFonts w:ascii="Arial" w:hAnsi="Arial" w:eastAsia="Arial"/>
          <w:sz w:val="21"/>
        </w:rPr>
        <w:t xml:space="preserve">Data coverage: about 30,000 orders from 400 customers across 15 products, dated 1 January to 31 December 2022 (current sample dataset, US-only). The live Snowflake dataset spans multiple countries.</w:t>
      </w:r>
    </w:p>
    <w:p w14:paraId="00100053" w14:textId="00100054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5. Key Technology Decisions and Trade-offs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w="2600" w:type="dxa"/>
            <w:shd w:val="clear" w:fill="1C4EF5"/>
          </w:tcPr>
          <w:p w14:paraId="00100055" w14:textId="00100056">
            <w:r>
              <w:rPr>
                <w:rFonts w:ascii="Arial" w:hAnsi="Arial" w:eastAsia="Arial"/>
                <w:b/>
                <w:color w:val="FFFFFF"/>
                <w:sz w:val="20"/>
              </w:rPr>
              <w:t xml:space="preserve">Decision</w:t>
            </w:r>
          </w:p>
        </w:tc>
        <w:tc>
          <w:tcPr>
            <w:tcW w:w="3600" w:type="dxa"/>
            <w:shd w:val="clear" w:fill="1C4EF5"/>
          </w:tcPr>
          <w:p w14:paraId="00100057" w14:textId="00100058">
            <w:r>
              <w:rPr>
                <w:rFonts w:ascii="Arial" w:hAnsi="Arial" w:eastAsia="Arial"/>
                <w:b/>
                <w:color w:val="FFFFFF"/>
                <w:sz w:val="20"/>
              </w:rPr>
              <w:t xml:space="preserve">Why we chose it</w:t>
            </w:r>
          </w:p>
        </w:tc>
        <w:tc>
          <w:tcPr>
            <w:tcW w:w="3438" w:type="dxa"/>
            <w:shd w:val="clear" w:fill="1C4EF5"/>
          </w:tcPr>
          <w:p w14:paraId="00100059" w14:textId="0010005A">
            <w:r>
              <w:rPr>
                <w:rFonts w:ascii="Arial" w:hAnsi="Arial" w:eastAsia="Arial"/>
                <w:b/>
                <w:color w:val="FFFFFF"/>
                <w:sz w:val="20"/>
              </w:rPr>
              <w:t xml:space="preserve">Trade-off we accepted</w:t>
            </w:r>
          </w:p>
        </w:tc>
      </w:tr>
      <w:tr>
        <w:trPr/>
        <w:tc>
          <w:tcPr>
            <w:tcW w:w="2600" w:type="dxa"/>
          </w:tcPr>
          <w:p w14:paraId="0010005B" w14:textId="0010005C">
            <w:r>
              <w:rPr>
                <w:rFonts w:ascii="Arial" w:hAnsi="Arial" w:eastAsia="Arial"/>
                <w:b/>
                <w:sz w:val="19"/>
              </w:rPr>
              <w:t xml:space="preserve">Run inside Snowflake (Snowpark Container Services) rather than on separate hosting</w:t>
            </w:r>
          </w:p>
        </w:tc>
        <w:tc>
          <w:tcPr>
            <w:tcW w:w="3600" w:type="dxa"/>
          </w:tcPr>
          <w:p w14:paraId="0010005D" w14:textId="0010005E">
            <w:r>
              <w:rPr>
                <w:rFonts w:ascii="Arial" w:hAnsi="Arial" w:eastAsia="Arial"/>
                <w:sz w:val="19"/>
              </w:rPr>
              <w:t xml:space="preserve">The data stays where it already lives and is already governed. Users sign in with existing Snowflake accounts, and there is no extra infrastructure to secure.</w:t>
            </w:r>
          </w:p>
        </w:tc>
        <w:tc>
          <w:tcPr>
            <w:tcW w:w="3438" w:type="dxa"/>
          </w:tcPr>
          <w:p w14:paraId="0010005F" w14:textId="00100060">
            <w:r>
              <w:rPr>
                <w:rFonts w:ascii="Arial" w:hAnsi="Arial" w:eastAsia="Arial"/>
                <w:sz w:val="19"/>
              </w:rPr>
              <w:t xml:space="preserve">Less flexibility than a general cloud host. Setup depends on Snowflake-specific tooling, and the Snowflake team must create and manage the services.</w:t>
            </w:r>
          </w:p>
        </w:tc>
      </w:tr>
      <w:tr>
        <w:trPr/>
        <w:tc>
          <w:tcPr>
            <w:tcW w:w="2600" w:type="dxa"/>
          </w:tcPr>
          <w:p w14:paraId="00100061" w14:textId="00100062">
            <w:r>
              <w:rPr>
                <w:rFonts w:ascii="Arial" w:hAnsi="Arial" w:eastAsia="Arial"/>
                <w:b/>
                <w:sz w:val="19"/>
              </w:rPr>
              <w:t xml:space="preserve">A separate data service (FastAPI) between the screens and the database</w:t>
            </w:r>
          </w:p>
        </w:tc>
        <w:tc>
          <w:tcPr>
            <w:tcW w:w="3600" w:type="dxa"/>
          </w:tcPr>
          <w:p w14:paraId="00100063" w14:textId="00100064">
            <w:r>
              <w:rPr>
                <w:rFonts w:ascii="Arial" w:hAnsi="Arial" w:eastAsia="Arial"/>
                <w:sz w:val="19"/>
              </w:rPr>
              <w:t xml:space="preserve">The business rules live in one place, so every screen shows the same numbers. It also produces built-in documentation that lets us test each data request against the requirements.</w:t>
            </w:r>
          </w:p>
        </w:tc>
        <w:tc>
          <w:tcPr>
            <w:tcW w:w="3438" w:type="dxa"/>
          </w:tcPr>
          <w:p w14:paraId="00100065" w14:textId="00100066">
            <w:r>
              <w:rPr>
                <w:rFonts w:ascii="Arial" w:hAnsi="Arial" w:eastAsia="Arial"/>
                <w:sz w:val="19"/>
              </w:rPr>
              <w:t xml:space="preserve">One more component to build, deploy and monitor than screens that query the database directly.</w:t>
            </w:r>
          </w:p>
        </w:tc>
      </w:tr>
      <w:tr>
        <w:trPr/>
        <w:tc>
          <w:tcPr>
            <w:tcW w:w="2600" w:type="dxa"/>
          </w:tcPr>
          <w:p w14:paraId="00100067" w14:textId="00100068">
            <w:r>
              <w:rPr>
                <w:rFonts w:ascii="Arial" w:hAnsi="Arial" w:eastAsia="Arial"/>
                <w:b/>
                <w:sz w:val="19"/>
              </w:rPr>
              <w:t xml:space="preserve">A small local sample database for development</w:t>
            </w:r>
          </w:p>
        </w:tc>
        <w:tc>
          <w:tcPr>
            <w:tcW w:w="3600" w:type="dxa"/>
          </w:tcPr>
          <w:p w14:paraId="00100069" w14:textId="0010006A">
            <w:r>
              <w:rPr>
                <w:rFonts w:ascii="Arial" w:hAnsi="Arial" w:eastAsia="Arial"/>
                <w:sz w:val="19"/>
              </w:rPr>
              <w:t xml:space="preserve">Developers can build and test without touching live Snowflake data or sharing credentials.</w:t>
            </w:r>
          </w:p>
        </w:tc>
        <w:tc>
          <w:tcPr>
            <w:tcW w:w="3438" w:type="dxa"/>
          </w:tcPr>
          <w:p w14:paraId="0010006B" w14:textId="0010006C">
            <w:r>
              <w:rPr>
                <w:rFonts w:ascii="Arial" w:hAnsi="Arial" w:eastAsia="Arial"/>
                <w:sz w:val="19"/>
              </w:rPr>
              <w:t xml:space="preserve">The code must work with two databases, so we test against both to avoid surprises at deployment.</w:t>
            </w:r>
          </w:p>
        </w:tc>
      </w:tr>
    </w:tbl>
    <w:p w14:paraId="0010006D" w14:textId="0010006E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6. Security and Data Handling</w:t>
      </w:r>
    </w:p>
    <w:p w14:paraId="0010006F" w14:textId="00100070">
      <w:pPr>
        <w:numPr>
          <w:ilvl w:val="0"/>
          <w:numId w:val="3"/>
        </w:numPr>
        <w:spacing w:after="40"/>
      </w:pPr>
      <w:r>
        <w:rPr>
          <w:rFonts w:ascii="Arial" w:hAnsi="Arial" w:eastAsia="Arial"/>
          <w:sz w:val="21"/>
        </w:rPr>
        <w:t xml:space="preserve">The application runs inside Snowflake, and users sign in with their Snowflake account.</w:t>
      </w:r>
    </w:p>
    <w:p w14:paraId="00100071" w14:textId="00100072">
      <w:pPr>
        <w:numPr>
          <w:ilvl w:val="0"/>
          <w:numId w:val="3"/>
        </w:numPr>
        <w:spacing w:after="40"/>
      </w:pPr>
      <w:r>
        <w:rPr>
          <w:rFonts w:ascii="Arial" w:hAnsi="Arial" w:eastAsia="Arial"/>
          <w:sz w:val="21"/>
        </w:rPr>
        <w:t xml:space="preserve">The data service only reads data. There is no way to change orders, customers or products from the dashboard.</w:t>
      </w:r>
    </w:p>
    <w:p w14:paraId="00100073" w14:textId="00100074">
      <w:pPr>
        <w:numPr>
          <w:ilvl w:val="0"/>
          <w:numId w:val="3"/>
        </w:numPr>
        <w:spacing w:after="40"/>
      </w:pPr>
      <w:r>
        <w:rPr>
          <w:rFonts w:ascii="Arial" w:hAnsi="Arial" w:eastAsia="Arial"/>
          <w:sz w:val="21"/>
        </w:rPr>
        <w:t xml:space="preserve">Passwords and keys are never stored in the code. They are supplied securely at run time.</w:t>
      </w:r>
    </w:p>
    <w:p w14:paraId="00100075" w14:textId="00100076">
      <w:pPr>
        <w:numPr>
          <w:ilvl w:val="0"/>
          <w:numId w:val="3"/>
        </w:numPr>
        <w:spacing w:after="120"/>
      </w:pPr>
      <w:r>
        <w:rPr>
          <w:rFonts w:ascii="Arial" w:hAnsi="Arial" w:eastAsia="Arial"/>
          <w:sz w:val="21"/>
        </w:rPr>
        <w:t xml:space="preserve">Error messages shown to users are generic. Technical details stay in internal logs.</w:t>
      </w:r>
    </w:p>
    <w:p w14:paraId="00100099" w14:textId="001000AA">
      <w:pPr>
        <w:pStyle w:val="Heading1"/>
        <w:spacing w:before="280" w:after="80"/>
      </w:pPr>
      <w:r>
        <w:rPr>
          <w:rFonts w:ascii="Arial" w:hAnsi="Arial" w:eastAsia="Arial"/>
          <w:b/>
          <w:color w:val="1C4EF5"/>
          <w:sz w:val="32"/>
        </w:rPr>
        <w:t xml:space="preserve">7. Recommended Next Steps for NovaCart</w:t>
      </w:r>
    </w:p>
    <w:p w14:paraId="001000A1" w14:textId="001000A2">
      <w:pPr>
        <w:numPr>
          <w:ilvl w:val="0"/>
          <w:numId w:val="4"/>
        </w:numPr>
        <w:spacing w:after="120"/>
      </w:pPr>
      <w:r>
        <w:rPr>
          <w:rFonts w:ascii="Arial" w:hAnsi="Arial" w:eastAsia="Arial"/>
          <w:sz w:val="21"/>
        </w:rPr>
        <w:t xml:space="preserve">Export to Excel or CSV to bridge the move away from the weekly spreadsheet.</w:t>
      </w:r>
    </w:p>
    <w:p w14:paraId="001000A7" w14:textId="001000B2">
      <w:pPr>
        <w:numPr>
          <w:ilvl w:val="0"/>
          <w:numId w:val="4"/>
        </w:numPr>
        <w:spacing w:after="120"/>
      </w:pPr>
      <w:r>
        <w:rPr>
          <w:rFonts w:ascii="Arial" w:hAnsi="Arial" w:eastAsia="Arial"/>
          <w:sz w:val="21"/>
        </w:rPr>
        <w:t xml:space="preserve">Explore an AI chatbot for self-service questions and ongoing support — the client confirmed this is an acceptable direction.</w:t>
      </w:r>
    </w:p>
    <w:sectPr>
      <w:footerReference w:type="default" r:id="Rfba5ebc270f241a3"/>
      <w:pgSz w:w="11906" w:h="16838"/>
      <w:pgMar w:top="1020" w:right="1134" w:bottom="1020" w:left="1134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A3" w14:textId="001000AB">
    <w:pPr>
      <w:jc w:val="center"/>
    </w:pPr>
    <w:r>
      <w:rPr>
        <w:rFonts w:ascii="Arial" w:hAnsi="Arial" w:eastAsia="Arial"/>
        <w:color w:val="57606A"/>
        <w:sz w:val="18"/>
      </w:rPr>
      <w:t xml:space="preserve">Prepared for Indigo BioMed  |  NovaCart Account Dashboard  |  Team 26  |  Draft v0.2</w:t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6f52103e277945f3" Type="http://schemas.openxmlformats.org/officeDocument/2006/relationships/settings" Target="settings.xml"/><Relationship Id="R622f7cbe0d7540bf" Type="http://schemas.openxmlformats.org/officeDocument/2006/relationships/styles" Target="styles.xml"/><Relationship Id="R79d93788c1a64d9f" Type="http://schemas.openxmlformats.org/officeDocument/2006/relationships/theme" Target="theme/theme1.xml"/><Relationship Id="R1d9b316237754552" Type="http://schemas.openxmlformats.org/officeDocument/2006/relationships/numbering" Target="numbering.xml"/><Relationship Id="R57a117dbad6848e1" Type="http://schemas.openxmlformats.org/officeDocument/2006/relationships/image" Target="../media/image.png"/><Relationship Id="R60fd217fa84d45fa" Type="http://schemas.openxmlformats.org/officeDocument/2006/relationships/image" Target="../media/image2.png"/><Relationship Id="Rfba5ebc270f241a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2026-10-13T21:08:53Z</dcterms:created>
  <cp:lastModifiedBy>OfficeCLI</cp:lastModifiedBy>
  <dcterms:modified xsi:type="dcterms:W3CDTF">2026-10-13T21:08:53Z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2026-10-14T20:47:58Z</vt:lpwstr>
  </op:property>
</op:Properties>
</file>