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94E9E">
      <w:pPr>
        <w:pStyle w:val="18"/>
      </w:pPr>
      <w:r>
        <w:rPr>
          <w:rFonts w:hint="eastAsia"/>
        </w:rPr>
        <w:t>A Cross-Institution Alignment Protocol for Fatigue Monitoring: A Normali</w:t>
      </w:r>
      <w:r>
        <w:rPr>
          <w:rFonts w:hint="eastAsia" w:eastAsia="宋体"/>
          <w:lang w:val="en-US" w:eastAsia="zh-CN"/>
        </w:rPr>
        <w:t>s</w:t>
      </w:r>
      <w:r>
        <w:rPr>
          <w:rFonts w:hint="eastAsia"/>
        </w:rPr>
        <w:t>ed Lifetime Axis and a Scale-Free Health Indicator</w:t>
      </w:r>
    </w:p>
    <w:p w14:paraId="3081D9D4">
      <w:pPr>
        <w:pStyle w:val="35"/>
      </w:pPr>
      <w:r>
        <w:rPr>
          <w:rFonts w:hint="eastAsia"/>
        </w:rPr>
        <w:t>Chengxuan Y</w:t>
      </w:r>
      <w:r>
        <w:rPr>
          <w:rFonts w:hint="eastAsia" w:eastAsia="宋体"/>
          <w:lang w:val="en-US" w:eastAsia="zh-CN"/>
        </w:rPr>
        <w:t>ANG</w:t>
      </w:r>
      <w:r>
        <w:rPr>
          <w:vertAlign w:val="superscript"/>
        </w:rPr>
        <w:t>a,*</w:t>
      </w:r>
      <w:r>
        <w:rPr>
          <w:rStyle w:val="24"/>
        </w:rPr>
        <w:footnoteReference w:id="0"/>
      </w:r>
      <w:r>
        <w:rPr>
          <w:rFonts w:hint="eastAsia"/>
        </w:rPr>
        <w:t>, Huaiwen G</w:t>
      </w:r>
      <w:r>
        <w:rPr>
          <w:rFonts w:hint="eastAsia" w:eastAsia="宋体"/>
          <w:lang w:val="en-US" w:eastAsia="zh-CN"/>
        </w:rPr>
        <w:t>OU</w:t>
      </w:r>
      <w:r>
        <w:rPr>
          <w:rFonts w:hint="eastAsia"/>
          <w:vertAlign w:val="superscript"/>
        </w:rPr>
        <w:t>a</w:t>
      </w:r>
      <w:r>
        <w:rPr>
          <w:rFonts w:hint="eastAsia"/>
        </w:rPr>
        <w:t>, Kuiting L</w:t>
      </w:r>
      <w:r>
        <w:rPr>
          <w:rFonts w:hint="eastAsia" w:eastAsia="宋体"/>
          <w:lang w:val="en-US" w:eastAsia="zh-CN"/>
        </w:rPr>
        <w:t>I</w:t>
      </w:r>
      <w:r>
        <w:rPr>
          <w:rFonts w:hint="eastAsia"/>
          <w:vertAlign w:val="superscript"/>
        </w:rPr>
        <w:t>a</w:t>
      </w:r>
      <w:r>
        <w:rPr>
          <w:rFonts w:hint="eastAsia"/>
        </w:rPr>
        <w:t>, Jixiang T</w:t>
      </w:r>
      <w:r>
        <w:rPr>
          <w:rFonts w:hint="eastAsia" w:eastAsia="宋体"/>
          <w:lang w:val="en-US" w:eastAsia="zh-CN"/>
        </w:rPr>
        <w:t>ANG</w:t>
      </w:r>
      <w:r>
        <w:rPr>
          <w:rFonts w:hint="eastAsia"/>
          <w:vertAlign w:val="superscript"/>
        </w:rPr>
        <w:t>a</w:t>
      </w:r>
    </w:p>
    <w:p w14:paraId="131355DE">
      <w:pPr>
        <w:pStyle w:val="27"/>
        <w:rPr>
          <w:rFonts w:hint="default" w:eastAsia="宋体"/>
          <w:lang w:val="en-US" w:eastAsia="zh-CN"/>
        </w:rPr>
      </w:pPr>
      <w:r>
        <w:rPr>
          <w:i w:val="0"/>
          <w:vertAlign w:val="superscript"/>
        </w:rPr>
        <w:t>a</w:t>
      </w:r>
      <w:r>
        <w:rPr>
          <w:sz w:val="8"/>
          <w:szCs w:val="8"/>
        </w:rPr>
        <w:t xml:space="preserve"> </w:t>
      </w:r>
      <w:r>
        <w:rPr>
          <w:rFonts w:hint="eastAsia" w:eastAsia="宋体"/>
          <w:lang w:val="en-US" w:eastAsia="zh-CN"/>
        </w:rPr>
        <w:t>School of Mechanical Engineering, Xi</w:t>
      </w:r>
      <w:r>
        <w:rPr>
          <w:rFonts w:hint="default" w:eastAsia="宋体"/>
          <w:lang w:val="en-US" w:eastAsia="zh-CN"/>
        </w:rPr>
        <w:t>’</w:t>
      </w:r>
      <w:r>
        <w:rPr>
          <w:rFonts w:hint="eastAsia" w:eastAsia="宋体"/>
          <w:lang w:val="en-US" w:eastAsia="zh-CN"/>
        </w:rPr>
        <w:t>an Jiaotong University, Shaanxi Xi</w:t>
      </w:r>
      <w:r>
        <w:rPr>
          <w:rFonts w:hint="default" w:eastAsia="宋体"/>
          <w:lang w:val="en-US" w:eastAsia="zh-CN"/>
        </w:rPr>
        <w:t>’</w:t>
      </w:r>
      <w:r>
        <w:rPr>
          <w:rFonts w:hint="eastAsia" w:eastAsia="宋体"/>
          <w:lang w:val="en-US" w:eastAsia="zh-CN"/>
        </w:rPr>
        <w:t>an 710049, China</w:t>
      </w:r>
    </w:p>
    <w:p w14:paraId="010957F2">
      <w:pPr>
        <w:pStyle w:val="26"/>
      </w:pPr>
      <w:r>
        <w:rPr>
          <w:b/>
        </w:rPr>
        <w:t>Abstract.</w:t>
      </w:r>
      <w:r>
        <w:t xml:space="preserve"> </w:t>
      </w:r>
      <w:r>
        <w:rPr>
          <w:rFonts w:hint="eastAsia"/>
        </w:rPr>
        <w:t xml:space="preserve">Fatigue monitoring records from different institutions cannot be placed on one chart. The campaigns are independent, their acquisition intervals and loading types differ, and alarm thresholds are calibrated per specimen. This paper reports a protocol that makes them comparable along two axes. The horizontal axis is a normalised lifetime fraction, taken from the documented acquisition interval and checked against the testing machine's own cycle counter. The vertical axis replaces the absolute threshold with SNHI (self-normalised health indicator), a scale-free indicator equal to the lifetime fraction at which the self-normalised cumulative curve reaches </w:t>
      </w:r>
      <w:r>
        <w:rPr>
          <w:rFonts w:hint="eastAsia"/>
          <w:i/>
          <w:iCs/>
        </w:rPr>
        <w:t>x</w:t>
      </w:r>
      <w:r>
        <w:rPr>
          <w:rFonts w:hint="eastAsia"/>
        </w:rPr>
        <w:t xml:space="preserve">% of its final value. On 15 specimens compared by leaving one campaign out, the absolute-threshold rule raised no alarm for 40% of them, whereas SNHI returned a position for all of them and reduced the within-batch spread by a factor of 3.3. Applied to 29 acoustic-emission and 17 guided-wave specimens from two universities and three loading types, the institution accounts for 0.000 at </w:t>
      </w:r>
      <m:oMath>
        <m:r>
          <m:rPr>
            <m:nor/>
          </m:rPr>
          <w:rPr>
            <w:rFonts w:hint="default" w:ascii="Times New Roman" w:hAnsi="Times New Roman" w:cs="Times New Roman"/>
            <w:i/>
            <w:iCs/>
            <w:sz w:val="16"/>
            <w:szCs w:val="24"/>
            <w:lang w:val="en-US" w:bidi="ar-SA"/>
          </w:rPr>
          <m:t>x</m:t>
        </m:r>
        <m:r>
          <m:rPr>
            <m:nor/>
            <m:sty m:val="p"/>
          </m:rPr>
          <w:rPr>
            <w:rFonts w:hint="default" w:eastAsia="宋体" w:cs="Times New Roman"/>
            <w:b w:val="0"/>
            <w:i w:val="0"/>
            <w:sz w:val="16"/>
            <w:szCs w:val="24"/>
            <w:lang w:val="en-US" w:eastAsia="zh-CN" w:bidi="ar-SA"/>
          </w:rPr>
          <m:t xml:space="preserve"> </m:t>
        </m:r>
        <m:r>
          <m:rPr>
            <m:nor/>
            <m:sty m:val="p"/>
          </m:rPr>
          <w:rPr>
            <w:rFonts w:hint="default" w:ascii="Times New Roman" w:hAnsi="Times New Roman" w:cs="Times New Roman"/>
            <w:b w:val="0"/>
            <w:i w:val="0"/>
            <w:sz w:val="16"/>
            <w:szCs w:val="24"/>
            <w:lang w:val="en-US" w:bidi="ar-SA"/>
          </w:rPr>
          <m:t>=</m:t>
        </m:r>
        <m:r>
          <m:rPr>
            <m:nor/>
            <m:sty m:val="p"/>
          </m:rPr>
          <w:rPr>
            <w:rFonts w:hint="default" w:eastAsia="宋体" w:cs="Times New Roman"/>
            <w:b w:val="0"/>
            <w:i w:val="0"/>
            <w:sz w:val="16"/>
            <w:szCs w:val="24"/>
            <w:lang w:val="en-US" w:eastAsia="zh-CN" w:bidi="ar-SA"/>
          </w:rPr>
          <m:t xml:space="preserve"> </m:t>
        </m:r>
        <m:r>
          <m:rPr>
            <m:nor/>
            <m:sty m:val="p"/>
          </m:rPr>
          <w:rPr>
            <w:rFonts w:hint="default" w:ascii="Times New Roman" w:hAnsi="Times New Roman" w:cs="Times New Roman"/>
            <w:b w:val="0"/>
            <w:i w:val="0"/>
            <w:sz w:val="16"/>
            <w:szCs w:val="24"/>
            <w:lang w:val="en-US" w:bidi="ar-SA"/>
          </w:rPr>
          <m:t>50</m:t>
        </m:r>
      </m:oMath>
      <w:r>
        <w:rPr>
          <w:rFonts w:hint="eastAsia"/>
        </w:rPr>
        <w:t xml:space="preserve"> (below 2.6% of permutations), and 0.057 at </w:t>
      </w:r>
      <m:oMath>
        <m:r>
          <m:rPr>
            <m:nor/>
          </m:rPr>
          <w:rPr>
            <w:rFonts w:hint="default" w:ascii="Times New Roman" w:hAnsi="Times New Roman" w:cs="Times New Roman"/>
            <w:i/>
            <w:iCs/>
            <w:sz w:val="16"/>
            <w:szCs w:val="24"/>
            <w:lang w:val="en-US" w:bidi="ar-SA"/>
          </w:rPr>
          <m:t>x</m:t>
        </m:r>
        <m:r>
          <m:rPr>
            <m:nor/>
            <m:sty m:val="p"/>
          </m:rPr>
          <w:rPr>
            <w:rFonts w:hint="default" w:eastAsia="宋体" w:cs="Times New Roman"/>
            <w:b w:val="0"/>
            <w:i w:val="0"/>
            <w:sz w:val="16"/>
            <w:szCs w:val="24"/>
            <w:lang w:val="en-US" w:eastAsia="zh-CN" w:bidi="ar-SA"/>
          </w:rPr>
          <m:t xml:space="preserve"> </m:t>
        </m:r>
        <m:r>
          <m:rPr>
            <m:nor/>
            <m:sty m:val="p"/>
          </m:rPr>
          <w:rPr>
            <w:rFonts w:hint="default" w:ascii="Times New Roman" w:hAnsi="Times New Roman" w:cs="Times New Roman"/>
            <w:b w:val="0"/>
            <w:i w:val="0"/>
            <w:sz w:val="16"/>
            <w:szCs w:val="24"/>
            <w:lang w:val="en-US" w:bidi="ar-SA"/>
          </w:rPr>
          <m:t>=</m:t>
        </m:r>
        <m:r>
          <m:rPr>
            <m:nor/>
            <m:sty m:val="p"/>
          </m:rPr>
          <w:rPr>
            <w:rFonts w:hint="default" w:eastAsia="宋体" w:cs="Times New Roman"/>
            <w:b w:val="0"/>
            <w:i w:val="0"/>
            <w:sz w:val="16"/>
            <w:szCs w:val="24"/>
            <w:lang w:val="en-US" w:eastAsia="zh-CN" w:bidi="ar-SA"/>
          </w:rPr>
          <m:t xml:space="preserve"> </m:t>
        </m:r>
        <m:r>
          <m:rPr>
            <m:nor/>
            <m:sty m:val="p"/>
          </m:rPr>
          <w:rPr>
            <w:rFonts w:hint="default" w:ascii="Times New Roman" w:hAnsi="Times New Roman" w:cs="Times New Roman"/>
            <w:b w:val="0"/>
            <w:i w:val="0"/>
            <w:sz w:val="16"/>
            <w:szCs w:val="24"/>
            <w:lang w:val="en-US" w:bidi="ar-SA"/>
          </w:rPr>
          <m:t>85</m:t>
        </m:r>
      </m:oMath>
      <w:r>
        <w:rPr>
          <w:rFonts w:hint="eastAsia"/>
        </w:rPr>
        <w:t xml:space="preserve"> (not distinguishable from the permutation baseline), against permutation medians of about 0.02, while the differences between specimens are retained.</w:t>
      </w:r>
    </w:p>
    <w:p w14:paraId="31AC9281">
      <w:pPr>
        <w:pStyle w:val="46"/>
      </w:pPr>
      <w:r>
        <w:rPr>
          <w:b/>
        </w:rPr>
        <w:t>Keywords.</w:t>
      </w:r>
      <w:r>
        <w:t xml:space="preserve"> </w:t>
      </w:r>
      <w:r>
        <w:rPr>
          <w:rFonts w:hint="eastAsia"/>
        </w:rPr>
        <w:t>cross-institution alignment</w:t>
      </w:r>
      <w:r>
        <w:rPr>
          <w:rFonts w:hint="eastAsia" w:eastAsia="宋体"/>
          <w:lang w:val="en-US" w:eastAsia="zh-CN"/>
        </w:rPr>
        <w:t>,</w:t>
      </w:r>
      <w:r>
        <w:rPr>
          <w:rFonts w:hint="eastAsia"/>
        </w:rPr>
        <w:t xml:space="preserve"> lifetime normalisation</w:t>
      </w:r>
      <w:r>
        <w:rPr>
          <w:rFonts w:hint="eastAsia" w:eastAsia="宋体"/>
          <w:lang w:val="en-US" w:eastAsia="zh-CN"/>
        </w:rPr>
        <w:t>,</w:t>
      </w:r>
      <w:r>
        <w:rPr>
          <w:rFonts w:hint="eastAsia"/>
        </w:rPr>
        <w:t xml:space="preserve"> scale-free health indicator</w:t>
      </w:r>
      <w:r>
        <w:rPr>
          <w:rFonts w:hint="eastAsia" w:eastAsia="宋体"/>
          <w:lang w:val="en-US" w:eastAsia="zh-CN"/>
        </w:rPr>
        <w:t>,</w:t>
      </w:r>
      <w:r>
        <w:rPr>
          <w:rFonts w:hint="eastAsia"/>
        </w:rPr>
        <w:t xml:space="preserve"> acoustic emission</w:t>
      </w:r>
      <w:r>
        <w:rPr>
          <w:rFonts w:hint="eastAsia" w:eastAsia="宋体"/>
          <w:lang w:val="en-US" w:eastAsia="zh-CN"/>
        </w:rPr>
        <w:t>,</w:t>
      </w:r>
      <w:r>
        <w:rPr>
          <w:rFonts w:hint="eastAsia"/>
        </w:rPr>
        <w:t xml:space="preserve"> guided waves</w:t>
      </w:r>
      <w:r>
        <w:rPr>
          <w:rFonts w:hint="eastAsia" w:eastAsia="宋体"/>
          <w:lang w:val="en-US" w:eastAsia="zh-CN"/>
        </w:rPr>
        <w:t>,</w:t>
      </w:r>
      <w:r>
        <w:rPr>
          <w:rFonts w:hint="eastAsia"/>
        </w:rPr>
        <w:t xml:space="preserve"> fatigue monitoring</w:t>
      </w:r>
    </w:p>
    <w:p w14:paraId="1CA014AF">
      <w:pPr>
        <w:pStyle w:val="2"/>
        <w:rPr>
          <w:rFonts w:ascii="宋体" w:hAnsi="宋体" w:eastAsia="宋体" w:cs="宋体"/>
          <w:bCs w:val="0"/>
          <w:color w:val="FF0000"/>
          <w:kern w:val="0"/>
          <w:szCs w:val="20"/>
          <w:lang w:val="sk-SK" w:eastAsia="zh-CN"/>
        </w:rPr>
      </w:pPr>
      <w:r>
        <w:rPr>
          <w:szCs w:val="20"/>
        </w:rPr>
        <w:t>Introductio</w:t>
      </w:r>
      <w:r>
        <w:rPr>
          <w:rFonts w:hint="eastAsia" w:eastAsia="宋体"/>
          <w:szCs w:val="20"/>
          <w:lang w:val="en-US" w:eastAsia="zh-CN"/>
        </w:rPr>
        <w:t>n</w:t>
      </w:r>
    </w:p>
    <w:p w14:paraId="792EE413">
      <w:pPr>
        <w:pStyle w:val="3"/>
        <w:rPr>
          <w:rFonts w:hint="eastAsia"/>
          <w:lang w:val="sk-SK"/>
        </w:rPr>
      </w:pPr>
      <w:r>
        <w:rPr>
          <w:rFonts w:hint="eastAsia"/>
          <w:lang w:val="sk-SK"/>
        </w:rPr>
        <w:t>Stiffened composite panels in aircraft accumulate fatigue damage under cyclic loading and may also suffer foreign-object impact, so condition-based maintenance requires structural health monitoring (SHM) to track damage growth over the service life</w:t>
      </w:r>
      <w:r>
        <w:rPr>
          <w:rFonts w:hint="eastAsia" w:eastAsia="宋体"/>
          <w:lang w:val="en-US" w:eastAsia="zh-CN"/>
        </w:rPr>
        <w:t>.</w:t>
      </w:r>
      <w:r>
        <w:rPr>
          <w:rFonts w:hint="eastAsia"/>
          <w:vertAlign w:val="superscript"/>
          <w:lang w:val="sk-SK"/>
        </w:rPr>
        <w:fldChar w:fldCharType="begin"/>
      </w:r>
      <w:r>
        <w:rPr>
          <w:rFonts w:hint="eastAsia"/>
          <w:vertAlign w:val="superscript"/>
          <w:lang w:val="sk-SK"/>
        </w:rPr>
        <w:instrText xml:space="preserve"> REF _Ref26808 \r \h </w:instrText>
      </w:r>
      <w:r>
        <w:rPr>
          <w:rFonts w:hint="eastAsia"/>
          <w:vertAlign w:val="superscript"/>
          <w:lang w:val="sk-SK"/>
        </w:rPr>
        <w:fldChar w:fldCharType="separate"/>
      </w:r>
      <w:r>
        <w:rPr>
          <w:rFonts w:hint="eastAsia"/>
          <w:vertAlign w:val="superscript"/>
          <w:lang w:val="sk-SK"/>
        </w:rPr>
        <w:t>[1]</w:t>
      </w:r>
      <w:r>
        <w:rPr>
          <w:rFonts w:hint="eastAsia"/>
          <w:vertAlign w:val="superscript"/>
          <w:lang w:val="sk-SK"/>
        </w:rPr>
        <w:fldChar w:fldCharType="end"/>
      </w:r>
    </w:p>
    <w:p w14:paraId="0C7BDD4A">
      <w:pPr>
        <w:rPr>
          <w:rFonts w:hint="default"/>
          <w:vertAlign w:val="baseline"/>
          <w:lang w:val="en-US" w:eastAsia="zh-CN"/>
        </w:rPr>
      </w:pPr>
      <w:r>
        <w:rPr>
          <w:rFonts w:hint="default"/>
          <w:lang w:val="en-US" w:eastAsia="zh-CN"/>
        </w:rPr>
        <w:t>Acoustic emission (AE) and guided-wave (Lamb wave) inspection are two widely adopted modalities for this task,</w:t>
      </w:r>
      <w:r>
        <w:rPr>
          <w:rFonts w:hint="eastAsia"/>
          <w:vertAlign w:val="superscript"/>
          <w:lang w:val="en-US" w:eastAsia="zh-CN"/>
        </w:rPr>
        <w:fldChar w:fldCharType="begin"/>
      </w:r>
      <w:r>
        <w:rPr>
          <w:rFonts w:hint="eastAsia"/>
          <w:vertAlign w:val="superscript"/>
          <w:lang w:val="en-US" w:eastAsia="zh-CN"/>
        </w:rPr>
        <w:instrText xml:space="preserve"> REF _Ref26945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_Ref26981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default"/>
          <w:lang w:val="en-US" w:eastAsia="zh-CN"/>
        </w:rPr>
        <w:t xml:space="preserve"> and distributed fibre-optic strain sensing follows them.</w:t>
      </w:r>
      <w:r>
        <w:rPr>
          <w:rFonts w:hint="eastAsia"/>
          <w:vertAlign w:val="superscript"/>
          <w:lang w:val="en-US" w:eastAsia="zh-CN"/>
        </w:rPr>
        <w:fldChar w:fldCharType="begin"/>
      </w:r>
      <w:r>
        <w:rPr>
          <w:rFonts w:hint="eastAsia"/>
          <w:vertAlign w:val="superscript"/>
          <w:lang w:val="en-US" w:eastAsia="zh-CN"/>
        </w:rPr>
        <w:instrText xml:space="preserve"> REF _Ref27393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default"/>
          <w:lang w:val="en-US" w:eastAsia="zh-CN"/>
        </w:rPr>
        <w:t xml:space="preserve"> All three read the record against an absolute threshold, with an alarm raised once a monitored quantity exceeds a value fixed in advance for the specimen or for the campaign.</w:t>
      </w:r>
      <w:r>
        <w:rPr>
          <w:rFonts w:hint="eastAsia"/>
          <w:vertAlign w:val="superscript"/>
          <w:lang w:val="en-US" w:eastAsia="zh-CN"/>
        </w:rPr>
        <w:fldChar w:fldCharType="begin"/>
      </w:r>
      <w:r>
        <w:rPr>
          <w:rFonts w:hint="eastAsia"/>
          <w:vertAlign w:val="superscript"/>
          <w:lang w:val="en-US" w:eastAsia="zh-CN"/>
        </w:rPr>
        <w:instrText xml:space="preserve"> REF _Ref27445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p>
    <w:p w14:paraId="2C81ECFE">
      <w:pPr>
        <w:rPr>
          <w:rFonts w:hint="default"/>
          <w:lang w:val="en-US" w:eastAsia="zh-CN"/>
        </w:rPr>
      </w:pPr>
      <w:r>
        <w:rPr>
          <w:rFonts w:hint="default"/>
          <w:lang w:val="en-US" w:eastAsia="zh-CN"/>
        </w:rPr>
        <w:t>When records from several campaigns are brought together, as happens more and more often in data-driven SHM,</w:t>
      </w:r>
      <w:r>
        <w:rPr>
          <w:rFonts w:hint="eastAsia"/>
          <w:vertAlign w:val="superscript"/>
          <w:lang w:val="en-US" w:eastAsia="zh-CN"/>
        </w:rPr>
        <w:fldChar w:fldCharType="begin"/>
      </w:r>
      <w:r>
        <w:rPr>
          <w:rFonts w:hint="eastAsia"/>
          <w:vertAlign w:val="superscript"/>
          <w:lang w:val="en-US" w:eastAsia="zh-CN"/>
        </w:rPr>
        <w:instrText xml:space="preserve"> REF _Ref27726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default"/>
          <w:lang w:val="en-US" w:eastAsia="zh-CN"/>
        </w:rPr>
        <w:t xml:space="preserve"> two obstacles appear. The first concerns the horizontal axis, because the campaigns were run at different times, with different acquisition intervals and loading types, so they share no wall-clock axis on which damage progress could be compared and one has to be defined. The second concerns the vertical axis, because absolute magnitudes are not transferable. The gain and the detection threshold are set per campaign, so a threshold calibrated on historical specimens will not carry over to a new one.</w:t>
      </w:r>
      <w:r>
        <w:rPr>
          <w:rFonts w:hint="eastAsia"/>
          <w:vertAlign w:val="superscript"/>
          <w:lang w:val="en-US" w:eastAsia="zh-CN"/>
        </w:rPr>
        <w:fldChar w:fldCharType="begin"/>
      </w:r>
      <w:r>
        <w:rPr>
          <w:rFonts w:hint="eastAsia"/>
          <w:vertAlign w:val="superscript"/>
          <w:lang w:val="en-US" w:eastAsia="zh-CN"/>
        </w:rPr>
        <w:instrText xml:space="preserve"> REF _Ref26945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_Ref27445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p>
    <w:p w14:paraId="5C253E03">
      <w:pPr>
        <w:rPr>
          <w:rFonts w:hint="default"/>
          <w:lang w:val="en-US" w:eastAsia="zh-CN"/>
        </w:rPr>
      </w:pPr>
      <w:r>
        <w:rPr>
          <w:rFonts w:hint="default"/>
          <w:lang w:val="en-US" w:eastAsia="zh-CN"/>
        </w:rPr>
        <w:t>Normalised criteria such as monotonicity, trendability and prognosability are already used to rank candidate indicators,</w:t>
      </w:r>
      <w:r>
        <w:rPr>
          <w:rFonts w:hint="eastAsia"/>
          <w:vertAlign w:val="superscript"/>
          <w:lang w:val="en-US" w:eastAsia="zh-CN"/>
        </w:rPr>
        <w:fldChar w:fldCharType="begin"/>
      </w:r>
      <w:r>
        <w:rPr>
          <w:rFonts w:hint="eastAsia"/>
          <w:vertAlign w:val="superscript"/>
          <w:lang w:val="en-US" w:eastAsia="zh-CN"/>
        </w:rPr>
        <w:instrText xml:space="preserve"> REF _Ref27935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default"/>
          <w:lang w:val="en-US" w:eastAsia="zh-CN"/>
        </w:rPr>
        <w:t xml:space="preserve"> and multi-institution datasets are increasingly assembled,</w:t>
      </w:r>
      <w:r>
        <w:rPr>
          <w:rFonts w:hint="eastAsia"/>
          <w:vertAlign w:val="superscript"/>
          <w:lang w:val="en-US" w:eastAsia="zh-CN"/>
        </w:rPr>
        <w:fldChar w:fldCharType="begin"/>
      </w:r>
      <w:r>
        <w:rPr>
          <w:rFonts w:hint="eastAsia"/>
          <w:vertAlign w:val="superscript"/>
          <w:lang w:val="en-US" w:eastAsia="zh-CN"/>
        </w:rPr>
        <w:instrText xml:space="preserve"> REF _Ref28010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_Ref28042 \r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default"/>
          <w:lang w:val="en-US" w:eastAsia="zh-CN"/>
        </w:rPr>
        <w:t xml:space="preserve"> so comparability across institutions is a practical requirement rather than a theoretical one.</w:t>
      </w:r>
    </w:p>
    <w:p w14:paraId="7528992C">
      <w:pPr>
        <w:rPr>
          <w:rFonts w:hint="default"/>
          <w:lang w:val="en-US" w:eastAsia="zh-CN"/>
        </w:rPr>
      </w:pPr>
      <w:r>
        <w:rPr>
          <w:rFonts w:hint="default"/>
          <w:lang w:val="en-US" w:eastAsia="zh-CN"/>
        </w:rPr>
        <w:t xml:space="preserve">This paper addresses both obstacles with a protocol that renders data from different institutions mutually comparable, rather than with another damage-detection algorithm. The horizontal axis turns every measurement into a normalised lifetime fraction, taken from the acquisition interval documented in the experiment sheets, and the vertical axis replaces the absolute threshold with a scale-free indicator, SNHI, the lifetime fraction at which the self-normalised cumulative curve has reached </w:t>
      </w:r>
      <w:r>
        <w:rPr>
          <w:rFonts w:hint="default"/>
          <w:i/>
          <w:iCs/>
          <w:lang w:val="en-US" w:eastAsia="zh-CN"/>
        </w:rPr>
        <w:t>x</w:t>
      </w:r>
      <w:r>
        <w:rPr>
          <w:rFonts w:hint="default"/>
          <w:lang w:val="en-US" w:eastAsia="zh-CN"/>
        </w:rPr>
        <w:t>% of its final value. The protocol is demonstrated on 29 acoustic-emission and 17 guided-wave specimens from the publicly available ReMAP dataset,</w:t>
      </w:r>
      <w:r>
        <w:rPr>
          <w:rFonts w:hint="eastAsia"/>
          <w:vertAlign w:val="superscript"/>
          <w:lang w:val="en-US" w:eastAsia="zh-CN"/>
        </w:rPr>
        <w:fldChar w:fldCharType="begin"/>
      </w:r>
      <w:r>
        <w:rPr>
          <w:rFonts w:hint="eastAsia"/>
          <w:vertAlign w:val="superscript"/>
          <w:lang w:val="en-US" w:eastAsia="zh-CN"/>
        </w:rPr>
        <w:instrText xml:space="preserve"> REF _Ref28176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_Ref28199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_Ref28219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_Ref28248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default"/>
          <w:lang w:val="en-US" w:eastAsia="zh-CN"/>
        </w:rPr>
        <w:t xml:space="preserve"> recorded with a Vallen and a Mistras system.</w:t>
      </w:r>
    </w:p>
    <w:p w14:paraId="14CD6740">
      <w:pPr>
        <w:pStyle w:val="2"/>
        <w:rPr>
          <w:szCs w:val="20"/>
          <w:lang w:eastAsia="en-US"/>
        </w:rPr>
      </w:pPr>
      <w:r>
        <w:rPr>
          <w:rFonts w:hint="eastAsia"/>
          <w:lang w:eastAsia="en-US"/>
        </w:rPr>
        <w:t>The Cross-Institution Alignment Protocol</w:t>
      </w:r>
    </w:p>
    <w:p w14:paraId="1558D1D1">
      <w:pPr>
        <w:pStyle w:val="3"/>
        <w:rPr>
          <w:rFonts w:hint="eastAsia"/>
        </w:rPr>
      </w:pPr>
      <w:r>
        <w:rPr>
          <w:rFonts w:hint="eastAsia"/>
        </w:rPr>
        <w:t>Two axes have to be made comparable before records from different institutions can be plotted together, and the protocol treats them separately.</w:t>
      </w:r>
      <w:r>
        <w:rPr>
          <w:rFonts w:hint="eastAsia" w:eastAsia="宋体"/>
          <w:lang w:val="en-US" w:eastAsia="zh-CN"/>
        </w:rPr>
        <w:t xml:space="preserve"> </w:t>
      </w:r>
      <w:r>
        <w:rPr>
          <w:rFonts w:hint="eastAsia"/>
          <w:color w:val="000000" w:themeColor="text1"/>
          <w:u w:val="none"/>
          <w14:textFill>
            <w14:solidFill>
              <w14:schemeClr w14:val="tx1"/>
            </w14:solidFill>
          </w14:textFill>
        </w:rPr>
        <w:fldChar w:fldCharType="begin"/>
      </w:r>
      <w:r>
        <w:rPr>
          <w:rFonts w:hint="eastAsia"/>
          <w:color w:val="000000" w:themeColor="text1"/>
          <w:u w:val="none"/>
          <w14:textFill>
            <w14:solidFill>
              <w14:schemeClr w14:val="tx1"/>
            </w14:solidFill>
          </w14:textFill>
        </w:rPr>
        <w:instrText xml:space="preserve"> HYPERLINK \l "_Lifetime Axis Reconstruction" </w:instrText>
      </w:r>
      <w:r>
        <w:rPr>
          <w:rFonts w:hint="eastAsia"/>
          <w:color w:val="000000" w:themeColor="text1"/>
          <w:u w:val="none"/>
          <w14:textFill>
            <w14:solidFill>
              <w14:schemeClr w14:val="tx1"/>
            </w14:solidFill>
          </w14:textFill>
        </w:rPr>
        <w:fldChar w:fldCharType="separate"/>
      </w:r>
      <w:r>
        <w:rPr>
          <w:rStyle w:val="22"/>
          <w:rFonts w:hint="eastAsia"/>
        </w:rPr>
        <w:t>2.1</w:t>
      </w:r>
      <w:r>
        <w:rPr>
          <w:rFonts w:hint="eastAsia"/>
          <w:color w:val="000000" w:themeColor="text1"/>
          <w:u w:val="none"/>
          <w14:textFill>
            <w14:solidFill>
              <w14:schemeClr w14:val="tx1"/>
            </w14:solidFill>
          </w14:textFill>
        </w:rPr>
        <w:fldChar w:fldCharType="end"/>
      </w:r>
      <w:r>
        <w:rPr>
          <w:rFonts w:hint="eastAsia"/>
        </w:rPr>
        <w:t xml:space="preserve"> defines the horizontal axis, a normalised lifetime fraction obtained from the acquisition documentation. </w:t>
      </w:r>
      <w:r>
        <w:rPr>
          <w:rStyle w:val="23"/>
          <w:rFonts w:hint="eastAsia"/>
        </w:rPr>
        <w:fldChar w:fldCharType="begin"/>
      </w:r>
      <w:r>
        <w:rPr>
          <w:rStyle w:val="23"/>
          <w:rFonts w:hint="eastAsia"/>
        </w:rPr>
        <w:instrText xml:space="preserve"> HYPERLINK \l "_The Scale-Free Indicator SNHI" </w:instrText>
      </w:r>
      <w:r>
        <w:rPr>
          <w:rStyle w:val="23"/>
          <w:rFonts w:hint="eastAsia"/>
        </w:rPr>
        <w:fldChar w:fldCharType="separate"/>
      </w:r>
      <w:r>
        <w:rPr>
          <w:rStyle w:val="22"/>
          <w:rFonts w:hint="eastAsia"/>
        </w:rPr>
        <w:t>2.2</w:t>
      </w:r>
      <w:r>
        <w:rPr>
          <w:rStyle w:val="23"/>
          <w:rFonts w:hint="eastAsia"/>
        </w:rPr>
        <w:fldChar w:fldCharType="end"/>
      </w:r>
      <w:r>
        <w:rPr>
          <w:rFonts w:hint="eastAsia"/>
        </w:rPr>
        <w:t xml:space="preserve"> defines the vertical axis, a scale-free indicator that removes the dependence on any absolute magnitude. </w:t>
      </w:r>
      <w:r>
        <w:fldChar w:fldCharType="begin"/>
      </w:r>
      <w:r>
        <w:instrText xml:space="preserve"> REF _Fig1 \h </w:instrText>
      </w:r>
      <w:r>
        <w:fldChar w:fldCharType="separate"/>
      </w:r>
      <w:r>
        <w:rPr>
          <w:rFonts w:hint="eastAsia"/>
          <w:b/>
          <w:bCs/>
        </w:rPr>
        <w:t>Figure 1</w:t>
      </w:r>
      <w:r>
        <w:rPr>
          <w:rFonts w:hint="eastAsia"/>
          <w:b/>
          <w:bCs/>
        </w:rPr>
        <w:fldChar w:fldCharType="end"/>
      </w:r>
      <w:r>
        <w:rPr>
          <w:rFonts w:hint="eastAsia"/>
        </w:rPr>
        <w:t xml:space="preserve"> summarises the flow.</w:t>
      </w:r>
    </w:p>
    <w:p w14:paraId="2F4258FE">
      <w:pPr>
        <w:ind w:left="0" w:leftChars="0" w:right="0" w:rightChars="0" w:firstLine="0" w:firstLineChars="0"/>
        <w:jc w:val="center"/>
      </w:pPr>
      <w:r>
        <w:drawing>
          <wp:inline distT="0" distB="0" distL="114300" distR="114300">
            <wp:extent cx="4460875" cy="1497330"/>
            <wp:effectExtent l="0" t="0" r="444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60875" cy="1497330"/>
                    </a:xfrm>
                    <a:prstGeom prst="rect">
                      <a:avLst/>
                    </a:prstGeom>
                    <a:noFill/>
                    <a:ln>
                      <a:noFill/>
                    </a:ln>
                  </pic:spPr>
                </pic:pic>
              </a:graphicData>
            </a:graphic>
          </wp:inline>
        </w:drawing>
      </w:r>
    </w:p>
    <w:p w14:paraId="3A2F4AE5">
      <w:pPr>
        <w:pStyle w:val="44"/>
        <w:bidi w:val="0"/>
        <w:rPr>
          <w:szCs w:val="20"/>
          <w:lang w:eastAsia="en-US"/>
        </w:rPr>
      </w:pPr>
      <w:bookmarkStart w:id="0" w:name="_Fig1"/>
      <w:r>
        <w:rPr>
          <w:rFonts w:hint="eastAsia" w:eastAsia="宋体"/>
          <w:b/>
          <w:bCs/>
          <w:lang w:val="en-US" w:eastAsia="zh-CN"/>
        </w:rPr>
        <w:t>Figure 1</w:t>
      </w:r>
      <w:bookmarkEnd w:id="0"/>
      <w:r>
        <w:rPr>
          <w:rFonts w:hint="eastAsia" w:eastAsia="宋体"/>
          <w:b/>
          <w:bCs/>
          <w:lang w:val="en-US" w:eastAsia="zh-CN"/>
        </w:rPr>
        <w:t>.</w:t>
      </w:r>
      <w:r>
        <w:rPr>
          <w:rFonts w:hint="eastAsia" w:eastAsia="宋体"/>
          <w:lang w:val="en-US" w:eastAsia="zh-CN"/>
        </w:rPr>
        <w:t xml:space="preserve"> The two axes of the protocol.</w:t>
      </w:r>
      <w:bookmarkStart w:id="1" w:name="_Heading"/>
    </w:p>
    <w:p w14:paraId="3F4FE9E1">
      <w:pPr>
        <w:pStyle w:val="4"/>
        <w:rPr>
          <w:szCs w:val="20"/>
          <w:lang w:eastAsia="en-US"/>
        </w:rPr>
      </w:pPr>
      <w:bookmarkStart w:id="2" w:name="_Lifetime Axis Reconstruction"/>
      <w:r>
        <w:rPr>
          <w:rFonts w:hint="eastAsia" w:eastAsia="宋体"/>
          <w:szCs w:val="20"/>
          <w:lang w:val="en-US" w:eastAsia="zh-CN"/>
        </w:rPr>
        <w:t>Lifetime Axis Reconstruction</w:t>
      </w:r>
    </w:p>
    <w:bookmarkEnd w:id="1"/>
    <w:bookmarkEnd w:id="2"/>
    <w:p w14:paraId="260F21ED">
      <w:pPr>
        <w:pStyle w:val="3"/>
        <w:rPr>
          <w:rFonts w:hint="eastAsia"/>
        </w:rPr>
      </w:pPr>
      <w:r>
        <w:rPr>
          <w:rFonts w:hint="eastAsia"/>
        </w:rPr>
        <w:t>The four campaigns analysed here were published as separate dataset records.</w:t>
      </w:r>
      <w:r>
        <w:rPr>
          <w:rFonts w:hint="eastAsia"/>
          <w:vertAlign w:val="superscript"/>
          <w:lang w:val="en-US" w:eastAsia="zh-CN"/>
        </w:rPr>
        <w:fldChar w:fldCharType="begin"/>
      </w:r>
      <w:r>
        <w:rPr>
          <w:rFonts w:hint="eastAsia"/>
          <w:vertAlign w:val="superscript"/>
          <w:lang w:val="en-US" w:eastAsia="zh-CN"/>
        </w:rPr>
        <w:instrText xml:space="preserve"> REF _Ref28176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_Ref28199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_Ref28219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_Ref28248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rPr>
        <w:t xml:space="preserve"> They were run at different times, they do not overlap, and no specimen was measured by more than one laboratory. The labels C1 to C4 are introduced in this work and group the campaigns by loading and instrumentation; they do not follow the series numbering of the records. Their absolute time stamps therefore cannot be placed on a common scale. What they do share is the specimen itself, a single-stiffener carbon-epoxy panel, 165</w:t>
      </w:r>
      <w:r>
        <w:rPr>
          <w:rFonts w:hint="eastAsia" w:eastAsia="宋体"/>
          <w:lang w:val="en-US" w:eastAsia="zh-CN"/>
        </w:rPr>
        <w:t xml:space="preserve"> </w:t>
      </w:r>
      <w:r>
        <w:rPr>
          <w:rFonts w:hint="eastAsia"/>
        </w:rPr>
        <w:t>mm by 243 mm, carrying acoustic-emission sensors, a guided-wave transducer array, fibre Bragg gratings (FBG) and distributed strain sensing (</w:t>
      </w:r>
      <w:r>
        <w:fldChar w:fldCharType="begin"/>
      </w:r>
      <w:r>
        <w:instrText xml:space="preserve"> REF _Fig2 \h </w:instrText>
      </w:r>
      <w:r>
        <w:fldChar w:fldCharType="separate"/>
      </w:r>
      <w:r>
        <w:rPr>
          <w:rFonts w:hint="eastAsia"/>
          <w:b/>
          <w:bCs/>
        </w:rPr>
        <w:t>Figure 2</w:t>
      </w:r>
      <w:r>
        <w:rPr>
          <w:rFonts w:hint="eastAsia"/>
          <w:b/>
          <w:bCs/>
        </w:rPr>
        <w:fldChar w:fldCharType="end"/>
      </w:r>
      <w:r>
        <w:rPr>
          <w:rFonts w:hint="eastAsia"/>
        </w:rPr>
        <w:t>).</w:t>
      </w:r>
    </w:p>
    <w:p w14:paraId="69D99A0C">
      <w:pPr>
        <w:ind w:left="0" w:leftChars="0" w:right="0" w:rightChars="0" w:firstLine="0" w:firstLineChars="0"/>
        <w:jc w:val="center"/>
      </w:pPr>
      <w:r>
        <w:drawing>
          <wp:inline distT="0" distB="0" distL="114300" distR="114300">
            <wp:extent cx="4460875" cy="1879600"/>
            <wp:effectExtent l="0" t="0" r="444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460875" cy="1879600"/>
                    </a:xfrm>
                    <a:prstGeom prst="rect">
                      <a:avLst/>
                    </a:prstGeom>
                    <a:noFill/>
                    <a:ln>
                      <a:noFill/>
                    </a:ln>
                  </pic:spPr>
                </pic:pic>
              </a:graphicData>
            </a:graphic>
          </wp:inline>
        </w:drawing>
      </w:r>
    </w:p>
    <w:p w14:paraId="63C94DE3">
      <w:pPr>
        <w:pStyle w:val="44"/>
        <w:bidi w:val="0"/>
      </w:pPr>
      <w:bookmarkStart w:id="3" w:name="_Fig2"/>
      <w:r>
        <w:rPr>
          <w:rFonts w:hint="eastAsia" w:eastAsia="宋体"/>
          <w:b/>
          <w:bCs/>
          <w:lang w:val="en-US" w:eastAsia="zh-CN"/>
        </w:rPr>
        <w:t>Figure 2</w:t>
      </w:r>
      <w:bookmarkEnd w:id="3"/>
      <w:r>
        <w:rPr>
          <w:rFonts w:hint="eastAsia" w:eastAsia="宋体"/>
          <w:b/>
          <w:bCs/>
          <w:lang w:val="en-US" w:eastAsia="zh-CN"/>
        </w:rPr>
        <w:t>.</w:t>
      </w:r>
      <w:r>
        <w:rPr>
          <w:rFonts w:hint="eastAsia" w:eastAsia="宋体"/>
          <w:lang w:val="en-US" w:eastAsia="zh-CN"/>
        </w:rPr>
        <w:t xml:space="preserve"> Specimen and instrumentation.</w:t>
      </w:r>
    </w:p>
    <w:p w14:paraId="030FCDAE">
      <w:pPr>
        <w:rPr>
          <w:rFonts w:hint="eastAsia"/>
        </w:rPr>
      </w:pPr>
      <w:r>
        <w:rPr>
          <w:rFonts w:hint="eastAsia"/>
        </w:rPr>
        <w:t>Two further differences make a wall-clock axis unsuitable in principle. The acquisition interval also differs, at 5000 cycles in the campaigns of the first laboratory and 5200 in those of the second, and the loading covers constant, variable and spectrum amplitude, so a given span of wall-clock time corresponds to a different amount of fatigue life in each campaign.</w:t>
      </w:r>
    </w:p>
    <w:p w14:paraId="4660FA6E">
      <w:pPr>
        <w:rPr>
          <w:rFonts w:hint="eastAsia"/>
        </w:rPr>
      </w:pPr>
      <w:r>
        <w:rPr>
          <w:rFonts w:hint="eastAsia"/>
        </w:rPr>
        <w:t>For these reasons the horizontal axis is defined as a normalised lifetime fraction,</w:t>
      </w:r>
    </w:p>
    <w:p w14:paraId="4A733361">
      <w:pPr>
        <w:pStyle w:val="28"/>
      </w:pPr>
      <m:oMath>
        <m:r>
          <m:rPr>
            <m:nor/>
            <m:sty m:val="p"/>
          </m:rPr>
          <w:rPr>
            <w:rFonts w:hint="default" w:ascii="Times New Roman" w:hAnsi="Times New Roman" w:eastAsia="宋体" w:cs="Times New Roman"/>
            <w:b w:val="0"/>
            <w:i w:val="0"/>
            <w:iCs/>
            <w:szCs w:val="24"/>
            <w:lang w:val="en-US" w:eastAsia="zh-CN" w:bidi="ar-SA"/>
          </w:rPr>
          <m:t>lifetime fraction</m:t>
        </m:r>
        <m:r>
          <m:rPr>
            <m:nor/>
            <m:sty m:val="p"/>
          </m:rPr>
          <w:rPr>
            <w:rFonts w:hint="default" w:ascii="Times New Roman" w:hAnsi="Times New Roman" w:eastAsia="宋体" w:cs="Times New Roman"/>
            <w:b w:val="0"/>
            <w:i w:val="0"/>
            <w:szCs w:val="24"/>
            <w:lang w:val="en-US" w:eastAsia="zh-CN" w:bidi="ar-SA"/>
          </w:rPr>
          <m:t>=</m:t>
        </m:r>
        <m:f>
          <m:fPr>
            <m:ctrlPr>
              <w:rPr>
                <w:rFonts w:hint="default" w:ascii="Cambria Math" w:hAnsi="Cambria Math" w:eastAsia="宋体" w:cs="Times New Roman"/>
                <w:i/>
                <w:szCs w:val="24"/>
                <w:lang w:val="en-US" w:eastAsia="zh-CN" w:bidi="ar-SA"/>
              </w:rPr>
            </m:ctrlPr>
          </m:fPr>
          <m:num>
            <m:r>
              <m:rPr>
                <m:nor/>
                <m:sty m:val="p"/>
              </m:rPr>
              <w:rPr>
                <w:rFonts w:hint="default" w:ascii="Times New Roman" w:hAnsi="Times New Roman" w:eastAsia="宋体" w:cs="Times New Roman"/>
                <w:b w:val="0"/>
                <w:i w:val="0"/>
                <w:iCs/>
                <w:szCs w:val="24"/>
                <w:lang w:val="en-US" w:eastAsia="zh-CN" w:bidi="ar-SA"/>
              </w:rPr>
              <m:t>state index</m:t>
            </m:r>
            <m:r>
              <m:rPr>
                <m:nor/>
                <m:sty m:val="p"/>
              </m:rPr>
              <w:rPr>
                <w:rFonts w:hint="default" w:ascii="Times New Roman" w:hAnsi="Times New Roman" w:cs="Times New Roman"/>
                <w:b w:val="0"/>
                <w:i w:val="0"/>
                <w:szCs w:val="24"/>
                <w:lang w:val="en-US" w:bidi="ar-SA"/>
              </w:rPr>
              <m:t>×</m:t>
            </m:r>
            <m:r>
              <m:rPr>
                <m:nor/>
                <m:sty m:val="p"/>
              </m:rPr>
              <w:rPr>
                <w:rFonts w:hint="default" w:ascii="Times New Roman" w:hAnsi="Times New Roman" w:eastAsia="宋体" w:cs="Times New Roman"/>
                <w:b w:val="0"/>
                <w:i w:val="0"/>
                <w:iCs/>
                <w:szCs w:val="24"/>
                <w:lang w:val="en-US" w:eastAsia="zh-CN" w:bidi="ar-SA"/>
              </w:rPr>
              <m:t>documented acquisition interval</m:t>
            </m:r>
            <m:ctrlPr>
              <w:rPr>
                <w:rFonts w:hint="default" w:ascii="Cambria Math" w:hAnsi="Cambria Math" w:eastAsia="宋体" w:cs="Times New Roman"/>
                <w:i/>
                <w:szCs w:val="24"/>
                <w:lang w:val="en-US" w:eastAsia="zh-CN" w:bidi="ar-SA"/>
              </w:rPr>
            </m:ctrlPr>
          </m:num>
          <m:den>
            <m:sSub>
              <m:sSubPr>
                <m:ctrlPr>
                  <w:rPr>
                    <w:rFonts w:hint="default" w:ascii="Cambria Math" w:hAnsi="Cambria Math" w:eastAsia="宋体" w:cs="Times New Roman"/>
                    <w:i/>
                    <w:szCs w:val="24"/>
                    <w:lang w:val="en-US" w:eastAsia="zh-CN" w:bidi="ar-SA"/>
                  </w:rPr>
                </m:ctrlPr>
              </m:sSubPr>
              <m:e>
                <m:r>
                  <m:rPr>
                    <m:nor/>
                  </m:rPr>
                  <w:rPr>
                    <w:rFonts w:hint="default" w:ascii="Times New Roman" w:hAnsi="Times New Roman" w:eastAsia="宋体" w:cs="Times New Roman"/>
                    <w:i/>
                    <w:szCs w:val="24"/>
                    <w:lang w:val="en-US" w:eastAsia="zh-CN" w:bidi="ar-SA"/>
                  </w:rPr>
                  <m:t>n</m:t>
                </m:r>
                <m:ctrlPr>
                  <w:rPr>
                    <w:rFonts w:hint="default" w:ascii="Cambria Math" w:hAnsi="Cambria Math" w:eastAsia="宋体" w:cs="Times New Roman"/>
                    <w:i/>
                    <w:szCs w:val="24"/>
                    <w:lang w:val="en-US" w:eastAsia="zh-CN" w:bidi="ar-SA"/>
                  </w:rPr>
                </m:ctrlPr>
              </m:e>
              <m:sub>
                <m:r>
                  <m:rPr>
                    <m:nor/>
                  </m:rPr>
                  <w:rPr>
                    <w:rFonts w:hint="default" w:ascii="Times New Roman" w:hAnsi="Times New Roman" w:eastAsia="宋体" w:cs="Times New Roman"/>
                    <w:i/>
                    <w:szCs w:val="24"/>
                    <w:lang w:val="en-US" w:eastAsia="zh-CN" w:bidi="ar-SA"/>
                  </w:rPr>
                  <m:t>f</m:t>
                </m:r>
                <m:ctrlPr>
                  <w:rPr>
                    <w:rFonts w:hint="default" w:ascii="Cambria Math" w:hAnsi="Cambria Math" w:eastAsia="宋体" w:cs="Times New Roman"/>
                    <w:i/>
                    <w:szCs w:val="24"/>
                    <w:lang w:val="en-US" w:eastAsia="zh-CN" w:bidi="ar-SA"/>
                  </w:rPr>
                </m:ctrlPr>
              </m:sub>
            </m:sSub>
            <m:ctrlPr>
              <w:rPr>
                <w:rFonts w:hint="default" w:ascii="Cambria Math" w:hAnsi="Cambria Math" w:eastAsia="宋体" w:cs="Times New Roman"/>
                <w:i/>
                <w:szCs w:val="24"/>
                <w:lang w:val="en-US" w:eastAsia="zh-CN" w:bidi="ar-SA"/>
              </w:rPr>
            </m:ctrlPr>
          </m:den>
        </m:f>
      </m:oMath>
      <w:r>
        <w:tab/>
      </w:r>
      <w:r>
        <w:t>(1)</w:t>
      </w:r>
    </w:p>
    <w:p w14:paraId="7EDBE246">
      <w:pPr>
        <w:pStyle w:val="3"/>
        <w:bidi w:val="0"/>
        <w:rPr>
          <w:rFonts w:hint="eastAsia"/>
        </w:rPr>
      </w:pPr>
      <w:r>
        <w:rPr>
          <w:rFonts w:hint="eastAsia"/>
        </w:rPr>
        <w:t xml:space="preserve">with </w:t>
      </w:r>
      <m:oMath>
        <m:sSub>
          <m:sSubPr>
            <m:ctrlPr>
              <w:rPr>
                <w:rFonts w:hint="default" w:ascii="Cambria Math" w:hAnsi="Cambria Math" w:cs="Times New Roman"/>
                <w:i/>
                <w:iCs/>
              </w:rPr>
            </m:ctrlPr>
          </m:sSubPr>
          <m:e>
            <m:r>
              <m:rPr>
                <m:nor/>
              </m:rPr>
              <w:rPr>
                <w:rFonts w:hint="default" w:ascii="Times New Roman" w:hAnsi="Times New Roman" w:cs="Times New Roman"/>
                <w:i/>
                <w:iCs/>
                <w:lang w:val="en-US" w:eastAsia="zh-CN"/>
              </w:rPr>
              <m:t>n</m:t>
            </m:r>
            <m:ctrlPr>
              <w:rPr>
                <w:rFonts w:hint="default" w:ascii="Cambria Math" w:hAnsi="Cambria Math" w:cs="Times New Roman"/>
                <w:i/>
                <w:iCs/>
              </w:rPr>
            </m:ctrlPr>
          </m:e>
          <m:sub>
            <m:r>
              <m:rPr>
                <m:nor/>
              </m:rPr>
              <w:rPr>
                <w:rFonts w:hint="default" w:ascii="Times New Roman" w:hAnsi="Times New Roman" w:cs="Times New Roman"/>
                <w:i/>
                <w:iCs/>
                <w:lang w:val="en-US" w:eastAsia="zh-CN"/>
              </w:rPr>
              <m:t>f</m:t>
            </m:r>
            <m:ctrlPr>
              <w:rPr>
                <w:rFonts w:hint="default" w:ascii="Cambria Math" w:hAnsi="Cambria Math" w:cs="Times New Roman"/>
                <w:i/>
                <w:iCs/>
              </w:rPr>
            </m:ctrlPr>
          </m:sub>
        </m:sSub>
      </m:oMath>
      <w:r>
        <w:rPr>
          <w:rFonts w:hint="eastAsia"/>
        </w:rPr>
        <w:t xml:space="preserve"> the number of cycles at failure of the specimen and the state index the position of the record in the acquisition sequence. Both inputs are taken from the acquisition documentation rather than from the stored time stamps.</w:t>
      </w:r>
    </w:p>
    <w:p w14:paraId="3B27E0DE">
      <w:pPr>
        <w:bidi w:val="0"/>
        <w:rPr>
          <w:rFonts w:hint="eastAsia"/>
        </w:rPr>
      </w:pPr>
      <w:r>
        <w:rPr>
          <w:rFonts w:hint="eastAsia"/>
        </w:rPr>
        <w:t>The definition can be checked against an independent record. Each testing machine kept its own cycle counter, from which the cycles at every acquisition session can be recovered. Along the record of each specimen, the lifetime fraction of Equation (1) and the machine cycle count order the acquisition states identically for 13 of the 14 specimens of the second laboratory, with a rank correlation between +0.993 and +1.000; the exception is a specimen whose session time stamps are out of order.</w:t>
      </w:r>
    </w:p>
    <w:p w14:paraId="7D0A5324">
      <w:pPr>
        <w:pStyle w:val="4"/>
        <w:keepNext w:val="0"/>
        <w:keepLines/>
        <w:pageBreakBefore w:val="0"/>
        <w:widowControl/>
        <w:kinsoku/>
        <w:wordWrap/>
        <w:overflowPunct/>
        <w:topLinePunct w:val="0"/>
        <w:autoSpaceDE/>
        <w:autoSpaceDN/>
        <w:bidi w:val="0"/>
        <w:adjustRightInd/>
        <w:snapToGrid/>
        <w:textAlignment w:val="auto"/>
        <w:rPr>
          <w:rFonts w:hint="eastAsia"/>
        </w:rPr>
      </w:pPr>
      <w:bookmarkStart w:id="4" w:name="_The Scale-Free Indicator SNHI"/>
      <w:r>
        <w:rPr>
          <w:rFonts w:hint="eastAsia" w:eastAsia="宋体"/>
          <w:lang w:val="en-US" w:eastAsia="zh-CN"/>
        </w:rPr>
        <w:t>The Scale-Free Indicator SNHI</w:t>
      </w:r>
    </w:p>
    <w:bookmarkEnd w:id="4"/>
    <w:p w14:paraId="3857606B">
      <w:pPr>
        <w:pStyle w:val="3"/>
        <w:rPr>
          <w:rFonts w:hint="eastAsia"/>
        </w:rPr>
      </w:pPr>
      <w:r>
        <w:rPr>
          <w:rFonts w:hint="eastAsia"/>
        </w:rPr>
        <w:t>Indicators used in fatigue monitoring are almost always read against an absolute threshold, and an absolute threshold has to be calibrated specimen by specimen. That this cannot be met on the present data is shown by four independent indications (</w:t>
      </w:r>
      <w:r>
        <w:fldChar w:fldCharType="begin"/>
      </w:r>
      <w:r>
        <w:instrText xml:space="preserve"> REF _Fig3 \h </w:instrText>
      </w:r>
      <w:r>
        <w:fldChar w:fldCharType="separate"/>
      </w:r>
      <w:r>
        <w:rPr>
          <w:rFonts w:hint="eastAsia"/>
          <w:b/>
          <w:bCs/>
        </w:rPr>
        <w:t>Figure 3</w:t>
      </w:r>
      <w:r>
        <w:rPr>
          <w:rFonts w:hint="eastAsia"/>
          <w:b/>
          <w:bCs/>
        </w:rPr>
        <w:fldChar w:fldCharType="end"/>
      </w:r>
      <w:r>
        <w:rPr>
          <w:rFonts w:hint="eastAsia"/>
        </w:rPr>
        <w:t>).</w:t>
      </w:r>
    </w:p>
    <w:p w14:paraId="3498AA56">
      <w:pPr>
        <w:pStyle w:val="45"/>
        <w:bidi w:val="0"/>
        <w:rPr>
          <w:rFonts w:hint="eastAsia"/>
        </w:rPr>
      </w:pPr>
      <w:r>
        <w:rPr>
          <w:rFonts w:hint="eastAsia"/>
          <w:b/>
          <w:bCs/>
        </w:rPr>
        <w:t>Alarm time</w:t>
      </w:r>
      <w:r>
        <w:rPr>
          <w:rFonts w:hint="eastAsia"/>
        </w:rPr>
        <w:t xml:space="preserve"> (</w:t>
      </w:r>
      <w:r>
        <w:fldChar w:fldCharType="begin"/>
      </w:r>
      <w:r>
        <w:instrText xml:space="preserve"> REF _Fig3 \h </w:instrText>
      </w:r>
      <w:r>
        <w:fldChar w:fldCharType="separate"/>
      </w:r>
      <w:r>
        <w:rPr>
          <w:rFonts w:hint="eastAsia"/>
          <w:b/>
          <w:bCs/>
        </w:rPr>
        <w:t>Figure 3</w:t>
      </w:r>
      <w:r>
        <w:rPr>
          <w:rFonts w:hint="eastAsia"/>
          <w:b/>
          <w:bCs/>
        </w:rPr>
        <w:fldChar w:fldCharType="end"/>
      </w:r>
      <w:r>
        <w:rPr>
          <w:rFonts w:hint="eastAsia"/>
          <w:b/>
          <w:bCs/>
        </w:rPr>
        <w:t>a</w:t>
      </w:r>
      <w:r>
        <w:rPr>
          <w:rFonts w:hint="eastAsia"/>
        </w:rPr>
        <w:t>). A single threshold applied to the AE hit rate of every specimen places the alarm at life fractions that spread over 46.2 percentage points in the median configuration.</w:t>
      </w:r>
    </w:p>
    <w:p w14:paraId="67FF7BD9">
      <w:pPr>
        <w:pStyle w:val="45"/>
        <w:bidi w:val="0"/>
        <w:rPr>
          <w:rFonts w:hint="eastAsia"/>
        </w:rPr>
      </w:pPr>
      <w:r>
        <w:rPr>
          <w:rFonts w:hint="eastAsia"/>
          <w:b/>
          <w:bCs/>
        </w:rPr>
        <w:t>Distributed strain</w:t>
      </w:r>
      <w:r>
        <w:rPr>
          <w:rFonts w:hint="eastAsia"/>
        </w:rPr>
        <w:t xml:space="preserve"> (</w:t>
      </w:r>
      <w:r>
        <w:fldChar w:fldCharType="begin"/>
      </w:r>
      <w:r>
        <w:instrText xml:space="preserve"> REF _Fig3 \h </w:instrText>
      </w:r>
      <w:r>
        <w:fldChar w:fldCharType="separate"/>
      </w:r>
      <w:r>
        <w:rPr>
          <w:rFonts w:hint="eastAsia"/>
          <w:b/>
          <w:bCs/>
        </w:rPr>
        <w:t>Figure 3</w:t>
      </w:r>
      <w:r>
        <w:rPr>
          <w:rFonts w:hint="eastAsia"/>
          <w:b/>
          <w:bCs/>
        </w:rPr>
        <w:fldChar w:fldCharType="end"/>
      </w:r>
      <w:r>
        <w:rPr>
          <w:rFonts w:hint="eastAsia"/>
          <w:b/>
          <w:bCs/>
        </w:rPr>
        <w:t>b</w:t>
      </w:r>
      <w:r>
        <w:rPr>
          <w:rFonts w:hint="eastAsia"/>
        </w:rPr>
        <w:t>). The strain at failure recorded by the distributed fibre-optic sensor differs between specimens by a factor of 6.57 to 7.34.</w:t>
      </w:r>
    </w:p>
    <w:p w14:paraId="3CC91FF0">
      <w:pPr>
        <w:pStyle w:val="45"/>
        <w:bidi w:val="0"/>
        <w:rPr>
          <w:rFonts w:hint="eastAsia"/>
        </w:rPr>
      </w:pPr>
      <w:r>
        <w:rPr>
          <w:rFonts w:hint="eastAsia"/>
          <w:b/>
          <w:bCs/>
        </w:rPr>
        <w:t>Causal normalisation</w:t>
      </w:r>
      <w:r>
        <w:rPr>
          <w:rFonts w:hint="eastAsia"/>
        </w:rPr>
        <w:t xml:space="preserve"> (</w:t>
      </w:r>
      <w:r>
        <w:fldChar w:fldCharType="begin"/>
      </w:r>
      <w:r>
        <w:instrText xml:space="preserve"> REF _Fig3 \h </w:instrText>
      </w:r>
      <w:r>
        <w:fldChar w:fldCharType="separate"/>
      </w:r>
      <w:r>
        <w:rPr>
          <w:rFonts w:hint="eastAsia"/>
          <w:b/>
          <w:bCs/>
        </w:rPr>
        <w:t>Figure 3</w:t>
      </w:r>
      <w:r>
        <w:rPr>
          <w:rFonts w:hint="eastAsia"/>
          <w:b/>
          <w:bCs/>
        </w:rPr>
        <w:fldChar w:fldCharType="end"/>
      </w:r>
      <w:r>
        <w:rPr>
          <w:rFonts w:hint="eastAsia"/>
          <w:b/>
          <w:bCs/>
        </w:rPr>
        <w:t>c</w:t>
      </w:r>
      <w:r>
        <w:rPr>
          <w:rFonts w:hint="eastAsia"/>
        </w:rPr>
        <w:t>). Normalising the curves at anchors at 5, 10, 20, 30 and 50% of life does not make the failure values coincide, the coefficient of variation staying between 0.97 and 1.62.</w:t>
      </w:r>
    </w:p>
    <w:p w14:paraId="35459811">
      <w:pPr>
        <w:pStyle w:val="45"/>
        <w:bidi w:val="0"/>
        <w:rPr>
          <w:rFonts w:hint="eastAsia"/>
        </w:rPr>
      </w:pPr>
      <w:r>
        <w:rPr>
          <w:rFonts w:hint="eastAsia"/>
          <w:b/>
          <w:bCs/>
        </w:rPr>
        <w:t>Guided waves</w:t>
      </w:r>
      <w:r>
        <w:rPr>
          <w:rFonts w:hint="eastAsia"/>
        </w:rPr>
        <w:t xml:space="preserve"> (</w:t>
      </w:r>
      <w:r>
        <w:fldChar w:fldCharType="begin"/>
      </w:r>
      <w:r>
        <w:instrText xml:space="preserve"> REF _Fig3 \h </w:instrText>
      </w:r>
      <w:r>
        <w:fldChar w:fldCharType="separate"/>
      </w:r>
      <w:r>
        <w:rPr>
          <w:rFonts w:hint="eastAsia"/>
          <w:b/>
          <w:bCs/>
        </w:rPr>
        <w:t>Figure 3</w:t>
      </w:r>
      <w:r>
        <w:rPr>
          <w:rFonts w:hint="eastAsia"/>
          <w:b/>
          <w:bCs/>
        </w:rPr>
        <w:fldChar w:fldCharType="end"/>
      </w:r>
      <w:r>
        <w:rPr>
          <w:rFonts w:hint="eastAsia"/>
          <w:b/>
          <w:bCs/>
        </w:rPr>
        <w:t>d</w:t>
      </w:r>
      <w:r>
        <w:rPr>
          <w:rFonts w:hint="eastAsia"/>
        </w:rPr>
        <w:t>). With the guided-wave threshold set from information available before the decision, the campaign retains 0.036 to 0.409 of the variance over the fifteen configurations tested, and exceeds its own permutation median in twelve of them, so the campaign effect is comparable with the specimen effect.</w:t>
      </w:r>
    </w:p>
    <w:p w14:paraId="1A73F538">
      <w:pPr>
        <w:pStyle w:val="45"/>
        <w:numPr>
          <w:ilvl w:val="0"/>
          <w:numId w:val="0"/>
        </w:numPr>
        <w:bidi w:val="0"/>
        <w:ind w:left="0" w:leftChars="0" w:right="0" w:rightChars="0" w:firstLine="0" w:firstLineChars="0"/>
        <w:jc w:val="center"/>
      </w:pPr>
      <w:r>
        <w:drawing>
          <wp:inline distT="0" distB="0" distL="114300" distR="114300">
            <wp:extent cx="4460875" cy="2134870"/>
            <wp:effectExtent l="0" t="0" r="444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460875" cy="2134870"/>
                    </a:xfrm>
                    <a:prstGeom prst="rect">
                      <a:avLst/>
                    </a:prstGeom>
                    <a:noFill/>
                    <a:ln>
                      <a:noFill/>
                    </a:ln>
                  </pic:spPr>
                </pic:pic>
              </a:graphicData>
            </a:graphic>
          </wp:inline>
        </w:drawing>
      </w:r>
    </w:p>
    <w:p w14:paraId="5D851552">
      <w:pPr>
        <w:pStyle w:val="44"/>
        <w:bidi w:val="0"/>
        <w:rPr>
          <w:rFonts w:hint="eastAsia" w:eastAsia="宋体"/>
          <w:lang w:val="en-US" w:eastAsia="zh-CN"/>
        </w:rPr>
      </w:pPr>
      <w:bookmarkStart w:id="5" w:name="_Fig3"/>
      <w:r>
        <w:rPr>
          <w:rFonts w:hint="eastAsia" w:eastAsia="宋体"/>
          <w:b/>
          <w:bCs/>
          <w:lang w:val="en-US" w:eastAsia="zh-CN"/>
        </w:rPr>
        <w:t>Figure 3</w:t>
      </w:r>
      <w:bookmarkEnd w:id="5"/>
      <w:r>
        <w:rPr>
          <w:rFonts w:hint="eastAsia" w:eastAsia="宋体"/>
          <w:b/>
          <w:bCs/>
          <w:lang w:val="en-US" w:eastAsia="zh-CN"/>
        </w:rPr>
        <w:t>.</w:t>
      </w:r>
      <w:r>
        <w:rPr>
          <w:rFonts w:hint="eastAsia" w:eastAsia="宋体"/>
          <w:lang w:val="en-US" w:eastAsia="zh-CN"/>
        </w:rPr>
        <w:t xml:space="preserve"> Why an absolute threshold does not transfer.</w:t>
      </w:r>
    </w:p>
    <w:p w14:paraId="58D5D9DF">
      <w:pPr>
        <w:bidi w:val="0"/>
        <w:rPr>
          <w:rFonts w:hint="default"/>
          <w:lang w:val="en-US" w:eastAsia="zh-CN"/>
        </w:rPr>
      </w:pPr>
      <w:r>
        <w:rPr>
          <w:rFonts w:hint="default"/>
          <w:lang w:val="en-US" w:eastAsia="zh-CN"/>
        </w:rPr>
        <w:t>One number states the problem most directly. Within one batch the AE hit count at failure, per 500 cycles, ranges from 918 to 46,221, a factor of 50.3, so a threshold set on one specimen will either miss or pre-empt its neighbours, and no adjustment of the threshold avoids this.</w:t>
      </w:r>
    </w:p>
    <w:p w14:paraId="09821BE9">
      <w:pPr>
        <w:bidi w:val="0"/>
        <w:rPr>
          <w:rFonts w:hint="default"/>
          <w:lang w:val="en-US" w:eastAsia="zh-CN"/>
        </w:rPr>
      </w:pPr>
      <w:r>
        <w:rPr>
          <w:rFonts w:hint="default"/>
          <w:lang w:val="en-US" w:eastAsia="zh-CN"/>
        </w:rPr>
        <w:t xml:space="preserve">The vertical axis is therefore defined by a scale-free quantity. The self-normalised cumulative curve of a monitored quantity is its running total divided by its final value; the curve rises from 0 to 1 over the life of the specimen. The indicator SNHI is the lifetime fraction at which this curve reaches </w:t>
      </w:r>
      <w:r>
        <w:rPr>
          <w:rFonts w:hint="default"/>
          <w:i/>
          <w:iCs/>
          <w:lang w:val="en-US" w:eastAsia="zh-CN"/>
        </w:rPr>
        <w:t>x</w:t>
      </w:r>
      <w:r>
        <w:rPr>
          <w:rFonts w:hint="default"/>
          <w:lang w:val="en-US" w:eastAsia="zh-CN"/>
        </w:rPr>
        <w:t>% of its final value:</w:t>
      </w:r>
    </w:p>
    <w:p w14:paraId="3051E42F">
      <w:pPr>
        <w:pStyle w:val="28"/>
      </w:pPr>
      <m:oMath>
        <m:r>
          <m:rPr>
            <m:nor/>
            <m:sty m:val="p"/>
          </m:rPr>
          <w:rPr>
            <w:rFonts w:hint="default" w:ascii="Times New Roman" w:hAnsi="Times New Roman" w:eastAsia="宋体" w:cs="Times New Roman"/>
            <w:b w:val="0"/>
            <w:i w:val="0"/>
            <w:szCs w:val="24"/>
            <w:lang w:val="en-US" w:eastAsia="zh-CN" w:bidi="ar-SA"/>
          </w:rPr>
          <m:t>SNHI</m:t>
        </m:r>
        <m:d>
          <m:dPr>
            <m:ctrlPr>
              <w:rPr>
                <w:rFonts w:hint="default" w:ascii="Cambria Math" w:hAnsi="Cambria Math" w:eastAsia="宋体" w:cs="Times New Roman"/>
                <w:b w:val="0"/>
                <w:i w:val="0"/>
                <w:szCs w:val="24"/>
                <w:lang w:val="en-US" w:eastAsia="zh-CN" w:bidi="ar-SA"/>
              </w:rPr>
            </m:ctrlPr>
          </m:dPr>
          <m:e>
            <m:r>
              <m:rPr>
                <m:nor/>
              </m:rPr>
              <w:rPr>
                <w:rFonts w:hint="default" w:ascii="Times New Roman" w:hAnsi="Times New Roman" w:eastAsia="宋体" w:cs="Times New Roman"/>
                <w:b w:val="0"/>
                <w:i/>
                <w:iCs/>
                <w:szCs w:val="24"/>
                <w:lang w:val="en-US" w:eastAsia="zh-CN" w:bidi="ar-SA"/>
              </w:rPr>
              <m:t>x</m:t>
            </m:r>
            <m:ctrlPr>
              <w:rPr>
                <w:rFonts w:hint="default" w:ascii="Cambria Math" w:hAnsi="Cambria Math" w:eastAsia="宋体" w:cs="Times New Roman"/>
                <w:b w:val="0"/>
                <w:i w:val="0"/>
                <w:szCs w:val="24"/>
                <w:lang w:val="en-US" w:eastAsia="zh-CN" w:bidi="ar-SA"/>
              </w:rPr>
            </m:ctrlPr>
          </m:e>
        </m:d>
        <m:r>
          <m:rPr>
            <m:nor/>
            <m:sty m:val="p"/>
          </m:rPr>
          <w:rPr>
            <w:rFonts w:hint="default" w:ascii="Times New Roman" w:hAnsi="Times New Roman" w:eastAsia="宋体" w:cs="Times New Roman"/>
            <w:b w:val="0"/>
            <w:i w:val="0"/>
            <w:szCs w:val="24"/>
            <w:lang w:val="en-US" w:eastAsia="zh-CN" w:bidi="ar-SA"/>
          </w:rPr>
          <m:t>=</m:t>
        </m:r>
        <m:f>
          <m:fPr>
            <m:ctrlPr>
              <w:rPr>
                <w:rFonts w:hint="default" w:ascii="Cambria Math" w:hAnsi="Cambria Math" w:eastAsia="宋体" w:cs="Times New Roman"/>
                <w:i/>
                <w:szCs w:val="24"/>
                <w:lang w:val="en-US" w:eastAsia="zh-CN" w:bidi="ar-SA"/>
              </w:rPr>
            </m:ctrlPr>
          </m:fPr>
          <m:num>
            <m:r>
              <m:rPr>
                <m:nor/>
                <m:sty m:val="p"/>
              </m:rPr>
              <w:rPr>
                <w:rFonts w:hint="default" w:ascii="Times New Roman" w:hAnsi="Times New Roman" w:eastAsia="宋体" w:cs="Times New Roman"/>
                <w:b w:val="0"/>
                <w:i w:val="0"/>
                <w:iCs/>
                <w:szCs w:val="24"/>
                <w:lang w:val="en-US" w:eastAsia="zh-CN" w:bidi="ar-SA"/>
              </w:rPr>
              <m:t xml:space="preserve">lifetime fraction at which the self−normalised cumulative curve equals </m:t>
            </m:r>
            <m:r>
              <m:rPr>
                <m:nor/>
              </m:rPr>
              <w:rPr>
                <w:rFonts w:hint="default" w:ascii="Times New Roman" w:hAnsi="Times New Roman" w:eastAsia="宋体" w:cs="Times New Roman"/>
                <w:i/>
                <w:iCs w:val="0"/>
                <w:szCs w:val="24"/>
                <w:lang w:val="en-US" w:eastAsia="zh-CN" w:bidi="ar-SA"/>
              </w:rPr>
              <m:t>x</m:t>
            </m:r>
            <m:ctrlPr>
              <w:rPr>
                <w:rFonts w:hint="default" w:ascii="Cambria Math" w:hAnsi="Cambria Math" w:eastAsia="宋体" w:cs="Times New Roman"/>
                <w:i/>
                <w:szCs w:val="24"/>
                <w:lang w:val="en-US" w:eastAsia="zh-CN" w:bidi="ar-SA"/>
              </w:rPr>
            </m:ctrlPr>
          </m:num>
          <m:den>
            <m:r>
              <m:rPr>
                <m:nor/>
                <m:sty m:val="p"/>
              </m:rPr>
              <w:rPr>
                <w:rFonts w:hint="default" w:ascii="Times New Roman" w:hAnsi="Times New Roman" w:eastAsia="宋体" w:cs="Times New Roman"/>
                <w:b w:val="0"/>
                <w:i w:val="0"/>
                <w:szCs w:val="24"/>
                <w:lang w:val="en-US" w:eastAsia="zh-CN" w:bidi="ar-SA"/>
              </w:rPr>
              <m:t>100</m:t>
            </m:r>
            <m:ctrlPr>
              <w:rPr>
                <w:rFonts w:hint="default" w:ascii="Cambria Math" w:hAnsi="Cambria Math" w:eastAsia="宋体" w:cs="Times New Roman"/>
                <w:i/>
                <w:szCs w:val="24"/>
                <w:lang w:val="en-US" w:eastAsia="zh-CN" w:bidi="ar-SA"/>
              </w:rPr>
            </m:ctrlPr>
          </m:den>
        </m:f>
      </m:oMath>
      <w:r>
        <w:tab/>
      </w:r>
      <w:r>
        <w:t>(</w:t>
      </w:r>
      <w:r>
        <w:rPr>
          <w:rFonts w:hint="eastAsia" w:eastAsia="宋体"/>
          <w:lang w:val="en-US" w:eastAsia="zh-CN"/>
        </w:rPr>
        <w:t>2</w:t>
      </w:r>
      <w:r>
        <w:t>)</w:t>
      </w:r>
    </w:p>
    <w:p w14:paraId="23CBC073">
      <w:pPr>
        <w:pStyle w:val="3"/>
        <w:bidi w:val="0"/>
        <w:rPr>
          <w:rFonts w:hint="eastAsia"/>
        </w:rPr>
      </w:pPr>
      <w:r>
        <w:rPr>
          <w:rFonts w:hint="eastAsia"/>
        </w:rPr>
        <w:t xml:space="preserve">Two values are used in this work, </w:t>
      </w:r>
      <m:oMath>
        <m:r>
          <m:rPr>
            <m:nor/>
          </m:rPr>
          <w:rPr>
            <w:rFonts w:hint="default" w:ascii="Times New Roman" w:hAnsi="Times New Roman" w:cs="Times New Roman"/>
            <w:i/>
            <w:iCs/>
            <w:szCs w:val="24"/>
            <w:lang w:val="en-US" w:bidi="ar-SA"/>
          </w:rPr>
          <m:t>x</m:t>
        </m:r>
        <m:r>
          <m:rPr>
            <m:nor/>
            <m:sty m:val="p"/>
          </m:rPr>
          <w:rPr>
            <w:rFonts w:hint="default" w:eastAsia="宋体" w:cs="Times New Roman"/>
            <w:b w:val="0"/>
            <w:i w:val="0"/>
            <w:iCs/>
            <w:szCs w:val="24"/>
            <w:lang w:val="en-US" w:eastAsia="zh-CN" w:bidi="ar-SA"/>
          </w:rPr>
          <m:t xml:space="preserve"> </m:t>
        </m:r>
        <m:r>
          <m:rPr>
            <m:nor/>
            <m:sty m:val="p"/>
          </m:rPr>
          <w:rPr>
            <w:rFonts w:hint="default" w:ascii="Times New Roman" w:hAnsi="Times New Roman" w:cs="Times New Roman"/>
            <w:b w:val="0"/>
            <w:i w:val="0"/>
            <w:iCs w:val="0"/>
            <w:szCs w:val="24"/>
            <w:lang w:val="en-US" w:bidi="ar-SA"/>
          </w:rPr>
          <m:t>=</m:t>
        </m:r>
        <m:r>
          <m:rPr>
            <m:nor/>
            <m:sty m:val="p"/>
          </m:rPr>
          <w:rPr>
            <w:rFonts w:hint="default" w:eastAsia="宋体" w:cs="Times New Roman"/>
            <w:b w:val="0"/>
            <w:i w:val="0"/>
            <w:iCs w:val="0"/>
            <w:szCs w:val="24"/>
            <w:lang w:val="en-US" w:eastAsia="zh-CN" w:bidi="ar-SA"/>
          </w:rPr>
          <m:t xml:space="preserve"> </m:t>
        </m:r>
        <m:r>
          <m:rPr>
            <m:nor/>
            <m:sty m:val="p"/>
          </m:rPr>
          <w:rPr>
            <w:rFonts w:hint="default" w:ascii="Times New Roman" w:hAnsi="Times New Roman" w:cs="Times New Roman"/>
            <w:b w:val="0"/>
            <w:i w:val="0"/>
            <w:iCs w:val="0"/>
            <w:szCs w:val="24"/>
            <w:lang w:val="en-US" w:bidi="ar-SA"/>
          </w:rPr>
          <m:t>50</m:t>
        </m:r>
      </m:oMath>
      <w:r>
        <w:rPr>
          <w:rFonts w:hint="eastAsia"/>
        </w:rPr>
        <w:t xml:space="preserve"> and </w:t>
      </w:r>
      <m:oMath>
        <m:r>
          <m:rPr>
            <m:nor/>
          </m:rPr>
          <w:rPr>
            <w:rFonts w:hint="default" w:ascii="Times New Roman" w:hAnsi="Times New Roman" w:cs="Times New Roman"/>
            <w:i/>
            <w:iCs/>
            <w:szCs w:val="24"/>
            <w:lang w:val="en-US" w:bidi="ar-SA"/>
          </w:rPr>
          <m:t>x</m:t>
        </m:r>
        <m:r>
          <m:rPr>
            <m:nor/>
            <m:sty m:val="p"/>
          </m:rPr>
          <w:rPr>
            <w:rFonts w:hint="default" w:eastAsia="宋体" w:cs="Times New Roman"/>
            <w:b w:val="0"/>
            <w:i w:val="0"/>
            <w:iCs/>
            <w:szCs w:val="24"/>
            <w:lang w:val="en-US" w:eastAsia="zh-CN" w:bidi="ar-SA"/>
          </w:rPr>
          <m:t xml:space="preserve"> = 85</m:t>
        </m:r>
      </m:oMath>
      <w:r>
        <w:rPr>
          <w:rFonts w:hint="eastAsia"/>
        </w:rPr>
        <w:t>. The definition refers to a fraction of the final value and to a position on a normalised axis, so it is invariant to bin width, frame rate, sampling rate and record format and insensitive to the absolute gain and threshold settings, which is what the absolute-threshold rule is not.</w:t>
      </w:r>
    </w:p>
    <w:p w14:paraId="4697C06E">
      <w:r>
        <w:rPr>
          <w:rFonts w:hint="eastAsia"/>
        </w:rPr>
        <w:t>SNHI is a descriptor of the record, not an alarm rule. The normalisation uses the value the cumulative curve reaches at the end of the record, so SNHI is defined retrospectively, and a forward alarm would need that value in advance. Re-anchoring the same curves at 5, 10, 20, 30 and 50% of life, which is available before the decision is taken, does not make the failure values coincide (</w:t>
      </w:r>
      <w:r>
        <w:fldChar w:fldCharType="begin"/>
      </w:r>
      <w:r>
        <w:instrText xml:space="preserve"> REF _Fig3 \h </w:instrText>
      </w:r>
      <w:r>
        <w:fldChar w:fldCharType="separate"/>
      </w:r>
      <w:r>
        <w:rPr>
          <w:rFonts w:hint="eastAsia"/>
          <w:b/>
          <w:bCs/>
        </w:rPr>
        <w:t>Figure 3</w:t>
      </w:r>
      <w:r>
        <w:rPr>
          <w:rFonts w:hint="eastAsia"/>
          <w:b/>
          <w:bCs/>
        </w:rPr>
        <w:fldChar w:fldCharType="end"/>
      </w:r>
      <w:r>
        <w:rPr>
          <w:rFonts w:hint="eastAsia"/>
          <w:b/>
          <w:bCs/>
        </w:rPr>
        <w:t>c</w:t>
      </w:r>
      <w:r>
        <w:rPr>
          <w:rFonts w:hint="eastAsia"/>
        </w:rPr>
        <w:t>). The retrospective normalisation is what makes the comparison possible, not a convenience. Where an alarm should be placed is a separate question.</w:t>
      </w:r>
    </w:p>
    <w:p w14:paraId="5E79588F">
      <w:pPr>
        <w:pStyle w:val="2"/>
        <w:bidi w:val="0"/>
        <w:rPr>
          <w:rFonts w:hint="default"/>
          <w:lang w:val="en-US" w:eastAsia="zh-CN"/>
        </w:rPr>
      </w:pPr>
      <w:r>
        <w:rPr>
          <w:rFonts w:hint="eastAsia"/>
          <w:lang w:val="en-US" w:eastAsia="zh-CN"/>
        </w:rPr>
        <w:t>Experiments and Results</w:t>
      </w:r>
    </w:p>
    <w:p w14:paraId="33F5DA00">
      <w:pPr>
        <w:pStyle w:val="4"/>
        <w:bidi w:val="0"/>
        <w:rPr>
          <w:rFonts w:hint="default"/>
          <w:lang w:val="en-US" w:eastAsia="zh-CN"/>
        </w:rPr>
      </w:pPr>
      <w:bookmarkStart w:id="6" w:name="_Comparison with Absolute-Threshold Alarming"/>
      <w:r>
        <w:rPr>
          <w:rFonts w:hint="eastAsia"/>
          <w:lang w:val="en-US" w:eastAsia="zh-CN"/>
        </w:rPr>
        <w:t>Comparison with Absolute-Threshold Alarming</w:t>
      </w:r>
    </w:p>
    <w:bookmarkEnd w:id="6"/>
    <w:p w14:paraId="3E2869D7">
      <w:pPr>
        <w:pStyle w:val="3"/>
        <w:bidi w:val="0"/>
        <w:rPr>
          <w:rFonts w:hint="default"/>
          <w:lang w:val="en-US" w:eastAsia="zh-CN"/>
        </w:rPr>
      </w:pPr>
      <w:r>
        <w:rPr>
          <w:rFonts w:hint="default"/>
          <w:lang w:val="en-US" w:eastAsia="zh-CN"/>
        </w:rPr>
        <w:t>Two rules were compared on the 15 specimens of the variable-amplitude and spectrum-loaded campaigns, for which both produce the same quantity, a lifetime fraction. They are not the same kind of object. (A) is a decision rule, which may abstain; (B) is a descriptor, defined for every specimen that recorded any emission and therefore unable to abstain. The comparison is about the position reported, not the ability to decide.</w:t>
      </w:r>
    </w:p>
    <w:p w14:paraId="7FCE06BD">
      <w:pPr>
        <w:bidi w:val="0"/>
        <w:rPr>
          <w:rFonts w:hint="default"/>
          <w:lang w:val="en-US" w:eastAsia="zh-CN"/>
        </w:rPr>
      </w:pPr>
      <w:r>
        <w:rPr>
          <w:rFonts w:hint="default"/>
          <w:lang w:val="en-US" w:eastAsia="zh-CN"/>
        </w:rPr>
        <w:t xml:space="preserve">Rule (A) is the conventional one. It takes the AE hit count per 500 cycles and alarms when it exceeds the median hit count at failure of the remaining campaigns, smoothed over three bins. Rule (B) is SNHI at </w:t>
      </w:r>
      <m:oMath>
        <m:r>
          <m:rPr>
            <m:nor/>
          </m:rPr>
          <w:rPr>
            <w:rFonts w:hint="default" w:ascii="Times New Roman" w:hAnsi="Times New Roman" w:cs="Times New Roman"/>
            <w:i/>
            <w:iCs/>
            <w:szCs w:val="24"/>
            <w:lang w:val="en-US" w:eastAsia="zh-CN" w:bidi="ar-SA"/>
          </w:rPr>
          <m:t>x</m:t>
        </m:r>
        <m:r>
          <m:rPr>
            <m:nor/>
            <m:sty m:val="p"/>
          </m:rPr>
          <w:rPr>
            <w:rFonts w:hint="default" w:ascii="Times New Roman" w:hAnsi="Times New Roman" w:cs="Times New Roman"/>
            <w:b w:val="0"/>
            <w:i w:val="0"/>
            <w:szCs w:val="24"/>
            <w:lang w:val="en-US" w:eastAsia="zh-CN" w:bidi="ar-SA"/>
          </w:rPr>
          <m:t xml:space="preserve"> = 85</m:t>
        </m:r>
      </m:oMath>
      <w:r>
        <w:rPr>
          <w:rFonts w:hint="default"/>
          <w:lang w:val="en-US" w:eastAsia="zh-CN"/>
        </w:rPr>
        <w:t xml:space="preserve"> on the same cumulative curve.</w:t>
      </w:r>
    </w:p>
    <w:p w14:paraId="567D0D86">
      <w:pPr>
        <w:bidi w:val="0"/>
        <w:rPr>
          <w:rFonts w:hint="default"/>
          <w:lang w:val="en-US" w:eastAsia="zh-CN"/>
        </w:rPr>
      </w:pPr>
      <w:r>
        <w:rPr>
          <w:rFonts w:hint="default"/>
          <w:lang w:val="en-US" w:eastAsia="zh-CN"/>
        </w:rPr>
        <w:t>Rule (A) abstained on six of the fifteen specimens; of the nine alarms it did raise, seven fell inside the first 7% of life, at the noise floor of the record. The apparent between-batch agreement of 4.6 percentage points is an artefact of those six abstentions and of those seven early alarms rather than a result. Rule (B) reduced the within-batch spread of the reported position from 60.7 to 18.5 percentage points, a factor of 3.3, with batch medians of 94.2% and 91.7%; counting the six abstentions of (A) as an alarm at the end of life raises its spread to 69.0 points.</w:t>
      </w:r>
    </w:p>
    <w:p w14:paraId="23DEB665">
      <w:pPr>
        <w:bidi w:val="0"/>
        <w:rPr>
          <w:rFonts w:hint="default"/>
          <w:lang w:val="en-US" w:eastAsia="zh-CN"/>
        </w:rPr>
      </w:pPr>
      <w:r>
        <w:rPr>
          <w:rFonts w:hint="default"/>
          <w:lang w:val="en-US" w:eastAsia="zh-CN"/>
        </w:rPr>
        <w:t>The threshold of (A) was not chosen adversarially. Of the 26 rules tested, spanning scaled leave-one-campaign-out thresholds from 0.02 to 3, pooled and early-life quantiles, and thresholds referenced to each specimen's first 10% of life, the smallest number of abstentions is one, reached only at thresholds that place the median alarm inside the first 3% of life.</w:t>
      </w:r>
    </w:p>
    <w:p w14:paraId="1C9609B1">
      <w:pPr>
        <w:pStyle w:val="4"/>
        <w:bidi w:val="0"/>
        <w:rPr>
          <w:rFonts w:hint="default"/>
          <w:lang w:val="en-US" w:eastAsia="zh-CN"/>
        </w:rPr>
      </w:pPr>
      <w:r>
        <w:rPr>
          <w:rFonts w:hint="eastAsia"/>
          <w:lang w:val="en-US" w:eastAsia="zh-CN"/>
        </w:rPr>
        <w:t>Exclusion of Failed-Sensor Paths</w:t>
      </w:r>
    </w:p>
    <w:p w14:paraId="698DA2AC">
      <w:pPr>
        <w:pStyle w:val="3"/>
        <w:rPr>
          <w:rFonts w:hint="default"/>
          <w:lang w:val="en-US" w:eastAsia="zh-CN"/>
        </w:rPr>
      </w:pPr>
      <w:r>
        <w:rPr>
          <w:rFonts w:hint="default"/>
          <w:lang w:val="en-US" w:eastAsia="zh-CN"/>
        </w:rPr>
        <w:t>A transducer that breaks or disbonds invalidates every path using it as actuator or receiver, from the cycle of the event onward, accumulating over repeated events. Seven specimens lose 14 to 56 of the 56 paths, one losing all of them at 47% of life, so only its earlier record enters its fit. Recomputing the slopes without them leaves the counts unchanged at 17 of 17 positive and 16 with a lower bound above zero. Six gain 5% to 40% and the seventh loses 80% but stays positive at [+0.0009, +0.0088]. Five further specimens record a failure with no sensor index and retain all paths.</w:t>
      </w:r>
    </w:p>
    <w:p w14:paraId="3B0D2B3C">
      <w:pPr>
        <w:pStyle w:val="4"/>
        <w:bidi w:val="0"/>
        <w:rPr>
          <w:rFonts w:hint="default"/>
          <w:lang w:val="en-US" w:eastAsia="zh-CN"/>
        </w:rPr>
      </w:pPr>
      <w:bookmarkStart w:id="7" w:name="_Validation on Two Independent Systems"/>
      <w:r>
        <w:rPr>
          <w:rFonts w:hint="eastAsia"/>
          <w:lang w:val="en-US" w:eastAsia="zh-CN"/>
        </w:rPr>
        <w:t>Validation on Two Independent Systems</w:t>
      </w:r>
    </w:p>
    <w:bookmarkEnd w:id="7"/>
    <w:p w14:paraId="131C9371">
      <w:pPr>
        <w:pStyle w:val="3"/>
        <w:rPr>
          <w:rFonts w:hint="default"/>
          <w:lang w:val="en-US" w:eastAsia="zh-CN"/>
        </w:rPr>
      </w:pPr>
      <w:r>
        <w:rPr>
          <w:rFonts w:hint="default"/>
          <w:b/>
          <w:bCs/>
          <w:lang w:val="en-US" w:eastAsia="zh-CN"/>
        </w:rPr>
        <w:t>Acoustic emission.</w:t>
      </w:r>
      <w:r>
        <w:rPr>
          <w:rFonts w:hint="default"/>
          <w:lang w:val="en-US" w:eastAsia="zh-CN"/>
        </w:rPr>
        <w:t xml:space="preserve"> The 29 specimens of the four campaigns were processed with </w:t>
      </w:r>
      <m:oMath>
        <m:r>
          <m:rPr>
            <m:nor/>
          </m:rPr>
          <w:rPr>
            <w:rFonts w:hint="default" w:ascii="Times New Roman" w:hAnsi="Times New Roman" w:cs="Times New Roman"/>
            <w:i/>
            <w:iCs/>
            <w:szCs w:val="24"/>
            <w:lang w:val="en-US" w:eastAsia="zh-CN" w:bidi="ar-SA"/>
          </w:rPr>
          <m:t>x</m:t>
        </m:r>
        <m:r>
          <m:rPr>
            <m:nor/>
            <m:sty m:val="p"/>
          </m:rPr>
          <w:rPr>
            <w:rFonts w:hint="default" w:ascii="Times New Roman" w:hAnsi="Times New Roman" w:cs="Times New Roman"/>
            <w:b w:val="0"/>
            <w:i w:val="0"/>
            <w:szCs w:val="24"/>
            <w:lang w:val="en-US" w:eastAsia="zh-CN" w:bidi="ar-SA"/>
          </w:rPr>
          <m:t xml:space="preserve"> = 85</m:t>
        </m:r>
      </m:oMath>
      <w:r>
        <w:rPr>
          <w:rFonts w:hint="default"/>
          <w:lang w:val="en-US" w:eastAsia="zh-CN"/>
        </w:rPr>
        <w:t xml:space="preserve"> on the cumulative hit count (</w:t>
      </w:r>
      <w:r>
        <w:fldChar w:fldCharType="begin"/>
      </w:r>
      <w:r>
        <w:instrText xml:space="preserve"> REF _Tab1 \h </w:instrText>
      </w:r>
      <w:r>
        <w:fldChar w:fldCharType="separate"/>
      </w:r>
      <w:r>
        <w:rPr>
          <w:rFonts w:hint="default"/>
          <w:b/>
          <w:bCs/>
          <w:lang w:val="en-US" w:eastAsia="zh-CN"/>
        </w:rPr>
        <w:t>Table 1</w:t>
      </w:r>
      <w:r>
        <w:rPr>
          <w:rFonts w:hint="default"/>
          <w:b/>
          <w:bCs/>
          <w:lang w:val="en-US" w:eastAsia="zh-CN"/>
        </w:rPr>
        <w:fldChar w:fldCharType="end"/>
      </w:r>
      <w:r>
        <w:rPr>
          <w:rFonts w:hint="default"/>
          <w:lang w:val="en-US" w:eastAsia="zh-CN"/>
        </w:rPr>
        <w:t xml:space="preserve">). The four campaign medians of the alarm position span 4.84 percentage points against a within-batch spread of 14.76; removing the single variable-amplitude specimen of the first campaign brings the between-batch spread to 1.94 points. The alignment statistic is the share of the total variance explained by the grouping. By campaign (C1 to C4) the share is 0.071 against a permutation median of 0.090; by university (Delft, C1 and C2 together; Patras, C3 and C4 together) it is 0.000 at </w:t>
      </w:r>
      <m:oMath>
        <m:r>
          <m:rPr>
            <m:nor/>
          </m:rPr>
          <w:rPr>
            <w:rFonts w:hint="default" w:ascii="Times New Roman" w:hAnsi="Times New Roman" w:cs="Times New Roman"/>
            <w:i/>
            <w:iCs/>
            <w:szCs w:val="24"/>
            <w:lang w:val="en-US" w:eastAsia="zh-CN" w:bidi="ar-SA"/>
          </w:rPr>
          <m:t>x</m:t>
        </m:r>
        <m:r>
          <m:rPr>
            <m:nor/>
            <m:sty m:val="p"/>
          </m:rPr>
          <w:rPr>
            <w:rFonts w:hint="default" w:ascii="Times New Roman" w:hAnsi="Times New Roman" w:cs="Times New Roman"/>
            <w:b w:val="0"/>
            <w:i w:val="0"/>
            <w:szCs w:val="24"/>
            <w:lang w:val="en-US" w:eastAsia="zh-CN" w:bidi="ar-SA"/>
          </w:rPr>
          <m:t xml:space="preserve"> = 50</m:t>
        </m:r>
      </m:oMath>
      <w:r>
        <w:rPr>
          <w:rFonts w:hint="default"/>
          <w:lang w:val="en-US" w:eastAsia="zh-CN"/>
        </w:rPr>
        <w:t xml:space="preserve">, below 2.6% of the shuffled draws, and 0.057 at </w:t>
      </w:r>
      <m:oMath>
        <m:r>
          <m:rPr>
            <m:nor/>
          </m:rPr>
          <w:rPr>
            <w:rFonts w:hint="default" w:ascii="Times New Roman" w:hAnsi="Times New Roman" w:cs="Times New Roman"/>
            <w:i/>
            <w:iCs/>
            <w:szCs w:val="24"/>
            <w:lang w:val="en-US" w:eastAsia="zh-CN" w:bidi="ar-SA"/>
          </w:rPr>
          <m:t>x</m:t>
        </m:r>
        <m:r>
          <m:rPr>
            <m:nor/>
            <m:sty m:val="p"/>
          </m:rPr>
          <w:rPr>
            <w:rFonts w:hint="default" w:ascii="Times New Roman" w:hAnsi="Times New Roman" w:cs="Times New Roman"/>
            <w:b w:val="0"/>
            <w:i w:val="0"/>
            <w:szCs w:val="24"/>
            <w:lang w:val="en-US" w:eastAsia="zh-CN" w:bidi="ar-SA"/>
          </w:rPr>
          <m:t xml:space="preserve"> = 85</m:t>
        </m:r>
      </m:oMath>
      <w:r>
        <w:rPr>
          <w:rFonts w:hint="default"/>
          <w:lang w:val="en-US" w:eastAsia="zh-CN"/>
        </w:rPr>
        <w:t xml:space="preserve">. As a control, replacing the hit count by the cumulative energy raises the campaign share at </w:t>
      </w:r>
      <m:oMath>
        <m:r>
          <m:rPr>
            <m:nor/>
          </m:rPr>
          <w:rPr>
            <w:rFonts w:hint="default" w:ascii="Times New Roman" w:hAnsi="Times New Roman" w:cs="Times New Roman"/>
            <w:i/>
            <w:iCs/>
            <w:szCs w:val="24"/>
            <w:lang w:val="en-US" w:eastAsia="zh-CN" w:bidi="ar-SA"/>
          </w:rPr>
          <m:t>x</m:t>
        </m:r>
        <m:r>
          <m:rPr>
            <m:nor/>
            <m:sty m:val="p"/>
          </m:rPr>
          <w:rPr>
            <w:rFonts w:hint="default" w:ascii="Times New Roman" w:hAnsi="Times New Roman" w:cs="Times New Roman"/>
            <w:b w:val="0"/>
            <w:i w:val="0"/>
            <w:szCs w:val="24"/>
            <w:lang w:val="en-US" w:eastAsia="zh-CN" w:bidi="ar-SA"/>
          </w:rPr>
          <m:t xml:space="preserve"> = 50</m:t>
        </m:r>
      </m:oMath>
      <w:r>
        <w:rPr>
          <w:rFonts w:hint="default"/>
          <w:lang w:val="en-US" w:eastAsia="zh-CN"/>
        </w:rPr>
        <w:t xml:space="preserve"> from 0.054 to 0.280, above a permutation median of 0.088.</w:t>
      </w:r>
    </w:p>
    <w:p w14:paraId="196A4951">
      <w:pPr>
        <w:pStyle w:val="38"/>
        <w:bidi w:val="0"/>
        <w:rPr>
          <w:rFonts w:hint="default"/>
          <w:lang w:val="en-US" w:eastAsia="zh-CN"/>
        </w:rPr>
      </w:pPr>
      <w:bookmarkStart w:id="8" w:name="_Tab1"/>
      <w:r>
        <w:rPr>
          <w:rFonts w:hint="eastAsia"/>
          <w:b/>
          <w:bCs/>
          <w:lang w:val="en-US" w:eastAsia="zh-CN"/>
        </w:rPr>
        <w:t>Table 1</w:t>
      </w:r>
      <w:bookmarkEnd w:id="8"/>
      <w:r>
        <w:rPr>
          <w:rFonts w:hint="eastAsia"/>
          <w:b/>
          <w:bCs/>
          <w:lang w:val="en-US" w:eastAsia="zh-CN"/>
        </w:rPr>
        <w:t>.</w:t>
      </w:r>
      <w:r>
        <w:rPr>
          <w:rFonts w:hint="eastAsia"/>
          <w:lang w:val="en-US" w:eastAsia="zh-CN"/>
        </w:rPr>
        <w:t xml:space="preserve"> Acoustic emission across campaigns; variance decomposition.</w:t>
      </w:r>
    </w:p>
    <w:tbl>
      <w:tblPr>
        <w:tblStyle w:val="19"/>
        <w:tblW w:w="4848" w:type="pct"/>
        <w:jc w:val="center"/>
        <w:tblLayout w:type="autofit"/>
        <w:tblCellMar>
          <w:top w:w="0" w:type="dxa"/>
          <w:left w:w="108" w:type="dxa"/>
          <w:bottom w:w="0" w:type="dxa"/>
          <w:right w:w="108" w:type="dxa"/>
        </w:tblCellMar>
      </w:tblPr>
      <w:tblGrid>
        <w:gridCol w:w="1008"/>
        <w:gridCol w:w="1080"/>
        <w:gridCol w:w="430"/>
        <w:gridCol w:w="1399"/>
        <w:gridCol w:w="1406"/>
        <w:gridCol w:w="1494"/>
      </w:tblGrid>
      <w:tr w14:paraId="3E9FD3D3">
        <w:tblPrEx>
          <w:tblCellMar>
            <w:top w:w="0" w:type="dxa"/>
            <w:left w:w="108" w:type="dxa"/>
            <w:bottom w:w="0" w:type="dxa"/>
            <w:right w:w="108" w:type="dxa"/>
          </w:tblCellMar>
        </w:tblPrEx>
        <w:trPr>
          <w:trHeight w:val="0" w:hRule="atLeast"/>
          <w:tblHeader/>
          <w:jc w:val="center"/>
        </w:trPr>
        <w:tc>
          <w:tcPr>
            <w:tcW w:w="739" w:type="pct"/>
            <w:tcBorders>
              <w:top w:val="single" w:color="auto" w:sz="4" w:space="0"/>
              <w:bottom w:val="single" w:color="auto" w:sz="4" w:space="0"/>
            </w:tcBorders>
            <w:vAlign w:val="center"/>
          </w:tcPr>
          <w:p w14:paraId="664D670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campaign</w:t>
            </w:r>
          </w:p>
        </w:tc>
        <w:tc>
          <w:tcPr>
            <w:tcW w:w="792" w:type="pct"/>
            <w:tcBorders>
              <w:top w:val="single" w:color="auto" w:sz="4" w:space="0"/>
              <w:bottom w:val="single" w:color="auto" w:sz="4" w:space="0"/>
            </w:tcBorders>
            <w:vAlign w:val="center"/>
          </w:tcPr>
          <w:p w14:paraId="259ADB5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laboratory</w:t>
            </w:r>
          </w:p>
        </w:tc>
        <w:tc>
          <w:tcPr>
            <w:tcW w:w="315" w:type="pct"/>
            <w:tcBorders>
              <w:top w:val="single" w:color="auto" w:sz="4" w:space="0"/>
              <w:bottom w:val="single" w:color="auto" w:sz="4" w:space="0"/>
            </w:tcBorders>
            <w:vAlign w:val="center"/>
          </w:tcPr>
          <w:p w14:paraId="4D641CC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ascii="Times New Roman" w:eastAsia="宋体"/>
                <w:b/>
                <w:sz w:val="16"/>
                <w:szCs w:val="16"/>
              </w:rPr>
            </w:pPr>
            <m:oMathPara>
              <m:oMath>
                <m:r>
                  <m:rPr>
                    <m:nor/>
                    <m:sty m:val="bi"/>
                  </m:rPr>
                  <w:rPr>
                    <w:rFonts w:hint="default" w:ascii="Times New Roman" w:hAnsi="Times New Roman" w:eastAsia="宋体" w:cs="Times New Roman"/>
                    <w:b/>
                    <w:i/>
                    <w:sz w:val="16"/>
                    <w:szCs w:val="16"/>
                    <w:lang w:val="en-US" w:eastAsia="zh-CN" w:bidi="ar-SA"/>
                  </w:rPr>
                  <m:t>n</m:t>
                </m:r>
              </m:oMath>
            </m:oMathPara>
          </w:p>
        </w:tc>
        <w:tc>
          <w:tcPr>
            <w:tcW w:w="1026" w:type="pct"/>
            <w:tcBorders>
              <w:top w:val="single" w:color="auto" w:sz="4" w:space="0"/>
              <w:bottom w:val="single" w:color="auto" w:sz="4" w:space="0"/>
            </w:tcBorders>
            <w:vAlign w:val="center"/>
          </w:tcPr>
          <w:p w14:paraId="4F24333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default" w:ascii="Times New Roman" w:hAnsi="Times New Roman" w:eastAsia="宋体" w:cs="Times New Roman"/>
                <w:b/>
                <w:bCs w:val="0"/>
                <w:sz w:val="16"/>
                <w:szCs w:val="16"/>
                <w:lang w:val="en-US" w:eastAsia="zh-CN"/>
              </w:rPr>
              <w:t xml:space="preserve">median </w:t>
            </w:r>
            <m:oMath>
              <m:sSub>
                <m:sSubPr>
                  <m:ctrlPr>
                    <w:rPr>
                      <w:rFonts w:hint="default" w:ascii="Cambria Math" w:hAnsi="Cambria Math" w:eastAsia="宋体" w:cs="Times New Roman"/>
                      <w:b/>
                      <w:bCs w:val="0"/>
                      <w:i/>
                      <w:sz w:val="16"/>
                      <w:szCs w:val="16"/>
                      <w:lang w:val="en-US"/>
                    </w:rPr>
                  </m:ctrlPr>
                </m:sSubPr>
                <m:e>
                  <m:r>
                    <m:rPr>
                      <m:nor/>
                      <m:sty m:val="bi"/>
                    </m:rPr>
                    <w:rPr>
                      <w:rFonts w:hint="default" w:ascii="Times New Roman" w:hAnsi="Times New Roman" w:eastAsia="宋体" w:cs="Times New Roman"/>
                      <w:b/>
                      <w:bCs w:val="0"/>
                      <w:i/>
                      <w:sz w:val="16"/>
                      <w:szCs w:val="16"/>
                      <w:lang w:val="en-US" w:eastAsia="zh-CN"/>
                    </w:rPr>
                    <m:t>t</m:t>
                  </m:r>
                  <m:ctrlPr>
                    <w:rPr>
                      <w:rFonts w:hint="default" w:ascii="Cambria Math" w:hAnsi="Cambria Math" w:eastAsia="宋体" w:cs="Times New Roman"/>
                      <w:b/>
                      <w:bCs w:val="0"/>
                      <w:i/>
                      <w:sz w:val="16"/>
                      <w:szCs w:val="16"/>
                      <w:lang w:val="en-US"/>
                    </w:rPr>
                  </m:ctrlPr>
                </m:e>
                <m:sub>
                  <m:r>
                    <m:rPr>
                      <m:nor/>
                      <m:sty m:val="b"/>
                    </m:rPr>
                    <w:rPr>
                      <w:rFonts w:hint="default" w:ascii="Times New Roman" w:hAnsi="Times New Roman" w:eastAsia="宋体" w:cs="Times New Roman"/>
                      <w:b/>
                      <w:bCs w:val="0"/>
                      <w:i w:val="0"/>
                      <w:sz w:val="16"/>
                      <w:szCs w:val="16"/>
                      <w:lang w:val="en-US" w:eastAsia="zh-CN"/>
                    </w:rPr>
                    <m:t>50</m:t>
                  </m:r>
                  <m:ctrlPr>
                    <w:rPr>
                      <w:rFonts w:hint="default" w:ascii="Cambria Math" w:hAnsi="Cambria Math" w:eastAsia="宋体" w:cs="Times New Roman"/>
                      <w:b/>
                      <w:bCs w:val="0"/>
                      <w:i/>
                      <w:sz w:val="16"/>
                      <w:szCs w:val="16"/>
                      <w:lang w:val="en-US"/>
                    </w:rPr>
                  </m:ctrlPr>
                </m:sub>
              </m:sSub>
            </m:oMath>
            <w:r>
              <w:rPr>
                <w:rFonts w:hint="default" w:ascii="Times New Roman" w:hAnsi="Times New Roman" w:eastAsia="宋体" w:cs="Times New Roman"/>
                <w:b/>
                <w:bCs w:val="0"/>
                <w:i w:val="0"/>
                <w:sz w:val="16"/>
                <w:szCs w:val="16"/>
                <w:lang w:val="en-US" w:eastAsia="zh-CN"/>
              </w:rPr>
              <w:t xml:space="preserve"> (%)</w:t>
            </w:r>
          </w:p>
        </w:tc>
        <w:tc>
          <w:tcPr>
            <w:tcW w:w="1031" w:type="pct"/>
            <w:tcBorders>
              <w:top w:val="single" w:color="auto" w:sz="4" w:space="0"/>
              <w:bottom w:val="single" w:color="auto" w:sz="4" w:space="0"/>
            </w:tcBorders>
            <w:vAlign w:val="center"/>
          </w:tcPr>
          <w:p w14:paraId="65DFBCE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ascii="Times New Roman" w:eastAsia="宋体"/>
                <w:b/>
                <w:sz w:val="16"/>
                <w:szCs w:val="16"/>
              </w:rPr>
            </w:pPr>
            <w:r>
              <w:rPr>
                <w:rFonts w:hint="default" w:ascii="Times New Roman" w:hAnsi="Times New Roman" w:eastAsia="宋体" w:cs="Times New Roman"/>
                <w:b/>
                <w:bCs w:val="0"/>
                <w:sz w:val="16"/>
                <w:szCs w:val="16"/>
                <w:lang w:val="en-US" w:eastAsia="zh-CN"/>
              </w:rPr>
              <w:t xml:space="preserve">median </w:t>
            </w:r>
            <m:oMath>
              <m:sSub>
                <m:sSubPr>
                  <m:ctrlPr>
                    <w:rPr>
                      <w:rFonts w:hint="default" w:ascii="Cambria Math" w:hAnsi="Cambria Math" w:eastAsia="宋体" w:cs="Times New Roman"/>
                      <w:b/>
                      <w:bCs w:val="0"/>
                      <w:i/>
                      <w:sz w:val="16"/>
                      <w:szCs w:val="16"/>
                      <w:lang w:val="en-US"/>
                    </w:rPr>
                  </m:ctrlPr>
                </m:sSubPr>
                <m:e>
                  <m:r>
                    <m:rPr>
                      <m:nor/>
                      <m:sty m:val="bi"/>
                    </m:rPr>
                    <w:rPr>
                      <w:rFonts w:hint="default" w:ascii="Times New Roman" w:hAnsi="Times New Roman" w:eastAsia="宋体" w:cs="Times New Roman"/>
                      <w:b/>
                      <w:bCs w:val="0"/>
                      <w:i/>
                      <w:sz w:val="16"/>
                      <w:szCs w:val="16"/>
                      <w:lang w:val="en-US" w:eastAsia="zh-CN"/>
                    </w:rPr>
                    <m:t>t</m:t>
                  </m:r>
                  <m:ctrlPr>
                    <w:rPr>
                      <w:rFonts w:hint="default" w:ascii="Cambria Math" w:hAnsi="Cambria Math" w:eastAsia="宋体" w:cs="Times New Roman"/>
                      <w:b/>
                      <w:bCs w:val="0"/>
                      <w:i/>
                      <w:sz w:val="16"/>
                      <w:szCs w:val="16"/>
                      <w:lang w:val="en-US"/>
                    </w:rPr>
                  </m:ctrlPr>
                </m:e>
                <m:sub>
                  <m:r>
                    <m:rPr>
                      <m:nor/>
                      <m:sty m:val="b"/>
                    </m:rPr>
                    <w:rPr>
                      <w:rFonts w:hint="default" w:ascii="Times New Roman" w:hAnsi="Times New Roman" w:eastAsia="宋体" w:cs="Times New Roman"/>
                      <w:b/>
                      <w:bCs w:val="0"/>
                      <w:i w:val="0"/>
                      <w:sz w:val="16"/>
                      <w:szCs w:val="16"/>
                      <w:lang w:val="en-US" w:eastAsia="zh-CN"/>
                    </w:rPr>
                    <m:t>85</m:t>
                  </m:r>
                  <m:ctrlPr>
                    <w:rPr>
                      <w:rFonts w:hint="default" w:ascii="Cambria Math" w:hAnsi="Cambria Math" w:eastAsia="宋体" w:cs="Times New Roman"/>
                      <w:b/>
                      <w:bCs w:val="0"/>
                      <w:i/>
                      <w:sz w:val="16"/>
                      <w:szCs w:val="16"/>
                      <w:lang w:val="en-US"/>
                    </w:rPr>
                  </m:ctrlPr>
                </m:sub>
              </m:sSub>
            </m:oMath>
            <w:r>
              <w:rPr>
                <w:rFonts w:hint="default" w:ascii="Times New Roman" w:hAnsi="Times New Roman" w:eastAsia="宋体" w:cs="Times New Roman"/>
                <w:b/>
                <w:bCs w:val="0"/>
                <w:i w:val="0"/>
                <w:sz w:val="16"/>
                <w:szCs w:val="16"/>
                <w:lang w:val="en-US" w:eastAsia="zh-CN"/>
              </w:rPr>
              <w:t xml:space="preserve"> (%)</w:t>
            </w:r>
          </w:p>
        </w:tc>
        <w:tc>
          <w:tcPr>
            <w:tcW w:w="1095" w:type="pct"/>
            <w:tcBorders>
              <w:top w:val="single" w:color="auto" w:sz="4" w:space="0"/>
              <w:bottom w:val="single" w:color="auto" w:sz="4" w:space="0"/>
            </w:tcBorders>
            <w:vAlign w:val="center"/>
          </w:tcPr>
          <w:p w14:paraId="69FE6F7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 xml:space="preserve">range of </w:t>
            </w:r>
            <m:oMath>
              <m:sSub>
                <m:sSubPr>
                  <m:ctrlPr>
                    <w:rPr>
                      <w:rFonts w:hint="default" w:ascii="Cambria Math" w:hAnsi="Cambria Math" w:eastAsia="宋体" w:cs="Times New Roman"/>
                      <w:b/>
                      <w:bCs w:val="0"/>
                      <w:i/>
                      <w:sz w:val="16"/>
                      <w:szCs w:val="16"/>
                      <w:lang w:val="en-US"/>
                    </w:rPr>
                  </m:ctrlPr>
                </m:sSubPr>
                <m:e>
                  <m:r>
                    <m:rPr>
                      <m:nor/>
                      <m:sty m:val="bi"/>
                    </m:rPr>
                    <w:rPr>
                      <w:rFonts w:hint="default" w:ascii="Times New Roman" w:hAnsi="Times New Roman" w:eastAsia="宋体" w:cs="Times New Roman"/>
                      <w:b/>
                      <w:bCs w:val="0"/>
                      <w:i/>
                      <w:sz w:val="16"/>
                      <w:szCs w:val="16"/>
                      <w:lang w:val="en-US" w:eastAsia="zh-CN"/>
                    </w:rPr>
                    <m:t>t</m:t>
                  </m:r>
                  <m:ctrlPr>
                    <w:rPr>
                      <w:rFonts w:hint="default" w:ascii="Cambria Math" w:hAnsi="Cambria Math" w:eastAsia="宋体" w:cs="Times New Roman"/>
                      <w:b/>
                      <w:bCs w:val="0"/>
                      <w:i/>
                      <w:sz w:val="16"/>
                      <w:szCs w:val="16"/>
                      <w:lang w:val="en-US"/>
                    </w:rPr>
                  </m:ctrlPr>
                </m:e>
                <m:sub>
                  <m:r>
                    <m:rPr>
                      <m:nor/>
                      <m:sty m:val="b"/>
                    </m:rPr>
                    <w:rPr>
                      <w:rFonts w:hint="default" w:ascii="Times New Roman" w:hAnsi="Times New Roman" w:eastAsia="宋体" w:cs="Times New Roman"/>
                      <w:b/>
                      <w:bCs w:val="0"/>
                      <w:i w:val="0"/>
                      <w:sz w:val="16"/>
                      <w:szCs w:val="16"/>
                      <w:lang w:val="en-US" w:eastAsia="zh-CN"/>
                    </w:rPr>
                    <m:t>85</m:t>
                  </m:r>
                  <m:ctrlPr>
                    <w:rPr>
                      <w:rFonts w:hint="default" w:ascii="Cambria Math" w:hAnsi="Cambria Math" w:eastAsia="宋体" w:cs="Times New Roman"/>
                      <w:b/>
                      <w:bCs w:val="0"/>
                      <w:i/>
                      <w:sz w:val="16"/>
                      <w:szCs w:val="16"/>
                      <w:lang w:val="en-US"/>
                    </w:rPr>
                  </m:ctrlPr>
                </m:sub>
              </m:sSub>
            </m:oMath>
            <w:r>
              <w:rPr>
                <w:rFonts w:hint="default" w:ascii="Times New Roman" w:hAnsi="Times New Roman" w:eastAsia="宋体" w:cs="Times New Roman"/>
                <w:b/>
                <w:bCs w:val="0"/>
                <w:i w:val="0"/>
                <w:sz w:val="16"/>
                <w:szCs w:val="16"/>
                <w:lang w:val="en-US" w:eastAsia="zh-CN"/>
              </w:rPr>
              <w:t xml:space="preserve"> (</w:t>
            </w:r>
            <w:r>
              <w:rPr>
                <w:rFonts w:hint="eastAsia" w:ascii="Times New Roman" w:eastAsia="宋体" w:cs="Times New Roman"/>
                <w:b/>
                <w:bCs w:val="0"/>
                <w:i w:val="0"/>
                <w:sz w:val="16"/>
                <w:szCs w:val="16"/>
                <w:lang w:val="en-US" w:eastAsia="zh-CN"/>
              </w:rPr>
              <w:t>pp</w:t>
            </w:r>
            <w:r>
              <w:rPr>
                <w:rFonts w:hint="default" w:ascii="Times New Roman" w:hAnsi="Times New Roman" w:eastAsia="宋体" w:cs="Times New Roman"/>
                <w:b/>
                <w:bCs w:val="0"/>
                <w:i w:val="0"/>
                <w:sz w:val="16"/>
                <w:szCs w:val="16"/>
                <w:lang w:val="en-US" w:eastAsia="zh-CN"/>
              </w:rPr>
              <w:t>)</w:t>
            </w:r>
          </w:p>
        </w:tc>
      </w:tr>
      <w:tr w14:paraId="115DB5EA">
        <w:tblPrEx>
          <w:tblCellMar>
            <w:top w:w="0" w:type="dxa"/>
            <w:left w:w="108" w:type="dxa"/>
            <w:bottom w:w="0" w:type="dxa"/>
            <w:right w:w="108" w:type="dxa"/>
          </w:tblCellMar>
        </w:tblPrEx>
        <w:trPr>
          <w:trHeight w:val="0" w:hRule="atLeast"/>
          <w:jc w:val="center"/>
        </w:trPr>
        <w:tc>
          <w:tcPr>
            <w:tcW w:w="739" w:type="pct"/>
            <w:tcBorders>
              <w:top w:val="single" w:color="auto" w:sz="4" w:space="0"/>
            </w:tcBorders>
            <w:vAlign w:val="center"/>
          </w:tcPr>
          <w:p w14:paraId="27E6308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C1</w:t>
            </w:r>
          </w:p>
        </w:tc>
        <w:tc>
          <w:tcPr>
            <w:tcW w:w="792" w:type="pct"/>
            <w:tcBorders>
              <w:top w:val="single" w:color="auto" w:sz="4" w:space="0"/>
            </w:tcBorders>
            <w:vAlign w:val="center"/>
          </w:tcPr>
          <w:p w14:paraId="12340B9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Delft</w:t>
            </w:r>
          </w:p>
        </w:tc>
        <w:tc>
          <w:tcPr>
            <w:tcW w:w="315" w:type="pct"/>
            <w:tcBorders>
              <w:top w:val="single" w:color="auto" w:sz="4" w:space="0"/>
            </w:tcBorders>
            <w:vAlign w:val="center"/>
          </w:tcPr>
          <w:p w14:paraId="56C98E3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eastAsia" w:eastAsia="宋体"/>
                <w:sz w:val="16"/>
                <w:szCs w:val="16"/>
                <w:lang w:val="en-US" w:eastAsia="zh-CN"/>
              </w:rPr>
            </w:pPr>
            <w:r>
              <w:rPr>
                <w:rFonts w:hint="eastAsia" w:eastAsia="宋体"/>
                <w:sz w:val="16"/>
                <w:szCs w:val="16"/>
                <w:lang w:val="en-US" w:eastAsia="zh-CN"/>
              </w:rPr>
              <w:t>5</w:t>
            </w:r>
          </w:p>
        </w:tc>
        <w:tc>
          <w:tcPr>
            <w:tcW w:w="1026" w:type="pct"/>
            <w:tcBorders>
              <w:top w:val="single" w:color="auto" w:sz="4" w:space="0"/>
            </w:tcBorders>
            <w:vAlign w:val="center"/>
          </w:tcPr>
          <w:p w14:paraId="4804830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68.4</w:t>
            </w:r>
          </w:p>
        </w:tc>
        <w:tc>
          <w:tcPr>
            <w:tcW w:w="1031" w:type="pct"/>
            <w:tcBorders>
              <w:top w:val="single" w:color="auto" w:sz="4" w:space="0"/>
            </w:tcBorders>
            <w:vAlign w:val="center"/>
          </w:tcPr>
          <w:p w14:paraId="6A1FBE7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89.2</w:t>
            </w:r>
          </w:p>
        </w:tc>
        <w:tc>
          <w:tcPr>
            <w:tcW w:w="1095" w:type="pct"/>
            <w:tcBorders>
              <w:top w:val="single" w:color="auto" w:sz="4" w:space="0"/>
            </w:tcBorders>
            <w:vAlign w:val="center"/>
          </w:tcPr>
          <w:p w14:paraId="0BB2848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11.00</w:t>
            </w:r>
          </w:p>
        </w:tc>
      </w:tr>
      <w:tr w14:paraId="5AE0C361">
        <w:tblPrEx>
          <w:tblCellMar>
            <w:top w:w="0" w:type="dxa"/>
            <w:left w:w="108" w:type="dxa"/>
            <w:bottom w:w="0" w:type="dxa"/>
            <w:right w:w="108" w:type="dxa"/>
          </w:tblCellMar>
        </w:tblPrEx>
        <w:trPr>
          <w:trHeight w:val="0" w:hRule="atLeast"/>
          <w:jc w:val="center"/>
        </w:trPr>
        <w:tc>
          <w:tcPr>
            <w:tcW w:w="739" w:type="pct"/>
            <w:vAlign w:val="center"/>
          </w:tcPr>
          <w:p w14:paraId="4839C47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C2</w:t>
            </w:r>
          </w:p>
        </w:tc>
        <w:tc>
          <w:tcPr>
            <w:tcW w:w="792" w:type="pct"/>
            <w:vAlign w:val="center"/>
          </w:tcPr>
          <w:p w14:paraId="611D50A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Delft</w:t>
            </w:r>
          </w:p>
        </w:tc>
        <w:tc>
          <w:tcPr>
            <w:tcW w:w="315" w:type="pct"/>
            <w:vAlign w:val="center"/>
          </w:tcPr>
          <w:p w14:paraId="51FAE19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eastAsia" w:eastAsia="宋体"/>
                <w:sz w:val="16"/>
                <w:szCs w:val="16"/>
                <w:lang w:val="en-US" w:eastAsia="zh-CN"/>
              </w:rPr>
            </w:pPr>
            <w:r>
              <w:rPr>
                <w:rFonts w:hint="eastAsia" w:eastAsia="宋体"/>
                <w:sz w:val="16"/>
                <w:szCs w:val="16"/>
                <w:lang w:val="en-US" w:eastAsia="zh-CN"/>
              </w:rPr>
              <w:t>9</w:t>
            </w:r>
          </w:p>
        </w:tc>
        <w:tc>
          <w:tcPr>
            <w:tcW w:w="1026" w:type="pct"/>
            <w:vAlign w:val="center"/>
          </w:tcPr>
          <w:p w14:paraId="3A16505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61.6</w:t>
            </w:r>
          </w:p>
        </w:tc>
        <w:tc>
          <w:tcPr>
            <w:tcW w:w="1031" w:type="pct"/>
            <w:vAlign w:val="center"/>
          </w:tcPr>
          <w:p w14:paraId="3A868C7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92.1</w:t>
            </w:r>
          </w:p>
        </w:tc>
        <w:tc>
          <w:tcPr>
            <w:tcW w:w="1095" w:type="pct"/>
            <w:vAlign w:val="center"/>
          </w:tcPr>
          <w:p w14:paraId="05A72C7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30.20</w:t>
            </w:r>
          </w:p>
        </w:tc>
      </w:tr>
      <w:tr w14:paraId="039D0B74">
        <w:tblPrEx>
          <w:tblCellMar>
            <w:top w:w="0" w:type="dxa"/>
            <w:left w:w="108" w:type="dxa"/>
            <w:bottom w:w="0" w:type="dxa"/>
            <w:right w:w="108" w:type="dxa"/>
          </w:tblCellMar>
        </w:tblPrEx>
        <w:trPr>
          <w:trHeight w:val="0" w:hRule="atLeast"/>
          <w:jc w:val="center"/>
        </w:trPr>
        <w:tc>
          <w:tcPr>
            <w:tcW w:w="739" w:type="pct"/>
            <w:vAlign w:val="center"/>
          </w:tcPr>
          <w:p w14:paraId="390C4C30">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C3</w:t>
            </w:r>
          </w:p>
        </w:tc>
        <w:tc>
          <w:tcPr>
            <w:tcW w:w="792" w:type="pct"/>
            <w:vAlign w:val="center"/>
          </w:tcPr>
          <w:p w14:paraId="7E40E3B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Patras</w:t>
            </w:r>
          </w:p>
        </w:tc>
        <w:tc>
          <w:tcPr>
            <w:tcW w:w="315" w:type="pct"/>
            <w:vAlign w:val="center"/>
          </w:tcPr>
          <w:p w14:paraId="72D4A2D4">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eastAsia" w:eastAsia="宋体"/>
                <w:sz w:val="16"/>
                <w:szCs w:val="16"/>
                <w:lang w:val="en-US" w:eastAsia="zh-CN"/>
              </w:rPr>
            </w:pPr>
            <w:r>
              <w:rPr>
                <w:rFonts w:hint="eastAsia" w:eastAsia="宋体"/>
                <w:sz w:val="16"/>
                <w:szCs w:val="16"/>
                <w:lang w:val="en-US" w:eastAsia="zh-CN"/>
              </w:rPr>
              <w:t>5</w:t>
            </w:r>
          </w:p>
        </w:tc>
        <w:tc>
          <w:tcPr>
            <w:tcW w:w="1026" w:type="pct"/>
            <w:vAlign w:val="center"/>
          </w:tcPr>
          <w:p w14:paraId="5FE0C21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68.2</w:t>
            </w:r>
          </w:p>
        </w:tc>
        <w:tc>
          <w:tcPr>
            <w:tcW w:w="1031" w:type="pct"/>
            <w:vAlign w:val="center"/>
          </w:tcPr>
          <w:p w14:paraId="40F0FC9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94.0</w:t>
            </w:r>
          </w:p>
        </w:tc>
        <w:tc>
          <w:tcPr>
            <w:tcW w:w="1095" w:type="pct"/>
            <w:vAlign w:val="center"/>
          </w:tcPr>
          <w:p w14:paraId="575474E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12.80</w:t>
            </w:r>
          </w:p>
        </w:tc>
      </w:tr>
      <w:tr w14:paraId="5E528445">
        <w:tblPrEx>
          <w:tblCellMar>
            <w:top w:w="0" w:type="dxa"/>
            <w:left w:w="108" w:type="dxa"/>
            <w:bottom w:w="0" w:type="dxa"/>
            <w:right w:w="108" w:type="dxa"/>
          </w:tblCellMar>
        </w:tblPrEx>
        <w:trPr>
          <w:trHeight w:val="0" w:hRule="atLeast"/>
          <w:jc w:val="center"/>
        </w:trPr>
        <w:tc>
          <w:tcPr>
            <w:tcW w:w="739" w:type="pct"/>
            <w:tcBorders>
              <w:bottom w:val="single" w:color="auto" w:sz="4" w:space="0"/>
            </w:tcBorders>
            <w:shd w:val="clear" w:color="auto" w:fill="auto"/>
            <w:vAlign w:val="center"/>
          </w:tcPr>
          <w:p w14:paraId="0110B6B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C4</w:t>
            </w:r>
          </w:p>
        </w:tc>
        <w:tc>
          <w:tcPr>
            <w:tcW w:w="792" w:type="pct"/>
            <w:tcBorders>
              <w:bottom w:val="single" w:color="auto" w:sz="4" w:space="0"/>
            </w:tcBorders>
            <w:shd w:val="clear" w:color="auto" w:fill="auto"/>
            <w:vAlign w:val="center"/>
          </w:tcPr>
          <w:p w14:paraId="2BC2E2F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Patras</w:t>
            </w:r>
          </w:p>
        </w:tc>
        <w:tc>
          <w:tcPr>
            <w:tcW w:w="315" w:type="pct"/>
            <w:tcBorders>
              <w:bottom w:val="single" w:color="auto" w:sz="4" w:space="0"/>
            </w:tcBorders>
            <w:shd w:val="clear" w:color="auto" w:fill="auto"/>
            <w:vAlign w:val="center"/>
          </w:tcPr>
          <w:p w14:paraId="389F814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10</w:t>
            </w:r>
          </w:p>
        </w:tc>
        <w:tc>
          <w:tcPr>
            <w:tcW w:w="1026" w:type="pct"/>
            <w:tcBorders>
              <w:bottom w:val="single" w:color="auto" w:sz="4" w:space="0"/>
            </w:tcBorders>
            <w:shd w:val="clear" w:color="auto" w:fill="auto"/>
            <w:vAlign w:val="center"/>
          </w:tcPr>
          <w:p w14:paraId="5D74532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55.6</w:t>
            </w:r>
          </w:p>
        </w:tc>
        <w:tc>
          <w:tcPr>
            <w:tcW w:w="1031" w:type="pct"/>
            <w:tcBorders>
              <w:bottom w:val="single" w:color="auto" w:sz="4" w:space="0"/>
            </w:tcBorders>
            <w:shd w:val="clear" w:color="auto" w:fill="auto"/>
            <w:vAlign w:val="center"/>
          </w:tcPr>
          <w:p w14:paraId="0B159FF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94.0</w:t>
            </w:r>
          </w:p>
        </w:tc>
        <w:tc>
          <w:tcPr>
            <w:tcW w:w="1095" w:type="pct"/>
            <w:tcBorders>
              <w:bottom w:val="single" w:color="auto" w:sz="4" w:space="0"/>
            </w:tcBorders>
            <w:shd w:val="clear" w:color="auto" w:fill="auto"/>
            <w:vAlign w:val="center"/>
          </w:tcPr>
          <w:p w14:paraId="6C1834F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16.72</w:t>
            </w:r>
          </w:p>
        </w:tc>
      </w:tr>
    </w:tbl>
    <w:p w14:paraId="0FBFAAA6">
      <w:pPr>
        <w:pStyle w:val="3"/>
        <w:rPr>
          <w:rFonts w:hint="default"/>
          <w:lang w:val="en-US" w:eastAsia="zh-CN"/>
        </w:rPr>
      </w:pPr>
    </w:p>
    <w:tbl>
      <w:tblPr>
        <w:tblStyle w:val="19"/>
        <w:tblW w:w="4848" w:type="pct"/>
        <w:jc w:val="center"/>
        <w:tblLayout w:type="autofit"/>
        <w:tblCellMar>
          <w:top w:w="0" w:type="dxa"/>
          <w:left w:w="108" w:type="dxa"/>
          <w:bottom w:w="0" w:type="dxa"/>
          <w:right w:w="108" w:type="dxa"/>
        </w:tblCellMar>
      </w:tblPr>
      <w:tblGrid>
        <w:gridCol w:w="2283"/>
        <w:gridCol w:w="1085"/>
        <w:gridCol w:w="730"/>
        <w:gridCol w:w="1341"/>
        <w:gridCol w:w="1378"/>
      </w:tblGrid>
      <w:tr w14:paraId="3F3E6138">
        <w:tblPrEx>
          <w:tblCellMar>
            <w:top w:w="0" w:type="dxa"/>
            <w:left w:w="108" w:type="dxa"/>
            <w:bottom w:w="0" w:type="dxa"/>
            <w:right w:w="108" w:type="dxa"/>
          </w:tblCellMar>
        </w:tblPrEx>
        <w:trPr>
          <w:trHeight w:val="0" w:hRule="atLeast"/>
          <w:tblHeader/>
          <w:jc w:val="center"/>
        </w:trPr>
        <w:tc>
          <w:tcPr>
            <w:tcW w:w="1674" w:type="pct"/>
            <w:tcBorders>
              <w:top w:val="single" w:color="auto" w:sz="4" w:space="0"/>
              <w:bottom w:val="single" w:color="auto" w:sz="4" w:space="0"/>
            </w:tcBorders>
            <w:vAlign w:val="center"/>
          </w:tcPr>
          <w:p w14:paraId="751618B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quantity</w:t>
            </w:r>
          </w:p>
        </w:tc>
        <w:tc>
          <w:tcPr>
            <w:tcW w:w="795" w:type="pct"/>
            <w:tcBorders>
              <w:top w:val="single" w:color="auto" w:sz="4" w:space="0"/>
              <w:bottom w:val="single" w:color="auto" w:sz="4" w:space="0"/>
            </w:tcBorders>
            <w:vAlign w:val="center"/>
          </w:tcPr>
          <w:p w14:paraId="5292DB3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grouping</w:t>
            </w:r>
          </w:p>
        </w:tc>
        <w:tc>
          <w:tcPr>
            <w:tcW w:w="535" w:type="pct"/>
            <w:tcBorders>
              <w:top w:val="single" w:color="auto" w:sz="4" w:space="0"/>
              <w:bottom w:val="single" w:color="auto" w:sz="4" w:space="0"/>
            </w:tcBorders>
            <w:vAlign w:val="center"/>
          </w:tcPr>
          <w:p w14:paraId="5FB9D06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ascii="Times New Roman" w:eastAsia="宋体"/>
                <w:b/>
                <w:sz w:val="16"/>
                <w:szCs w:val="16"/>
              </w:rPr>
            </w:pPr>
            <m:oMathPara>
              <m:oMath>
                <m:sSup>
                  <m:sSupPr>
                    <m:ctrlPr>
                      <w:rPr>
                        <w:rFonts w:hint="default" w:ascii="Cambria Math" w:hAnsi="Cambria Math" w:eastAsia="宋体" w:cs="Times New Roman"/>
                        <w:b/>
                        <w:bCs/>
                        <w:i/>
                        <w:sz w:val="16"/>
                        <w:szCs w:val="16"/>
                      </w:rPr>
                    </m:ctrlPr>
                  </m:sSupPr>
                  <m:e>
                    <m:r>
                      <m:rPr>
                        <m:nor/>
                        <m:sty m:val="bi"/>
                      </m:rPr>
                      <w:rPr>
                        <w:rFonts w:hint="default" w:ascii="Times New Roman" w:hAnsi="Times New Roman" w:eastAsia="宋体" w:cs="Times New Roman"/>
                        <w:b/>
                        <w:bCs/>
                        <w:i/>
                        <w:sz w:val="16"/>
                        <w:szCs w:val="16"/>
                      </w:rPr>
                      <m:t>η</m:t>
                    </m:r>
                    <m:ctrlPr>
                      <w:rPr>
                        <w:rFonts w:hint="default" w:ascii="Cambria Math" w:hAnsi="Cambria Math" w:eastAsia="宋体" w:cs="Times New Roman"/>
                        <w:b/>
                        <w:bCs/>
                        <w:i/>
                        <w:sz w:val="16"/>
                        <w:szCs w:val="16"/>
                      </w:rPr>
                    </m:ctrlPr>
                  </m:e>
                  <m:sup>
                    <m:r>
                      <m:rPr>
                        <m:nor/>
                        <m:sty m:val="b"/>
                      </m:rPr>
                      <w:rPr>
                        <w:rFonts w:hint="default" w:ascii="Times New Roman" w:hAnsi="Times New Roman" w:eastAsia="宋体" w:cs="Times New Roman"/>
                        <w:b/>
                        <w:bCs/>
                        <w:i w:val="0"/>
                        <w:sz w:val="16"/>
                        <w:szCs w:val="16"/>
                        <w:lang w:val="en-US" w:eastAsia="zh-CN"/>
                      </w:rPr>
                      <m:t>2</m:t>
                    </m:r>
                    <m:ctrlPr>
                      <w:rPr>
                        <w:rFonts w:hint="default" w:ascii="Cambria Math" w:hAnsi="Cambria Math" w:eastAsia="宋体" w:cs="Times New Roman"/>
                        <w:b/>
                        <w:bCs/>
                        <w:i/>
                        <w:sz w:val="16"/>
                        <w:szCs w:val="16"/>
                      </w:rPr>
                    </m:ctrlPr>
                  </m:sup>
                </m:sSup>
              </m:oMath>
            </m:oMathPara>
          </w:p>
        </w:tc>
        <w:tc>
          <w:tcPr>
            <w:tcW w:w="983" w:type="pct"/>
            <w:tcBorders>
              <w:top w:val="single" w:color="auto" w:sz="4" w:space="0"/>
              <w:bottom w:val="single" w:color="auto" w:sz="4" w:space="0"/>
            </w:tcBorders>
            <w:vAlign w:val="center"/>
          </w:tcPr>
          <w:p w14:paraId="169190A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Null median</w:t>
            </w:r>
          </w:p>
        </w:tc>
        <w:tc>
          <w:tcPr>
            <w:tcW w:w="1010" w:type="pct"/>
            <w:tcBorders>
              <w:top w:val="single" w:color="auto" w:sz="4" w:space="0"/>
              <w:bottom w:val="single" w:color="auto" w:sz="4" w:space="0"/>
            </w:tcBorders>
            <w:vAlign w:val="center"/>
          </w:tcPr>
          <w:p w14:paraId="0B948DF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rPr>
            </w:pPr>
            <m:oMath>
              <m:r>
                <m:rPr>
                  <m:nor/>
                  <m:sty m:val="bi"/>
                </m:rPr>
                <w:rPr>
                  <w:rFonts w:hint="default" w:ascii="Times New Roman" w:hAnsi="Times New Roman" w:eastAsia="宋体" w:cs="Times New Roman"/>
                  <w:b/>
                  <w:i/>
                  <w:sz w:val="16"/>
                  <w:szCs w:val="16"/>
                  <w:lang w:val="en-US" w:eastAsia="zh-CN" w:bidi="ar-SA"/>
                </w:rPr>
                <m:t>p</m:t>
              </m:r>
            </m:oMath>
            <w:r>
              <w:rPr>
                <w:rFonts w:hint="eastAsia" w:ascii="Times New Roman" w:eastAsia="宋体" w:cs="Times New Roman"/>
                <w:b/>
                <w:i w:val="0"/>
                <w:sz w:val="16"/>
                <w:szCs w:val="16"/>
                <w:lang w:val="en-US" w:eastAsia="zh-CN" w:bidi="ar-SA"/>
              </w:rPr>
              <w:t xml:space="preserve"> (lower tail)</w:t>
            </w:r>
          </w:p>
        </w:tc>
      </w:tr>
      <w:tr w14:paraId="07318FF6">
        <w:tblPrEx>
          <w:tblCellMar>
            <w:top w:w="0" w:type="dxa"/>
            <w:left w:w="108" w:type="dxa"/>
            <w:bottom w:w="0" w:type="dxa"/>
            <w:right w:w="108" w:type="dxa"/>
          </w:tblCellMar>
        </w:tblPrEx>
        <w:trPr>
          <w:trHeight w:val="0" w:hRule="atLeast"/>
          <w:jc w:val="center"/>
        </w:trPr>
        <w:tc>
          <w:tcPr>
            <w:tcW w:w="1674" w:type="pct"/>
            <w:tcBorders>
              <w:top w:val="single" w:color="auto" w:sz="4" w:space="0"/>
            </w:tcBorders>
            <w:vAlign w:val="center"/>
          </w:tcPr>
          <w:p w14:paraId="543757B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default" w:ascii="Times New Roman" w:hAnsi="Times New Roman" w:eastAsia="宋体" w:cs="Times New Roman"/>
                <w:sz w:val="16"/>
                <w:szCs w:val="16"/>
                <w:lang w:val="en-US" w:eastAsia="zh-CN"/>
              </w:rPr>
              <w:t xml:space="preserve">cum_hits </w:t>
            </w:r>
            <m:oMath>
              <m:sSub>
                <m:sSubPr>
                  <m:ctrlPr>
                    <w:rPr>
                      <w:rFonts w:hint="default" w:ascii="Cambria Math" w:hAnsi="Cambria Math" w:eastAsia="宋体" w:cs="Times New Roman"/>
                      <w:i/>
                      <w:sz w:val="16"/>
                      <w:szCs w:val="16"/>
                      <w:lang w:val="en-US"/>
                    </w:rPr>
                  </m:ctrlPr>
                </m:sSubPr>
                <m:e>
                  <m:r>
                    <m:rPr>
                      <m:nor/>
                    </m:rPr>
                    <w:rPr>
                      <w:rFonts w:hint="default" w:ascii="Times New Roman" w:hAnsi="Times New Roman" w:eastAsia="宋体" w:cs="Times New Roman"/>
                      <w:i/>
                      <w:sz w:val="16"/>
                      <w:szCs w:val="16"/>
                      <w:lang w:val="en-US" w:eastAsia="zh-CN"/>
                    </w:rPr>
                    <m:t>t</m:t>
                  </m:r>
                  <m:ctrlPr>
                    <w:rPr>
                      <w:rFonts w:hint="default" w:ascii="Cambria Math" w:hAnsi="Cambria Math" w:eastAsia="宋体" w:cs="Times New Roman"/>
                      <w:i/>
                      <w:sz w:val="16"/>
                      <w:szCs w:val="16"/>
                      <w:lang w:val="en-US"/>
                    </w:rPr>
                  </m:ctrlPr>
                </m:e>
                <m:sub>
                  <m:r>
                    <m:rPr>
                      <m:nor/>
                      <m:sty m:val="p"/>
                    </m:rPr>
                    <w:rPr>
                      <w:rFonts w:hint="default" w:ascii="Times New Roman" w:hAnsi="Times New Roman" w:eastAsia="宋体" w:cs="Times New Roman"/>
                      <w:b w:val="0"/>
                      <w:i w:val="0"/>
                      <w:sz w:val="16"/>
                      <w:szCs w:val="16"/>
                      <w:lang w:val="en-US" w:eastAsia="zh-CN"/>
                    </w:rPr>
                    <m:t>85</m:t>
                  </m:r>
                  <m:ctrlPr>
                    <w:rPr>
                      <w:rFonts w:hint="default" w:ascii="Cambria Math" w:hAnsi="Cambria Math" w:eastAsia="宋体" w:cs="Times New Roman"/>
                      <w:i/>
                      <w:sz w:val="16"/>
                      <w:szCs w:val="16"/>
                      <w:lang w:val="en-US"/>
                    </w:rPr>
                  </m:ctrlPr>
                </m:sub>
              </m:sSub>
            </m:oMath>
          </w:p>
        </w:tc>
        <w:tc>
          <w:tcPr>
            <w:tcW w:w="795" w:type="pct"/>
            <w:tcBorders>
              <w:top w:val="single" w:color="auto" w:sz="4" w:space="0"/>
            </w:tcBorders>
            <w:vAlign w:val="center"/>
          </w:tcPr>
          <w:p w14:paraId="663EF2A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campaign</w:t>
            </w:r>
          </w:p>
        </w:tc>
        <w:tc>
          <w:tcPr>
            <w:tcW w:w="535" w:type="pct"/>
            <w:tcBorders>
              <w:top w:val="single" w:color="auto" w:sz="4" w:space="0"/>
            </w:tcBorders>
            <w:vAlign w:val="center"/>
          </w:tcPr>
          <w:p w14:paraId="465895B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0.071</w:t>
            </w:r>
          </w:p>
        </w:tc>
        <w:tc>
          <w:tcPr>
            <w:tcW w:w="983" w:type="pct"/>
            <w:tcBorders>
              <w:top w:val="single" w:color="auto" w:sz="4" w:space="0"/>
            </w:tcBorders>
            <w:vAlign w:val="center"/>
          </w:tcPr>
          <w:p w14:paraId="262BB8E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0.091</w:t>
            </w:r>
          </w:p>
        </w:tc>
        <w:tc>
          <w:tcPr>
            <w:tcW w:w="1010" w:type="pct"/>
            <w:tcBorders>
              <w:top w:val="single" w:color="auto" w:sz="4" w:space="0"/>
            </w:tcBorders>
            <w:vAlign w:val="center"/>
          </w:tcPr>
          <w:p w14:paraId="6BDFB331">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0.386</w:t>
            </w:r>
          </w:p>
        </w:tc>
      </w:tr>
      <w:tr w14:paraId="506C1272">
        <w:tblPrEx>
          <w:tblCellMar>
            <w:top w:w="0" w:type="dxa"/>
            <w:left w:w="108" w:type="dxa"/>
            <w:bottom w:w="0" w:type="dxa"/>
            <w:right w:w="108" w:type="dxa"/>
          </w:tblCellMar>
        </w:tblPrEx>
        <w:trPr>
          <w:trHeight w:val="0" w:hRule="atLeast"/>
          <w:jc w:val="center"/>
        </w:trPr>
        <w:tc>
          <w:tcPr>
            <w:tcW w:w="1674" w:type="pct"/>
            <w:vAlign w:val="center"/>
          </w:tcPr>
          <w:p w14:paraId="35B2160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default" w:ascii="Times New Roman" w:hAnsi="Times New Roman" w:eastAsia="宋体" w:cs="Times New Roman"/>
                <w:sz w:val="16"/>
                <w:szCs w:val="16"/>
                <w:lang w:val="en-US" w:eastAsia="zh-CN"/>
              </w:rPr>
              <w:t xml:space="preserve">cum_hits </w:t>
            </w:r>
            <m:oMath>
              <m:sSub>
                <m:sSubPr>
                  <m:ctrlPr>
                    <w:rPr>
                      <w:rFonts w:hint="default" w:ascii="Cambria Math" w:hAnsi="Cambria Math" w:eastAsia="宋体" w:cs="Times New Roman"/>
                      <w:i/>
                      <w:sz w:val="16"/>
                      <w:szCs w:val="16"/>
                      <w:lang w:val="en-US"/>
                    </w:rPr>
                  </m:ctrlPr>
                </m:sSubPr>
                <m:e>
                  <m:r>
                    <m:rPr>
                      <m:nor/>
                    </m:rPr>
                    <w:rPr>
                      <w:rFonts w:hint="default" w:ascii="Times New Roman" w:hAnsi="Times New Roman" w:eastAsia="宋体" w:cs="Times New Roman"/>
                      <w:i/>
                      <w:sz w:val="16"/>
                      <w:szCs w:val="16"/>
                      <w:lang w:val="en-US" w:eastAsia="zh-CN"/>
                    </w:rPr>
                    <m:t>t</m:t>
                  </m:r>
                  <m:ctrlPr>
                    <w:rPr>
                      <w:rFonts w:hint="default" w:ascii="Cambria Math" w:hAnsi="Cambria Math" w:eastAsia="宋体" w:cs="Times New Roman"/>
                      <w:i/>
                      <w:sz w:val="16"/>
                      <w:szCs w:val="16"/>
                      <w:lang w:val="en-US"/>
                    </w:rPr>
                  </m:ctrlPr>
                </m:e>
                <m:sub>
                  <m:r>
                    <m:rPr>
                      <m:nor/>
                      <m:sty m:val="p"/>
                    </m:rPr>
                    <w:rPr>
                      <w:rFonts w:hint="default" w:ascii="Times New Roman" w:hAnsi="Times New Roman" w:eastAsia="宋体" w:cs="Times New Roman"/>
                      <w:b w:val="0"/>
                      <w:i w:val="0"/>
                      <w:sz w:val="16"/>
                      <w:szCs w:val="16"/>
                      <w:lang w:val="en-US" w:eastAsia="zh-CN"/>
                    </w:rPr>
                    <m:t>85</m:t>
                  </m:r>
                  <m:ctrlPr>
                    <w:rPr>
                      <w:rFonts w:hint="default" w:ascii="Cambria Math" w:hAnsi="Cambria Math" w:eastAsia="宋体" w:cs="Times New Roman"/>
                      <w:i/>
                      <w:sz w:val="16"/>
                      <w:szCs w:val="16"/>
                      <w:lang w:val="en-US"/>
                    </w:rPr>
                  </m:ctrlPr>
                </m:sub>
              </m:sSub>
            </m:oMath>
          </w:p>
        </w:tc>
        <w:tc>
          <w:tcPr>
            <w:tcW w:w="795" w:type="pct"/>
            <w:vAlign w:val="center"/>
          </w:tcPr>
          <w:p w14:paraId="163A615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university</w:t>
            </w:r>
          </w:p>
        </w:tc>
        <w:tc>
          <w:tcPr>
            <w:tcW w:w="535" w:type="pct"/>
            <w:vAlign w:val="center"/>
          </w:tcPr>
          <w:p w14:paraId="4101105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0.057</w:t>
            </w:r>
          </w:p>
        </w:tc>
        <w:tc>
          <w:tcPr>
            <w:tcW w:w="983" w:type="pct"/>
            <w:vAlign w:val="center"/>
          </w:tcPr>
          <w:p w14:paraId="060B9E2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0.018</w:t>
            </w:r>
          </w:p>
        </w:tc>
        <w:tc>
          <w:tcPr>
            <w:tcW w:w="1010" w:type="pct"/>
            <w:vAlign w:val="center"/>
          </w:tcPr>
          <w:p w14:paraId="5D7A950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0.781</w:t>
            </w:r>
          </w:p>
        </w:tc>
      </w:tr>
      <w:tr w14:paraId="4BF9002F">
        <w:tblPrEx>
          <w:tblCellMar>
            <w:top w:w="0" w:type="dxa"/>
            <w:left w:w="108" w:type="dxa"/>
            <w:bottom w:w="0" w:type="dxa"/>
            <w:right w:w="108" w:type="dxa"/>
          </w:tblCellMar>
        </w:tblPrEx>
        <w:trPr>
          <w:trHeight w:val="0" w:hRule="atLeast"/>
          <w:jc w:val="center"/>
        </w:trPr>
        <w:tc>
          <w:tcPr>
            <w:tcW w:w="1674" w:type="pct"/>
            <w:vAlign w:val="center"/>
          </w:tcPr>
          <w:p w14:paraId="1CE0F990">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default" w:ascii="Times New Roman" w:hAnsi="Times New Roman" w:eastAsia="宋体" w:cs="Times New Roman"/>
                <w:sz w:val="16"/>
                <w:szCs w:val="16"/>
                <w:lang w:val="en-US" w:eastAsia="zh-CN"/>
              </w:rPr>
              <w:t xml:space="preserve">cum_hits </w:t>
            </w:r>
            <m:oMath>
              <m:sSub>
                <m:sSubPr>
                  <m:ctrlPr>
                    <w:rPr>
                      <w:rFonts w:hint="default" w:ascii="Cambria Math" w:hAnsi="Cambria Math" w:eastAsia="宋体" w:cs="Times New Roman"/>
                      <w:i/>
                      <w:sz w:val="16"/>
                      <w:szCs w:val="16"/>
                      <w:lang w:val="en-US"/>
                    </w:rPr>
                  </m:ctrlPr>
                </m:sSubPr>
                <m:e>
                  <m:r>
                    <m:rPr>
                      <m:nor/>
                    </m:rPr>
                    <w:rPr>
                      <w:rFonts w:hint="default" w:ascii="Times New Roman" w:hAnsi="Times New Roman" w:eastAsia="宋体" w:cs="Times New Roman"/>
                      <w:i/>
                      <w:sz w:val="16"/>
                      <w:szCs w:val="16"/>
                      <w:lang w:val="en-US" w:eastAsia="zh-CN"/>
                    </w:rPr>
                    <m:t>t</m:t>
                  </m:r>
                  <m:ctrlPr>
                    <w:rPr>
                      <w:rFonts w:hint="default" w:ascii="Cambria Math" w:hAnsi="Cambria Math" w:eastAsia="宋体" w:cs="Times New Roman"/>
                      <w:i/>
                      <w:sz w:val="16"/>
                      <w:szCs w:val="16"/>
                      <w:lang w:val="en-US"/>
                    </w:rPr>
                  </m:ctrlPr>
                </m:e>
                <m:sub>
                  <m:r>
                    <m:rPr>
                      <m:nor/>
                      <m:sty m:val="p"/>
                    </m:rPr>
                    <w:rPr>
                      <w:rFonts w:hint="default" w:ascii="Times New Roman" w:hAnsi="Times New Roman" w:eastAsia="宋体" w:cs="Times New Roman"/>
                      <w:b w:val="0"/>
                      <w:i w:val="0"/>
                      <w:sz w:val="16"/>
                      <w:szCs w:val="16"/>
                      <w:lang w:val="en-US" w:eastAsia="zh-CN"/>
                    </w:rPr>
                    <m:t>50</m:t>
                  </m:r>
                  <m:ctrlPr>
                    <w:rPr>
                      <w:rFonts w:hint="default" w:ascii="Cambria Math" w:hAnsi="Cambria Math" w:eastAsia="宋体" w:cs="Times New Roman"/>
                      <w:i/>
                      <w:sz w:val="16"/>
                      <w:szCs w:val="16"/>
                      <w:lang w:val="en-US"/>
                    </w:rPr>
                  </m:ctrlPr>
                </m:sub>
              </m:sSub>
            </m:oMath>
          </w:p>
        </w:tc>
        <w:tc>
          <w:tcPr>
            <w:tcW w:w="795" w:type="pct"/>
            <w:vAlign w:val="center"/>
          </w:tcPr>
          <w:p w14:paraId="2AD9588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university</w:t>
            </w:r>
          </w:p>
        </w:tc>
        <w:tc>
          <w:tcPr>
            <w:tcW w:w="535" w:type="pct"/>
            <w:vAlign w:val="center"/>
          </w:tcPr>
          <w:p w14:paraId="3A7AFC9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0.000</w:t>
            </w:r>
          </w:p>
        </w:tc>
        <w:tc>
          <w:tcPr>
            <w:tcW w:w="983" w:type="pct"/>
            <w:vAlign w:val="center"/>
          </w:tcPr>
          <w:p w14:paraId="1171F25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0.017</w:t>
            </w:r>
          </w:p>
        </w:tc>
        <w:tc>
          <w:tcPr>
            <w:tcW w:w="1010" w:type="pct"/>
            <w:vAlign w:val="center"/>
          </w:tcPr>
          <w:p w14:paraId="7862ED3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0.026</w:t>
            </w:r>
          </w:p>
        </w:tc>
      </w:tr>
      <w:tr w14:paraId="77E778AD">
        <w:tblPrEx>
          <w:tblCellMar>
            <w:top w:w="0" w:type="dxa"/>
            <w:left w:w="108" w:type="dxa"/>
            <w:bottom w:w="0" w:type="dxa"/>
            <w:right w:w="108" w:type="dxa"/>
          </w:tblCellMar>
        </w:tblPrEx>
        <w:trPr>
          <w:trHeight w:val="0" w:hRule="atLeast"/>
          <w:jc w:val="center"/>
        </w:trPr>
        <w:tc>
          <w:tcPr>
            <w:tcW w:w="1674" w:type="pct"/>
            <w:tcBorders>
              <w:bottom w:val="single" w:color="auto" w:sz="4" w:space="0"/>
            </w:tcBorders>
            <w:shd w:val="clear" w:color="auto" w:fill="auto"/>
            <w:vAlign w:val="center"/>
          </w:tcPr>
          <w:p w14:paraId="7B351A81">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default" w:ascii="Times New Roman" w:hAnsi="Times New Roman" w:eastAsia="宋体" w:cs="Times New Roman"/>
                <w:sz w:val="16"/>
                <w:szCs w:val="16"/>
                <w:lang w:val="en-US" w:eastAsia="zh-CN"/>
              </w:rPr>
              <w:t>cum_</w:t>
            </w:r>
            <w:r>
              <w:rPr>
                <w:rFonts w:hint="eastAsia" w:ascii="Times New Roman" w:eastAsia="宋体" w:cs="Times New Roman"/>
                <w:sz w:val="16"/>
                <w:szCs w:val="16"/>
                <w:lang w:val="en-US" w:eastAsia="zh-CN"/>
              </w:rPr>
              <w:t>energy</w:t>
            </w:r>
            <w:r>
              <w:rPr>
                <w:rFonts w:hint="default" w:ascii="Times New Roman" w:hAnsi="Times New Roman" w:eastAsia="宋体" w:cs="Times New Roman"/>
                <w:sz w:val="16"/>
                <w:szCs w:val="16"/>
                <w:lang w:val="en-US" w:eastAsia="zh-CN"/>
              </w:rPr>
              <w:t xml:space="preserve"> </w:t>
            </w:r>
            <m:oMath>
              <m:sSub>
                <m:sSubPr>
                  <m:ctrlPr>
                    <w:rPr>
                      <w:rFonts w:hint="default" w:ascii="Cambria Math" w:hAnsi="Cambria Math" w:eastAsia="宋体" w:cs="Times New Roman"/>
                      <w:i/>
                      <w:sz w:val="16"/>
                      <w:szCs w:val="16"/>
                      <w:lang w:val="en-US"/>
                    </w:rPr>
                  </m:ctrlPr>
                </m:sSubPr>
                <m:e>
                  <m:r>
                    <m:rPr>
                      <m:nor/>
                    </m:rPr>
                    <w:rPr>
                      <w:rFonts w:hint="default" w:ascii="Times New Roman" w:hAnsi="Times New Roman" w:eastAsia="宋体" w:cs="Times New Roman"/>
                      <w:i/>
                      <w:sz w:val="16"/>
                      <w:szCs w:val="16"/>
                      <w:lang w:val="en-US" w:eastAsia="zh-CN"/>
                    </w:rPr>
                    <m:t>t</m:t>
                  </m:r>
                  <m:ctrlPr>
                    <w:rPr>
                      <w:rFonts w:hint="default" w:ascii="Cambria Math" w:hAnsi="Cambria Math" w:eastAsia="宋体" w:cs="Times New Roman"/>
                      <w:i/>
                      <w:sz w:val="16"/>
                      <w:szCs w:val="16"/>
                      <w:lang w:val="en-US"/>
                    </w:rPr>
                  </m:ctrlPr>
                </m:e>
                <m:sub>
                  <m:r>
                    <m:rPr>
                      <m:nor/>
                      <m:sty m:val="p"/>
                    </m:rPr>
                    <w:rPr>
                      <w:rFonts w:hint="default" w:ascii="Times New Roman" w:hAnsi="Times New Roman" w:eastAsia="宋体" w:cs="Times New Roman"/>
                      <w:b w:val="0"/>
                      <w:i w:val="0"/>
                      <w:sz w:val="16"/>
                      <w:szCs w:val="16"/>
                      <w:lang w:val="en-US" w:eastAsia="zh-CN"/>
                    </w:rPr>
                    <m:t>50</m:t>
                  </m:r>
                  <m:ctrlPr>
                    <w:rPr>
                      <w:rFonts w:hint="default" w:ascii="Cambria Math" w:hAnsi="Cambria Math" w:eastAsia="宋体" w:cs="Times New Roman"/>
                      <w:i/>
                      <w:sz w:val="16"/>
                      <w:szCs w:val="16"/>
                      <w:lang w:val="en-US"/>
                    </w:rPr>
                  </m:ctrlPr>
                </m:sub>
              </m:sSub>
            </m:oMath>
            <w:r>
              <w:rPr>
                <w:rFonts w:hint="eastAsia" w:ascii="Times New Roman" w:hAnsi="Cambria Math" w:eastAsia="宋体" w:cs="Times New Roman"/>
                <w:i w:val="0"/>
                <w:sz w:val="16"/>
                <w:szCs w:val="16"/>
                <w:lang w:val="en-US" w:eastAsia="zh-CN"/>
              </w:rPr>
              <w:t xml:space="preserve"> (control)</w:t>
            </w:r>
          </w:p>
        </w:tc>
        <w:tc>
          <w:tcPr>
            <w:tcW w:w="795" w:type="pct"/>
            <w:tcBorders>
              <w:bottom w:val="single" w:color="auto" w:sz="4" w:space="0"/>
            </w:tcBorders>
            <w:shd w:val="clear" w:color="auto" w:fill="auto"/>
            <w:vAlign w:val="center"/>
          </w:tcPr>
          <w:p w14:paraId="1E40066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ascii="Times New Roman" w:eastAsia="宋体" w:cs="Times New Roman"/>
                <w:sz w:val="16"/>
                <w:szCs w:val="16"/>
                <w:lang w:val="en-US" w:eastAsia="zh-CN" w:bidi="ar-SA"/>
              </w:rPr>
              <w:t>campaign</w:t>
            </w:r>
          </w:p>
        </w:tc>
        <w:tc>
          <w:tcPr>
            <w:tcW w:w="535" w:type="pct"/>
            <w:tcBorders>
              <w:bottom w:val="single" w:color="auto" w:sz="4" w:space="0"/>
            </w:tcBorders>
            <w:shd w:val="clear" w:color="auto" w:fill="auto"/>
            <w:vAlign w:val="center"/>
          </w:tcPr>
          <w:p w14:paraId="0809300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ascii="Times New Roman" w:eastAsia="宋体" w:cs="Times New Roman"/>
                <w:sz w:val="16"/>
                <w:szCs w:val="16"/>
                <w:lang w:val="en-US" w:eastAsia="zh-CN" w:bidi="ar-SA"/>
              </w:rPr>
              <w:t>0.280</w:t>
            </w:r>
          </w:p>
        </w:tc>
        <w:tc>
          <w:tcPr>
            <w:tcW w:w="983" w:type="pct"/>
            <w:tcBorders>
              <w:bottom w:val="single" w:color="auto" w:sz="4" w:space="0"/>
            </w:tcBorders>
            <w:shd w:val="clear" w:color="auto" w:fill="auto"/>
            <w:vAlign w:val="center"/>
          </w:tcPr>
          <w:p w14:paraId="0002099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ascii="Times New Roman" w:eastAsia="宋体" w:cs="Times New Roman"/>
                <w:sz w:val="16"/>
                <w:szCs w:val="16"/>
                <w:lang w:val="en-US" w:eastAsia="zh-CN" w:bidi="ar-SA"/>
              </w:rPr>
              <w:t>0.088</w:t>
            </w:r>
          </w:p>
        </w:tc>
        <w:tc>
          <w:tcPr>
            <w:tcW w:w="1010" w:type="pct"/>
            <w:tcBorders>
              <w:bottom w:val="single" w:color="auto" w:sz="4" w:space="0"/>
            </w:tcBorders>
            <w:shd w:val="clear" w:color="auto" w:fill="auto"/>
            <w:vAlign w:val="center"/>
          </w:tcPr>
          <w:p w14:paraId="29D40750">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ascii="Times New Roman" w:eastAsia="宋体" w:cs="Times New Roman"/>
                <w:sz w:val="16"/>
                <w:szCs w:val="16"/>
                <w:lang w:val="en-US" w:eastAsia="zh-CN" w:bidi="ar-SA"/>
              </w:rPr>
              <w:t>0.037*</w:t>
            </w:r>
          </w:p>
        </w:tc>
      </w:tr>
    </w:tbl>
    <w:p w14:paraId="7594E3A5">
      <w:pPr>
        <w:pStyle w:val="44"/>
        <w:bidi w:val="0"/>
        <w:rPr>
          <w:rFonts w:hint="default"/>
          <w:lang w:val="en-US" w:eastAsia="zh-CN"/>
        </w:rPr>
      </w:pPr>
      <w:r>
        <w:rPr>
          <w:rFonts w:hint="default"/>
          <w:i/>
          <w:iCs/>
          <w:lang w:val="en-US" w:eastAsia="zh-CN"/>
        </w:rPr>
        <w:t>p</w:t>
      </w:r>
      <w:r>
        <w:rPr>
          <w:rFonts w:hint="default"/>
          <w:lang w:val="en-US" w:eastAsia="zh-CN"/>
        </w:rPr>
        <w:t xml:space="preserve"> is the fraction of 20,000 shuffles of the group labels that give a smaller variance share, with the group sizes held fixed. * The control row reports the upper tail, i.e. the fraction of shuffles that give a larger share.</w:t>
      </w:r>
    </w:p>
    <w:p w14:paraId="323F357E">
      <w:pPr>
        <w:bidi w:val="0"/>
        <w:rPr>
          <w:rFonts w:hint="default"/>
          <w:lang w:val="en-US" w:eastAsia="zh-CN"/>
        </w:rPr>
      </w:pPr>
      <w:r>
        <w:rPr>
          <w:rFonts w:hint="default"/>
          <w:b/>
          <w:bCs/>
          <w:lang w:val="en-US" w:eastAsia="zh-CN"/>
        </w:rPr>
        <w:t>Guided waves.</w:t>
      </w:r>
      <w:r>
        <w:rPr>
          <w:rFonts w:hint="default"/>
          <w:lang w:val="en-US" w:eastAsia="zh-CN"/>
        </w:rPr>
        <w:t xml:space="preserve"> The 56 paths of the 17 specimens with guided-wave coverage were reduced to the time-of-flight drift (</w:t>
      </w:r>
      <w:r>
        <w:fldChar w:fldCharType="begin"/>
      </w:r>
      <w:r>
        <w:instrText xml:space="preserve"> REF _Tab2 \h </w:instrText>
      </w:r>
      <w:r>
        <w:fldChar w:fldCharType="separate"/>
      </w:r>
      <w:r>
        <w:rPr>
          <w:rFonts w:hint="default"/>
          <w:b/>
          <w:bCs/>
          <w:lang w:val="en-US" w:eastAsia="zh-CN"/>
        </w:rPr>
        <w:t>Table 2</w:t>
      </w:r>
      <w:r>
        <w:rPr>
          <w:rFonts w:hint="default"/>
          <w:b/>
          <w:bCs/>
          <w:lang w:val="en-US" w:eastAsia="zh-CN"/>
        </w:rPr>
        <w:fldChar w:fldCharType="end"/>
      </w:r>
      <w:r>
        <w:rPr>
          <w:rFonts w:hint="default"/>
          <w:lang w:val="en-US" w:eastAsia="zh-CN"/>
        </w:rPr>
        <w:t xml:space="preserve">), estimated by cross-correlating each record against a reference with parabolic interpolation, which repeats to within 0.190 microseconds against 1.378 for peak picking. The slope is taken with the Theil-Sen estimator, preferred to least squares because the late-life records are noisier, the median point-to-point jump being 0.755 microseconds against 0.163 in the first 15% of life. The slope is positive for all 17 specimens and the confidence lower bound above zero for 16 (values and units in </w:t>
      </w:r>
      <w:r>
        <w:fldChar w:fldCharType="begin"/>
      </w:r>
      <w:r>
        <w:instrText xml:space="preserve"> REF _Tab2 \h </w:instrText>
      </w:r>
      <w:r>
        <w:fldChar w:fldCharType="separate"/>
      </w:r>
      <w:r>
        <w:rPr>
          <w:rFonts w:hint="default"/>
          <w:b/>
          <w:bCs/>
          <w:lang w:val="en-US" w:eastAsia="zh-CN"/>
        </w:rPr>
        <w:t>Table 2</w:t>
      </w:r>
      <w:r>
        <w:rPr>
          <w:rFonts w:hint="default"/>
          <w:b/>
          <w:bCs/>
          <w:lang w:val="en-US" w:eastAsia="zh-CN"/>
        </w:rPr>
        <w:fldChar w:fldCharType="end"/>
      </w:r>
      <w:r>
        <w:rPr>
          <w:rFonts w:hint="default"/>
          <w:lang w:val="en-US" w:eastAsia="zh-CN"/>
        </w:rPr>
        <w:t>). Under the same decomposition the three campaigns carry a share of 0.128 against a permutation median of 0.095, and the two laboratories 0.000, below 0.4% of the shuffled draws.</w:t>
      </w:r>
    </w:p>
    <w:p w14:paraId="0F36A677">
      <w:pPr>
        <w:pStyle w:val="38"/>
        <w:bidi w:val="0"/>
        <w:rPr>
          <w:rFonts w:hint="default"/>
          <w:lang w:val="en-US" w:eastAsia="zh-CN"/>
        </w:rPr>
      </w:pPr>
      <w:bookmarkStart w:id="9" w:name="_Tab2"/>
      <w:r>
        <w:rPr>
          <w:rFonts w:hint="eastAsia"/>
          <w:b/>
          <w:bCs/>
          <w:lang w:val="en-US" w:eastAsia="zh-CN"/>
        </w:rPr>
        <w:t>Table 2</w:t>
      </w:r>
      <w:bookmarkEnd w:id="9"/>
      <w:r>
        <w:rPr>
          <w:rFonts w:hint="eastAsia"/>
          <w:b/>
          <w:bCs/>
          <w:lang w:val="en-US" w:eastAsia="zh-CN"/>
        </w:rPr>
        <w:t>.</w:t>
      </w:r>
      <w:r>
        <w:rPr>
          <w:rFonts w:hint="eastAsia"/>
          <w:lang w:val="en-US" w:eastAsia="zh-CN"/>
        </w:rPr>
        <w:t xml:space="preserve"> Guided-wave drift across campaigns; variance decomposition.</w:t>
      </w:r>
    </w:p>
    <w:tbl>
      <w:tblPr>
        <w:tblStyle w:val="19"/>
        <w:tblW w:w="4848" w:type="pct"/>
        <w:jc w:val="center"/>
        <w:tblLayout w:type="autofit"/>
        <w:tblCellMar>
          <w:top w:w="0" w:type="dxa"/>
          <w:left w:w="108" w:type="dxa"/>
          <w:bottom w:w="0" w:type="dxa"/>
          <w:right w:w="108" w:type="dxa"/>
        </w:tblCellMar>
      </w:tblPr>
      <w:tblGrid>
        <w:gridCol w:w="971"/>
        <w:gridCol w:w="1039"/>
        <w:gridCol w:w="336"/>
        <w:gridCol w:w="3234"/>
        <w:gridCol w:w="1237"/>
      </w:tblGrid>
      <w:tr w14:paraId="522B2A36">
        <w:tblPrEx>
          <w:tblCellMar>
            <w:top w:w="0" w:type="dxa"/>
            <w:left w:w="108" w:type="dxa"/>
            <w:bottom w:w="0" w:type="dxa"/>
            <w:right w:w="108" w:type="dxa"/>
          </w:tblCellMar>
        </w:tblPrEx>
        <w:trPr>
          <w:trHeight w:val="0" w:hRule="atLeast"/>
          <w:tblHeader/>
          <w:jc w:val="center"/>
        </w:trPr>
        <w:tc>
          <w:tcPr>
            <w:tcW w:w="712" w:type="pct"/>
            <w:tcBorders>
              <w:top w:val="single" w:color="auto" w:sz="4" w:space="0"/>
              <w:bottom w:val="single" w:color="auto" w:sz="4" w:space="0"/>
            </w:tcBorders>
            <w:vAlign w:val="center"/>
          </w:tcPr>
          <w:p w14:paraId="35D6F08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campaign</w:t>
            </w:r>
          </w:p>
        </w:tc>
        <w:tc>
          <w:tcPr>
            <w:tcW w:w="762" w:type="pct"/>
            <w:tcBorders>
              <w:top w:val="single" w:color="auto" w:sz="4" w:space="0"/>
              <w:bottom w:val="single" w:color="auto" w:sz="4" w:space="0"/>
            </w:tcBorders>
            <w:vAlign w:val="center"/>
          </w:tcPr>
          <w:p w14:paraId="17F2817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laboratory</w:t>
            </w:r>
          </w:p>
        </w:tc>
        <w:tc>
          <w:tcPr>
            <w:tcW w:w="246" w:type="pct"/>
            <w:tcBorders>
              <w:top w:val="single" w:color="auto" w:sz="4" w:space="0"/>
              <w:bottom w:val="single" w:color="auto" w:sz="4" w:space="0"/>
            </w:tcBorders>
            <w:vAlign w:val="center"/>
          </w:tcPr>
          <w:p w14:paraId="297C202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ascii="Times New Roman" w:eastAsia="宋体"/>
                <w:b/>
                <w:sz w:val="16"/>
                <w:szCs w:val="16"/>
              </w:rPr>
            </w:pPr>
            <m:oMathPara>
              <m:oMath>
                <m:r>
                  <m:rPr>
                    <m:nor/>
                    <m:sty m:val="bi"/>
                  </m:rPr>
                  <w:rPr>
                    <w:rFonts w:hint="default" w:ascii="Times New Roman" w:hAnsi="Times New Roman" w:eastAsia="宋体" w:cs="Times New Roman"/>
                    <w:b/>
                    <w:i/>
                    <w:sz w:val="16"/>
                    <w:szCs w:val="16"/>
                    <w:lang w:val="en-US" w:eastAsia="zh-CN" w:bidi="ar-SA"/>
                  </w:rPr>
                  <m:t>n</m:t>
                </m:r>
              </m:oMath>
            </m:oMathPara>
          </w:p>
        </w:tc>
        <w:tc>
          <w:tcPr>
            <w:tcW w:w="2371" w:type="pct"/>
            <w:tcBorders>
              <w:top w:val="single" w:color="auto" w:sz="4" w:space="0"/>
              <w:bottom w:val="single" w:color="auto" w:sz="4" w:space="0"/>
            </w:tcBorders>
            <w:vAlign w:val="center"/>
          </w:tcPr>
          <w:p w14:paraId="334DCA6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cs="Times New Roman"/>
                <w:b/>
                <w:bCs w:val="0"/>
                <w:sz w:val="16"/>
                <w:szCs w:val="16"/>
                <w:lang w:val="en-US" w:eastAsia="zh-CN"/>
              </w:rPr>
              <w:t>median slope (microsecond / 100% life)</w:t>
            </w:r>
          </w:p>
        </w:tc>
        <w:tc>
          <w:tcPr>
            <w:tcW w:w="907" w:type="pct"/>
            <w:tcBorders>
              <w:top w:val="single" w:color="auto" w:sz="4" w:space="0"/>
              <w:bottom w:val="single" w:color="auto" w:sz="4" w:space="0"/>
            </w:tcBorders>
            <w:vAlign w:val="center"/>
          </w:tcPr>
          <w:p w14:paraId="3C4B9B00">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 xml:space="preserve">Kendall </w:t>
            </w:r>
            <m:oMath>
              <m:r>
                <m:rPr>
                  <m:nor/>
                  <m:sty m:val="b"/>
                </m:rPr>
                <w:rPr>
                  <w:rFonts w:hint="default" w:ascii="Times New Roman" w:hAnsi="Times New Roman" w:eastAsia="宋体" w:cs="Times New Roman"/>
                  <w:b/>
                  <w:bCs/>
                  <w:sz w:val="16"/>
                  <w:szCs w:val="16"/>
                  <w:lang w:val="en-US"/>
                </w:rPr>
                <m:t>τ</m:t>
              </m:r>
              <m:r>
                <m:rPr>
                  <m:nor/>
                  <m:sty m:val="b"/>
                </m:rPr>
                <w:rPr>
                  <w:rFonts w:hint="default" w:ascii="Times New Roman" w:hAnsi="Times New Roman" w:eastAsia="宋体" w:cs="Times New Roman"/>
                  <w:b/>
                  <w:bCs/>
                  <w:i w:val="0"/>
                  <w:sz w:val="16"/>
                  <w:szCs w:val="16"/>
                  <w:lang w:val="en-US" w:eastAsia="zh-CN"/>
                </w:rPr>
                <m:t xml:space="preserve"> &gt; 0</m:t>
              </m:r>
            </m:oMath>
          </w:p>
        </w:tc>
      </w:tr>
      <w:tr w14:paraId="074834ED">
        <w:tblPrEx>
          <w:tblCellMar>
            <w:top w:w="0" w:type="dxa"/>
            <w:left w:w="108" w:type="dxa"/>
            <w:bottom w:w="0" w:type="dxa"/>
            <w:right w:w="108" w:type="dxa"/>
          </w:tblCellMar>
        </w:tblPrEx>
        <w:trPr>
          <w:trHeight w:val="0" w:hRule="atLeast"/>
          <w:jc w:val="center"/>
        </w:trPr>
        <w:tc>
          <w:tcPr>
            <w:tcW w:w="712" w:type="pct"/>
            <w:tcBorders>
              <w:top w:val="single" w:color="auto" w:sz="4" w:space="0"/>
            </w:tcBorders>
            <w:vAlign w:val="center"/>
          </w:tcPr>
          <w:p w14:paraId="36DE018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C1</w:t>
            </w:r>
          </w:p>
        </w:tc>
        <w:tc>
          <w:tcPr>
            <w:tcW w:w="762" w:type="pct"/>
            <w:tcBorders>
              <w:top w:val="single" w:color="auto" w:sz="4" w:space="0"/>
            </w:tcBorders>
            <w:vAlign w:val="center"/>
          </w:tcPr>
          <w:p w14:paraId="74A7369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Delft</w:t>
            </w:r>
          </w:p>
        </w:tc>
        <w:tc>
          <w:tcPr>
            <w:tcW w:w="246" w:type="pct"/>
            <w:tcBorders>
              <w:top w:val="single" w:color="auto" w:sz="4" w:space="0"/>
            </w:tcBorders>
            <w:vAlign w:val="center"/>
          </w:tcPr>
          <w:p w14:paraId="4ABAC9D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eastAsia" w:eastAsia="宋体"/>
                <w:sz w:val="16"/>
                <w:szCs w:val="16"/>
                <w:lang w:val="en-US" w:eastAsia="zh-CN"/>
              </w:rPr>
            </w:pPr>
            <w:r>
              <w:rPr>
                <w:rFonts w:hint="eastAsia" w:eastAsia="宋体"/>
                <w:sz w:val="16"/>
                <w:szCs w:val="16"/>
                <w:lang w:val="en-US" w:eastAsia="zh-CN"/>
              </w:rPr>
              <w:t>5</w:t>
            </w:r>
          </w:p>
        </w:tc>
        <w:tc>
          <w:tcPr>
            <w:tcW w:w="2371" w:type="pct"/>
            <w:tcBorders>
              <w:top w:val="single" w:color="auto" w:sz="4" w:space="0"/>
            </w:tcBorders>
            <w:vAlign w:val="center"/>
          </w:tcPr>
          <w:p w14:paraId="36CC9A9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+0.0159</w:t>
            </w:r>
          </w:p>
        </w:tc>
        <w:tc>
          <w:tcPr>
            <w:tcW w:w="907" w:type="pct"/>
            <w:tcBorders>
              <w:top w:val="single" w:color="auto" w:sz="4" w:space="0"/>
            </w:tcBorders>
            <w:vAlign w:val="center"/>
          </w:tcPr>
          <w:p w14:paraId="27A3375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5/5</w:t>
            </w:r>
          </w:p>
        </w:tc>
      </w:tr>
      <w:tr w14:paraId="127CD363">
        <w:tblPrEx>
          <w:tblCellMar>
            <w:top w:w="0" w:type="dxa"/>
            <w:left w:w="108" w:type="dxa"/>
            <w:bottom w:w="0" w:type="dxa"/>
            <w:right w:w="108" w:type="dxa"/>
          </w:tblCellMar>
        </w:tblPrEx>
        <w:trPr>
          <w:trHeight w:val="0" w:hRule="atLeast"/>
          <w:jc w:val="center"/>
        </w:trPr>
        <w:tc>
          <w:tcPr>
            <w:tcW w:w="712" w:type="pct"/>
            <w:vAlign w:val="center"/>
          </w:tcPr>
          <w:p w14:paraId="51769C5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C3</w:t>
            </w:r>
          </w:p>
        </w:tc>
        <w:tc>
          <w:tcPr>
            <w:tcW w:w="762" w:type="pct"/>
            <w:vAlign w:val="center"/>
          </w:tcPr>
          <w:p w14:paraId="08B030E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Patras</w:t>
            </w:r>
          </w:p>
        </w:tc>
        <w:tc>
          <w:tcPr>
            <w:tcW w:w="246" w:type="pct"/>
            <w:vAlign w:val="center"/>
          </w:tcPr>
          <w:p w14:paraId="5FCAC324">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eastAsia" w:eastAsia="宋体"/>
                <w:sz w:val="16"/>
                <w:szCs w:val="16"/>
                <w:lang w:val="en-US" w:eastAsia="zh-CN"/>
              </w:rPr>
            </w:pPr>
            <w:r>
              <w:rPr>
                <w:rFonts w:hint="eastAsia" w:eastAsia="宋体"/>
                <w:sz w:val="16"/>
                <w:szCs w:val="16"/>
                <w:lang w:val="en-US" w:eastAsia="zh-CN"/>
              </w:rPr>
              <w:t>5</w:t>
            </w:r>
          </w:p>
        </w:tc>
        <w:tc>
          <w:tcPr>
            <w:tcW w:w="2371" w:type="pct"/>
            <w:vAlign w:val="center"/>
          </w:tcPr>
          <w:p w14:paraId="7ADAA8F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+0.0121</w:t>
            </w:r>
          </w:p>
        </w:tc>
        <w:tc>
          <w:tcPr>
            <w:tcW w:w="907" w:type="pct"/>
            <w:vAlign w:val="center"/>
          </w:tcPr>
          <w:p w14:paraId="15A06890">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eastAsia="宋体"/>
                <w:sz w:val="16"/>
                <w:szCs w:val="16"/>
                <w:lang w:val="en-US" w:eastAsia="zh-CN"/>
              </w:rPr>
            </w:pPr>
            <w:r>
              <w:rPr>
                <w:rFonts w:hint="eastAsia" w:eastAsia="宋体"/>
                <w:sz w:val="16"/>
                <w:szCs w:val="16"/>
                <w:lang w:val="en-US" w:eastAsia="zh-CN"/>
              </w:rPr>
              <w:t>5/5</w:t>
            </w:r>
          </w:p>
        </w:tc>
      </w:tr>
      <w:tr w14:paraId="3BB31922">
        <w:tblPrEx>
          <w:tblCellMar>
            <w:top w:w="0" w:type="dxa"/>
            <w:left w:w="108" w:type="dxa"/>
            <w:bottom w:w="0" w:type="dxa"/>
            <w:right w:w="108" w:type="dxa"/>
          </w:tblCellMar>
        </w:tblPrEx>
        <w:trPr>
          <w:trHeight w:val="0" w:hRule="atLeast"/>
          <w:jc w:val="center"/>
        </w:trPr>
        <w:tc>
          <w:tcPr>
            <w:tcW w:w="712" w:type="pct"/>
            <w:tcBorders>
              <w:bottom w:val="single" w:color="auto" w:sz="4" w:space="0"/>
            </w:tcBorders>
            <w:shd w:val="clear" w:color="auto" w:fill="auto"/>
            <w:vAlign w:val="center"/>
          </w:tcPr>
          <w:p w14:paraId="0EBF129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C4</w:t>
            </w:r>
          </w:p>
        </w:tc>
        <w:tc>
          <w:tcPr>
            <w:tcW w:w="762" w:type="pct"/>
            <w:tcBorders>
              <w:bottom w:val="single" w:color="auto" w:sz="4" w:space="0"/>
            </w:tcBorders>
            <w:shd w:val="clear" w:color="auto" w:fill="auto"/>
            <w:vAlign w:val="center"/>
          </w:tcPr>
          <w:p w14:paraId="11A84A9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sz w:val="16"/>
                <w:szCs w:val="16"/>
                <w:lang w:val="en-US" w:eastAsia="zh-CN"/>
              </w:rPr>
              <w:t>Patras</w:t>
            </w:r>
          </w:p>
        </w:tc>
        <w:tc>
          <w:tcPr>
            <w:tcW w:w="246" w:type="pct"/>
            <w:tcBorders>
              <w:bottom w:val="single" w:color="auto" w:sz="4" w:space="0"/>
            </w:tcBorders>
            <w:shd w:val="clear" w:color="auto" w:fill="auto"/>
            <w:vAlign w:val="center"/>
          </w:tcPr>
          <w:p w14:paraId="13A5E42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cs="Times New Roman"/>
                <w:sz w:val="16"/>
                <w:szCs w:val="16"/>
                <w:lang w:val="en-US" w:eastAsia="zh-CN" w:bidi="ar-SA"/>
              </w:rPr>
              <w:t>7</w:t>
            </w:r>
          </w:p>
        </w:tc>
        <w:tc>
          <w:tcPr>
            <w:tcW w:w="2371" w:type="pct"/>
            <w:tcBorders>
              <w:bottom w:val="single" w:color="auto" w:sz="4" w:space="0"/>
            </w:tcBorders>
            <w:shd w:val="clear" w:color="auto" w:fill="auto"/>
            <w:vAlign w:val="center"/>
          </w:tcPr>
          <w:p w14:paraId="4D0D69C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cs="Times New Roman"/>
                <w:sz w:val="16"/>
                <w:szCs w:val="16"/>
                <w:lang w:val="en-US" w:eastAsia="zh-CN" w:bidi="ar-SA"/>
              </w:rPr>
              <w:t>+0.0244</w:t>
            </w:r>
          </w:p>
        </w:tc>
        <w:tc>
          <w:tcPr>
            <w:tcW w:w="907" w:type="pct"/>
            <w:tcBorders>
              <w:bottom w:val="single" w:color="auto" w:sz="4" w:space="0"/>
            </w:tcBorders>
            <w:shd w:val="clear" w:color="auto" w:fill="auto"/>
            <w:vAlign w:val="center"/>
          </w:tcPr>
          <w:p w14:paraId="22C3B641">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sz w:val="16"/>
                <w:szCs w:val="16"/>
                <w:lang w:val="en-US" w:eastAsia="zh-CN" w:bidi="ar-SA"/>
              </w:rPr>
            </w:pPr>
            <w:r>
              <w:rPr>
                <w:rFonts w:hint="eastAsia" w:eastAsia="宋体" w:cs="Times New Roman"/>
                <w:sz w:val="16"/>
                <w:szCs w:val="16"/>
                <w:lang w:val="en-US" w:eastAsia="zh-CN" w:bidi="ar-SA"/>
              </w:rPr>
              <w:t>7/7</w:t>
            </w:r>
          </w:p>
        </w:tc>
      </w:tr>
    </w:tbl>
    <w:p w14:paraId="5B2B6829">
      <w:pPr>
        <w:pStyle w:val="3"/>
        <w:rPr>
          <w:rFonts w:hint="default"/>
          <w:lang w:val="en-US" w:eastAsia="zh-CN"/>
        </w:rPr>
      </w:pPr>
    </w:p>
    <w:tbl>
      <w:tblPr>
        <w:tblStyle w:val="19"/>
        <w:tblW w:w="4999" w:type="pct"/>
        <w:jc w:val="center"/>
        <w:tblLayout w:type="autofit"/>
        <w:tblCellMar>
          <w:top w:w="0" w:type="dxa"/>
          <w:left w:w="108" w:type="dxa"/>
          <w:bottom w:w="0" w:type="dxa"/>
          <w:right w:w="108" w:type="dxa"/>
        </w:tblCellMar>
      </w:tblPr>
      <w:tblGrid>
        <w:gridCol w:w="1779"/>
        <w:gridCol w:w="1258"/>
        <w:gridCol w:w="845"/>
        <w:gridCol w:w="1551"/>
        <w:gridCol w:w="1597"/>
      </w:tblGrid>
      <w:tr w14:paraId="5F5FDCD7">
        <w:tblPrEx>
          <w:tblCellMar>
            <w:top w:w="0" w:type="dxa"/>
            <w:left w:w="108" w:type="dxa"/>
            <w:bottom w:w="0" w:type="dxa"/>
            <w:right w:w="108" w:type="dxa"/>
          </w:tblCellMar>
        </w:tblPrEx>
        <w:trPr>
          <w:trHeight w:val="0" w:hRule="atLeast"/>
          <w:tblHeader/>
          <w:jc w:val="center"/>
        </w:trPr>
        <w:tc>
          <w:tcPr>
            <w:tcW w:w="1265" w:type="pct"/>
            <w:tcBorders>
              <w:top w:val="single" w:color="auto" w:sz="4" w:space="0"/>
              <w:bottom w:val="single" w:color="auto" w:sz="4" w:space="0"/>
            </w:tcBorders>
            <w:noWrap w:val="0"/>
            <w:tcMar>
              <w:top w:w="-1" w:type="dxa"/>
              <w:left w:w="-1" w:type="dxa"/>
              <w:bottom w:w="-1" w:type="dxa"/>
              <w:right w:w="-1" w:type="dxa"/>
            </w:tcMar>
            <w:vAlign w:val="center"/>
          </w:tcPr>
          <w:p w14:paraId="3DC014D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quantity</w:t>
            </w:r>
          </w:p>
        </w:tc>
        <w:tc>
          <w:tcPr>
            <w:tcW w:w="894" w:type="pct"/>
            <w:tcBorders>
              <w:top w:val="single" w:color="auto" w:sz="4" w:space="0"/>
              <w:bottom w:val="single" w:color="auto" w:sz="4" w:space="0"/>
            </w:tcBorders>
            <w:noWrap w:val="0"/>
            <w:tcMar>
              <w:top w:w="-1" w:type="dxa"/>
              <w:left w:w="-1" w:type="dxa"/>
              <w:bottom w:w="-1" w:type="dxa"/>
              <w:right w:w="-1" w:type="dxa"/>
            </w:tcMar>
            <w:vAlign w:val="center"/>
          </w:tcPr>
          <w:p w14:paraId="4BC10FC0">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grouping</w:t>
            </w:r>
          </w:p>
        </w:tc>
        <w:tc>
          <w:tcPr>
            <w:tcW w:w="601" w:type="pct"/>
            <w:tcBorders>
              <w:top w:val="single" w:color="auto" w:sz="4" w:space="0"/>
              <w:bottom w:val="single" w:color="auto" w:sz="4" w:space="0"/>
            </w:tcBorders>
            <w:noWrap w:val="0"/>
            <w:tcMar>
              <w:top w:w="-1" w:type="dxa"/>
              <w:left w:w="-1" w:type="dxa"/>
              <w:bottom w:w="-1" w:type="dxa"/>
              <w:right w:w="-1" w:type="dxa"/>
            </w:tcMar>
            <w:vAlign w:val="center"/>
          </w:tcPr>
          <w:p w14:paraId="318A783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ascii="Times New Roman" w:eastAsia="宋体"/>
                <w:b/>
                <w:sz w:val="16"/>
                <w:szCs w:val="16"/>
              </w:rPr>
            </w:pPr>
            <m:oMathPara>
              <m:oMath>
                <m:sSup>
                  <m:sSupPr>
                    <m:ctrlPr>
                      <w:rPr>
                        <w:rFonts w:hint="default" w:ascii="Cambria Math" w:hAnsi="Cambria Math" w:eastAsia="宋体" w:cs="Times New Roman"/>
                        <w:b/>
                        <w:bCs/>
                        <w:i/>
                        <w:sz w:val="16"/>
                        <w:szCs w:val="16"/>
                      </w:rPr>
                    </m:ctrlPr>
                  </m:sSupPr>
                  <m:e>
                    <m:r>
                      <m:rPr>
                        <m:nor/>
                        <m:sty m:val="bi"/>
                      </m:rPr>
                      <w:rPr>
                        <w:rFonts w:hint="default" w:ascii="Times New Roman" w:hAnsi="Times New Roman" w:eastAsia="宋体" w:cs="Times New Roman"/>
                        <w:b/>
                        <w:bCs/>
                        <w:i/>
                        <w:sz w:val="16"/>
                        <w:szCs w:val="16"/>
                      </w:rPr>
                      <m:t>η</m:t>
                    </m:r>
                    <m:ctrlPr>
                      <w:rPr>
                        <w:rFonts w:hint="default" w:ascii="Cambria Math" w:hAnsi="Cambria Math" w:eastAsia="宋体" w:cs="Times New Roman"/>
                        <w:b/>
                        <w:bCs/>
                        <w:i/>
                        <w:sz w:val="16"/>
                        <w:szCs w:val="16"/>
                      </w:rPr>
                    </m:ctrlPr>
                  </m:e>
                  <m:sup>
                    <m:r>
                      <m:rPr>
                        <m:nor/>
                        <m:sty m:val="b"/>
                      </m:rPr>
                      <w:rPr>
                        <w:rFonts w:hint="default" w:ascii="Times New Roman" w:hAnsi="Times New Roman" w:eastAsia="宋体" w:cs="Times New Roman"/>
                        <w:b/>
                        <w:bCs/>
                        <w:i w:val="0"/>
                        <w:sz w:val="16"/>
                        <w:szCs w:val="16"/>
                        <w:lang w:val="en-US" w:eastAsia="zh-CN"/>
                      </w:rPr>
                      <m:t>2</m:t>
                    </m:r>
                    <m:ctrlPr>
                      <w:rPr>
                        <w:rFonts w:hint="default" w:ascii="Cambria Math" w:hAnsi="Cambria Math" w:eastAsia="宋体" w:cs="Times New Roman"/>
                        <w:b/>
                        <w:bCs/>
                        <w:i/>
                        <w:sz w:val="16"/>
                        <w:szCs w:val="16"/>
                      </w:rPr>
                    </m:ctrlPr>
                  </m:sup>
                </m:sSup>
              </m:oMath>
            </m:oMathPara>
          </w:p>
        </w:tc>
        <w:tc>
          <w:tcPr>
            <w:tcW w:w="1103" w:type="pct"/>
            <w:tcBorders>
              <w:top w:val="single" w:color="auto" w:sz="4" w:space="0"/>
              <w:bottom w:val="single" w:color="auto" w:sz="4" w:space="0"/>
            </w:tcBorders>
            <w:noWrap w:val="0"/>
            <w:tcMar>
              <w:top w:w="-1" w:type="dxa"/>
              <w:left w:w="-1" w:type="dxa"/>
              <w:bottom w:w="-1" w:type="dxa"/>
              <w:right w:w="-1" w:type="dxa"/>
            </w:tcMar>
            <w:vAlign w:val="center"/>
          </w:tcPr>
          <w:p w14:paraId="1AB64DB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eastAsia="zh-CN"/>
              </w:rPr>
            </w:pPr>
            <w:r>
              <w:rPr>
                <w:rFonts w:hint="eastAsia" w:ascii="Times New Roman" w:eastAsia="宋体"/>
                <w:b/>
                <w:sz w:val="16"/>
                <w:szCs w:val="16"/>
                <w:lang w:val="en-US" w:eastAsia="zh-CN"/>
              </w:rPr>
              <w:t>Null median</w:t>
            </w:r>
          </w:p>
        </w:tc>
        <w:tc>
          <w:tcPr>
            <w:tcW w:w="1135" w:type="pct"/>
            <w:tcBorders>
              <w:top w:val="single" w:color="auto" w:sz="4" w:space="0"/>
              <w:bottom w:val="single" w:color="auto" w:sz="4" w:space="0"/>
            </w:tcBorders>
            <w:noWrap w:val="0"/>
            <w:tcMar>
              <w:top w:w="-1" w:type="dxa"/>
              <w:left w:w="-1" w:type="dxa"/>
              <w:bottom w:w="-1" w:type="dxa"/>
              <w:right w:w="-1" w:type="dxa"/>
            </w:tcMar>
            <w:vAlign w:val="center"/>
          </w:tcPr>
          <w:p w14:paraId="7705E13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b/>
                <w:sz w:val="16"/>
                <w:szCs w:val="16"/>
                <w:lang w:val="en-US"/>
              </w:rPr>
            </w:pPr>
            <m:oMath>
              <m:r>
                <m:rPr>
                  <m:nor/>
                  <m:sty m:val="bi"/>
                </m:rPr>
                <w:rPr>
                  <w:rFonts w:hint="default" w:ascii="Times New Roman" w:hAnsi="Times New Roman" w:eastAsia="宋体" w:cs="Times New Roman"/>
                  <w:b/>
                  <w:i/>
                  <w:sz w:val="16"/>
                  <w:szCs w:val="16"/>
                  <w:lang w:val="en-US" w:eastAsia="zh-CN" w:bidi="ar-SA"/>
                </w:rPr>
                <m:t>p</m:t>
              </m:r>
            </m:oMath>
            <w:r>
              <w:rPr>
                <w:rFonts w:hint="eastAsia" w:ascii="Times New Roman" w:eastAsia="宋体" w:cs="Times New Roman"/>
                <w:b/>
                <w:i w:val="0"/>
                <w:sz w:val="16"/>
                <w:szCs w:val="16"/>
                <w:lang w:val="en-US" w:eastAsia="zh-CN" w:bidi="ar-SA"/>
              </w:rPr>
              <w:t xml:space="preserve"> (lower tail)</w:t>
            </w:r>
          </w:p>
        </w:tc>
      </w:tr>
      <w:tr w14:paraId="6D48CD49">
        <w:tblPrEx>
          <w:tblCellMar>
            <w:top w:w="0" w:type="dxa"/>
            <w:left w:w="108" w:type="dxa"/>
            <w:bottom w:w="0" w:type="dxa"/>
            <w:right w:w="108" w:type="dxa"/>
          </w:tblCellMar>
        </w:tblPrEx>
        <w:trPr>
          <w:trHeight w:val="0" w:hRule="atLeast"/>
          <w:jc w:val="center"/>
        </w:trPr>
        <w:tc>
          <w:tcPr>
            <w:tcW w:w="1265" w:type="pct"/>
            <w:tcBorders>
              <w:top w:val="single" w:color="auto" w:sz="4" w:space="0"/>
            </w:tcBorders>
            <w:noWrap w:val="0"/>
            <w:tcMar>
              <w:top w:w="-1" w:type="dxa"/>
              <w:left w:w="-1" w:type="dxa"/>
              <w:bottom w:w="-1" w:type="dxa"/>
              <w:right w:w="-1" w:type="dxa"/>
            </w:tcMar>
            <w:vAlign w:val="center"/>
          </w:tcPr>
          <w:p w14:paraId="054F2611">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default" w:ascii="Times New Roman" w:hAnsi="Times New Roman" w:eastAsia="宋体" w:cs="Times New Roman"/>
                <w:sz w:val="16"/>
                <w:szCs w:val="16"/>
                <w:lang w:val="en-US" w:eastAsia="zh-CN"/>
              </w:rPr>
              <w:t>TOF drift slope</w:t>
            </w:r>
          </w:p>
        </w:tc>
        <w:tc>
          <w:tcPr>
            <w:tcW w:w="894" w:type="pct"/>
            <w:tcBorders>
              <w:top w:val="single" w:color="auto" w:sz="4" w:space="0"/>
            </w:tcBorders>
            <w:noWrap w:val="0"/>
            <w:tcMar>
              <w:top w:w="-1" w:type="dxa"/>
              <w:left w:w="-1" w:type="dxa"/>
              <w:bottom w:w="-1" w:type="dxa"/>
              <w:right w:w="-1" w:type="dxa"/>
            </w:tcMar>
            <w:vAlign w:val="center"/>
          </w:tcPr>
          <w:p w14:paraId="76521FC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campaign</w:t>
            </w:r>
          </w:p>
        </w:tc>
        <w:tc>
          <w:tcPr>
            <w:tcW w:w="601" w:type="pct"/>
            <w:tcBorders>
              <w:top w:val="single" w:color="auto" w:sz="4" w:space="0"/>
            </w:tcBorders>
            <w:noWrap w:val="0"/>
            <w:tcMar>
              <w:top w:w="-1" w:type="dxa"/>
              <w:left w:w="-1" w:type="dxa"/>
              <w:bottom w:w="-1" w:type="dxa"/>
              <w:right w:w="-1" w:type="dxa"/>
            </w:tcMar>
            <w:vAlign w:val="center"/>
          </w:tcPr>
          <w:p w14:paraId="461C80A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w:t>
            </w:r>
            <w:r>
              <w:rPr>
                <w:rFonts w:hint="eastAsia" w:eastAsia="宋体"/>
                <w:sz w:val="16"/>
                <w:szCs w:val="16"/>
                <w:lang w:val="en-US" w:eastAsia="zh-CN"/>
              </w:rPr>
              <w:t>128</w:t>
            </w:r>
          </w:p>
        </w:tc>
        <w:tc>
          <w:tcPr>
            <w:tcW w:w="1103" w:type="pct"/>
            <w:tcBorders>
              <w:top w:val="single" w:color="auto" w:sz="4" w:space="0"/>
            </w:tcBorders>
            <w:noWrap w:val="0"/>
            <w:tcMar>
              <w:top w:w="-1" w:type="dxa"/>
              <w:left w:w="-1" w:type="dxa"/>
              <w:bottom w:w="-1" w:type="dxa"/>
              <w:right w:w="-1" w:type="dxa"/>
            </w:tcMar>
            <w:vAlign w:val="center"/>
          </w:tcPr>
          <w:p w14:paraId="2EF4A27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0.09</w:t>
            </w:r>
            <w:r>
              <w:rPr>
                <w:rFonts w:hint="eastAsia" w:eastAsia="宋体"/>
                <w:sz w:val="16"/>
                <w:szCs w:val="16"/>
                <w:lang w:val="en-US" w:eastAsia="zh-CN"/>
              </w:rPr>
              <w:t>6</w:t>
            </w:r>
          </w:p>
        </w:tc>
        <w:tc>
          <w:tcPr>
            <w:tcW w:w="1135" w:type="pct"/>
            <w:tcBorders>
              <w:top w:val="single" w:color="auto" w:sz="4" w:space="0"/>
            </w:tcBorders>
            <w:noWrap w:val="0"/>
            <w:tcMar>
              <w:top w:w="-1" w:type="dxa"/>
              <w:left w:w="-1" w:type="dxa"/>
              <w:bottom w:w="-1" w:type="dxa"/>
              <w:right w:w="-1" w:type="dxa"/>
            </w:tcMar>
            <w:vAlign w:val="center"/>
          </w:tcPr>
          <w:p w14:paraId="4BD3595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w:t>
            </w:r>
            <w:r>
              <w:rPr>
                <w:rFonts w:hint="eastAsia" w:eastAsia="宋体"/>
                <w:sz w:val="16"/>
                <w:szCs w:val="16"/>
                <w:lang w:val="en-US" w:eastAsia="zh-CN"/>
              </w:rPr>
              <w:t>612</w:t>
            </w:r>
          </w:p>
        </w:tc>
      </w:tr>
      <w:tr w14:paraId="32608F50">
        <w:tblPrEx>
          <w:tblCellMar>
            <w:top w:w="0" w:type="dxa"/>
            <w:left w:w="108" w:type="dxa"/>
            <w:bottom w:w="0" w:type="dxa"/>
            <w:right w:w="108" w:type="dxa"/>
          </w:tblCellMar>
        </w:tblPrEx>
        <w:trPr>
          <w:trHeight w:val="0" w:hRule="atLeast"/>
          <w:jc w:val="center"/>
        </w:trPr>
        <w:tc>
          <w:tcPr>
            <w:tcW w:w="1265" w:type="pct"/>
            <w:noWrap w:val="0"/>
            <w:tcMar>
              <w:top w:w="-1" w:type="dxa"/>
              <w:left w:w="-1" w:type="dxa"/>
              <w:bottom w:w="-1" w:type="dxa"/>
              <w:right w:w="-1" w:type="dxa"/>
            </w:tcMar>
            <w:vAlign w:val="center"/>
          </w:tcPr>
          <w:p w14:paraId="61DE178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default" w:ascii="Times New Roman" w:hAnsi="Times New Roman" w:eastAsia="宋体" w:cs="Times New Roman"/>
                <w:sz w:val="16"/>
                <w:szCs w:val="16"/>
                <w:lang w:val="en-US" w:eastAsia="zh-CN"/>
              </w:rPr>
              <w:t>TOF drift slope</w:t>
            </w:r>
          </w:p>
        </w:tc>
        <w:tc>
          <w:tcPr>
            <w:tcW w:w="894" w:type="pct"/>
            <w:noWrap w:val="0"/>
            <w:tcMar>
              <w:top w:w="-1" w:type="dxa"/>
              <w:left w:w="-1" w:type="dxa"/>
              <w:bottom w:w="-1" w:type="dxa"/>
              <w:right w:w="-1" w:type="dxa"/>
            </w:tcMar>
            <w:vAlign w:val="center"/>
          </w:tcPr>
          <w:p w14:paraId="26EC552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university</w:t>
            </w:r>
          </w:p>
        </w:tc>
        <w:tc>
          <w:tcPr>
            <w:tcW w:w="601" w:type="pct"/>
            <w:noWrap w:val="0"/>
            <w:tcMar>
              <w:top w:w="-1" w:type="dxa"/>
              <w:left w:w="-1" w:type="dxa"/>
              <w:bottom w:w="-1" w:type="dxa"/>
              <w:right w:w="-1" w:type="dxa"/>
            </w:tcMar>
            <w:vAlign w:val="center"/>
          </w:tcPr>
          <w:p w14:paraId="4CEDCFB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w:t>
            </w:r>
            <w:r>
              <w:rPr>
                <w:rFonts w:hint="eastAsia" w:eastAsia="宋体"/>
                <w:sz w:val="16"/>
                <w:szCs w:val="16"/>
                <w:lang w:val="en-US" w:eastAsia="zh-CN"/>
              </w:rPr>
              <w:t>00</w:t>
            </w:r>
          </w:p>
        </w:tc>
        <w:tc>
          <w:tcPr>
            <w:tcW w:w="1103" w:type="pct"/>
            <w:noWrap w:val="0"/>
            <w:tcMar>
              <w:top w:w="-1" w:type="dxa"/>
              <w:left w:w="-1" w:type="dxa"/>
              <w:bottom w:w="-1" w:type="dxa"/>
              <w:right w:w="-1" w:type="dxa"/>
            </w:tcMar>
            <w:vAlign w:val="center"/>
          </w:tcPr>
          <w:p w14:paraId="4D67F62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0.0</w:t>
            </w:r>
            <w:r>
              <w:rPr>
                <w:rFonts w:hint="eastAsia" w:eastAsia="宋体"/>
                <w:sz w:val="16"/>
                <w:szCs w:val="16"/>
                <w:lang w:val="en-US" w:eastAsia="zh-CN"/>
              </w:rPr>
              <w:t>29</w:t>
            </w:r>
          </w:p>
        </w:tc>
        <w:tc>
          <w:tcPr>
            <w:tcW w:w="1135" w:type="pct"/>
            <w:noWrap w:val="0"/>
            <w:tcMar>
              <w:top w:w="-1" w:type="dxa"/>
              <w:left w:w="-1" w:type="dxa"/>
              <w:bottom w:w="-1" w:type="dxa"/>
              <w:right w:w="-1" w:type="dxa"/>
            </w:tcMar>
            <w:vAlign w:val="center"/>
          </w:tcPr>
          <w:p w14:paraId="7D6DD184">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eastAsia="宋体"/>
                <w:sz w:val="16"/>
                <w:szCs w:val="16"/>
                <w:lang w:val="en-US" w:eastAsia="zh-CN"/>
              </w:rPr>
            </w:pPr>
            <w:r>
              <w:rPr>
                <w:rFonts w:hint="eastAsia" w:ascii="Times New Roman" w:eastAsia="宋体"/>
                <w:sz w:val="16"/>
                <w:szCs w:val="16"/>
                <w:lang w:val="en-US" w:eastAsia="zh-CN"/>
              </w:rPr>
              <w:t>0.</w:t>
            </w:r>
            <w:r>
              <w:rPr>
                <w:rFonts w:hint="eastAsia" w:eastAsia="宋体"/>
                <w:sz w:val="16"/>
                <w:szCs w:val="16"/>
                <w:lang w:val="en-US" w:eastAsia="zh-CN"/>
              </w:rPr>
              <w:t>004</w:t>
            </w:r>
          </w:p>
        </w:tc>
      </w:tr>
    </w:tbl>
    <w:p w14:paraId="02B1F466">
      <w:pPr>
        <w:pStyle w:val="3"/>
        <w:rPr>
          <w:rFonts w:hint="default"/>
          <w:lang w:val="en-US" w:eastAsia="zh-CN"/>
        </w:rPr>
      </w:pPr>
    </w:p>
    <w:p w14:paraId="234F0224">
      <w:pPr>
        <w:bidi w:val="0"/>
        <w:rPr>
          <w:rFonts w:hint="default"/>
          <w:lang w:val="en-US" w:eastAsia="zh-CN"/>
        </w:rPr>
      </w:pPr>
      <w:r>
        <w:rPr>
          <w:rFonts w:hint="default"/>
          <w:b/>
          <w:bCs/>
          <w:lang w:val="en-US" w:eastAsia="zh-CN"/>
        </w:rPr>
        <w:t>The two systems compared.</w:t>
      </w:r>
      <w:r>
        <w:rPr>
          <w:rFonts w:hint="default"/>
          <w:lang w:val="en-US" w:eastAsia="zh-CN"/>
        </w:rPr>
        <w:t xml:space="preserve"> The two systems share no transducer, no instrument and no monitored quantity. Yet for the quantity each reports, the acoustic-emission position at </w:t>
      </w:r>
      <m:oMath>
        <m:r>
          <m:rPr>
            <m:nor/>
          </m:rPr>
          <w:rPr>
            <w:rFonts w:hint="default" w:ascii="Times New Roman" w:hAnsi="Times New Roman" w:cs="Times New Roman"/>
            <w:i/>
            <w:iCs/>
            <w:szCs w:val="24"/>
            <w:lang w:val="en-US" w:eastAsia="zh-CN" w:bidi="ar-SA"/>
          </w:rPr>
          <m:t>x</m:t>
        </m:r>
        <m:r>
          <m:rPr>
            <m:nor/>
            <m:sty m:val="p"/>
          </m:rPr>
          <w:rPr>
            <w:rFonts w:hint="default" w:ascii="Times New Roman" w:hAnsi="Times New Roman" w:cs="Times New Roman"/>
            <w:b w:val="0"/>
            <w:i w:val="0"/>
            <w:iCs w:val="0"/>
            <w:szCs w:val="24"/>
            <w:lang w:val="en-US" w:eastAsia="zh-CN" w:bidi="ar-SA"/>
          </w:rPr>
          <m:t xml:space="preserve"> = 50</m:t>
        </m:r>
      </m:oMath>
      <w:r>
        <w:rPr>
          <w:rFonts w:hint="default"/>
          <w:lang w:val="en-US" w:eastAsia="zh-CN"/>
        </w:rPr>
        <w:t xml:space="preserve"> and the guided-wave drift slope, both place the share of variance attributable to the university at 0.000, below 2.6% and 0.4% of the shuffled draws respectively, while the differences between specimens are retained (</w:t>
      </w:r>
      <w:r>
        <w:fldChar w:fldCharType="begin"/>
      </w:r>
      <w:r>
        <w:instrText xml:space="preserve"> REF _Fig4 \h </w:instrText>
      </w:r>
      <w:r>
        <w:fldChar w:fldCharType="separate"/>
      </w:r>
      <w:r>
        <w:rPr>
          <w:rFonts w:hint="default"/>
          <w:b/>
          <w:bCs/>
          <w:lang w:val="en-US" w:eastAsia="zh-CN"/>
        </w:rPr>
        <w:t>Figure 4</w:t>
      </w:r>
      <w:r>
        <w:rPr>
          <w:rFonts w:hint="default"/>
          <w:b/>
          <w:bCs/>
          <w:lang w:val="en-US" w:eastAsia="zh-CN"/>
        </w:rPr>
        <w:fldChar w:fldCharType="end"/>
      </w:r>
      <w:r>
        <w:rPr>
          <w:rFonts w:hint="default"/>
          <w:lang w:val="en-US" w:eastAsia="zh-CN"/>
        </w:rPr>
        <w:t>).</w:t>
      </w:r>
    </w:p>
    <w:p w14:paraId="1223BC7D">
      <w:pPr>
        <w:bidi w:val="0"/>
        <w:ind w:left="0" w:leftChars="0" w:right="0" w:rightChars="0" w:firstLine="0" w:firstLineChars="0"/>
        <w:jc w:val="center"/>
      </w:pPr>
      <w:r>
        <w:drawing>
          <wp:inline distT="0" distB="0" distL="114300" distR="114300">
            <wp:extent cx="4460875" cy="1433830"/>
            <wp:effectExtent l="0" t="0" r="4445" b="139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460875" cy="1433830"/>
                    </a:xfrm>
                    <a:prstGeom prst="rect">
                      <a:avLst/>
                    </a:prstGeom>
                    <a:noFill/>
                    <a:ln>
                      <a:noFill/>
                    </a:ln>
                  </pic:spPr>
                </pic:pic>
              </a:graphicData>
            </a:graphic>
          </wp:inline>
        </w:drawing>
      </w:r>
    </w:p>
    <w:p w14:paraId="4EDCB924">
      <w:pPr>
        <w:pStyle w:val="44"/>
        <w:bidi w:val="0"/>
        <w:rPr>
          <w:rFonts w:hint="eastAsia"/>
          <w:lang w:val="en-US" w:eastAsia="zh-CN"/>
        </w:rPr>
      </w:pPr>
      <w:bookmarkStart w:id="10" w:name="_Fig4"/>
      <w:r>
        <w:rPr>
          <w:rFonts w:hint="eastAsia"/>
          <w:b/>
          <w:bCs/>
          <w:lang w:val="en-US" w:eastAsia="zh-CN"/>
        </w:rPr>
        <w:t>Figure 4</w:t>
      </w:r>
      <w:bookmarkEnd w:id="10"/>
      <w:r>
        <w:rPr>
          <w:rFonts w:hint="eastAsia"/>
          <w:b/>
          <w:bCs/>
          <w:lang w:val="en-US" w:eastAsia="zh-CN"/>
        </w:rPr>
        <w:t>.</w:t>
      </w:r>
      <w:r>
        <w:rPr>
          <w:rFonts w:hint="eastAsia"/>
          <w:lang w:val="en-US" w:eastAsia="zh-CN"/>
        </w:rPr>
        <w:t xml:space="preserve"> Two independent measurement systems compared.</w:t>
      </w:r>
    </w:p>
    <w:p w14:paraId="413DA67B">
      <w:pPr>
        <w:pStyle w:val="4"/>
        <w:bidi w:val="0"/>
        <w:rPr>
          <w:rFonts w:hint="default"/>
          <w:lang w:val="en-US" w:eastAsia="zh-CN"/>
        </w:rPr>
      </w:pPr>
      <w:r>
        <w:rPr>
          <w:rFonts w:hint="default"/>
          <w:lang w:val="en-US" w:eastAsia="zh-CN"/>
        </w:rPr>
        <w:t>Agreement Across Four Modalities on the Same Specimen</w:t>
      </w:r>
    </w:p>
    <w:p w14:paraId="127B8EF4">
      <w:pPr>
        <w:pStyle w:val="3"/>
        <w:bidi w:val="0"/>
        <w:rPr>
          <w:rFonts w:hint="default"/>
          <w:lang w:val="en-US" w:eastAsia="zh-CN"/>
        </w:rPr>
      </w:pPr>
      <w:r>
        <w:rPr>
          <w:rFonts w:hint="default"/>
          <w:lang w:val="en-US" w:eastAsia="zh-CN"/>
        </w:rPr>
        <w:t xml:space="preserve">A sharper test than the comparison in Section </w:t>
      </w:r>
      <w:r>
        <w:rPr>
          <w:rStyle w:val="23"/>
          <w:rFonts w:hint="default"/>
          <w:lang w:val="en-US" w:eastAsia="zh-CN"/>
        </w:rPr>
        <w:fldChar w:fldCharType="begin"/>
      </w:r>
      <w:r>
        <w:rPr>
          <w:rStyle w:val="23"/>
          <w:rFonts w:hint="default"/>
          <w:lang w:val="en-US" w:eastAsia="zh-CN"/>
        </w:rPr>
        <w:instrText xml:space="preserve"> HYPERLINK \l "_Validation on Two Independent Systems" </w:instrText>
      </w:r>
      <w:r>
        <w:rPr>
          <w:rStyle w:val="23"/>
          <w:rFonts w:hint="default"/>
          <w:lang w:val="en-US" w:eastAsia="zh-CN"/>
        </w:rPr>
        <w:fldChar w:fldCharType="separate"/>
      </w:r>
      <w:r>
        <w:rPr>
          <w:rStyle w:val="22"/>
          <w:rFonts w:hint="default"/>
          <w:lang w:val="en-US" w:eastAsia="zh-CN"/>
        </w:rPr>
        <w:t>3.3</w:t>
      </w:r>
      <w:r>
        <w:rPr>
          <w:rStyle w:val="23"/>
          <w:rFonts w:hint="default"/>
          <w:lang w:val="en-US" w:eastAsia="zh-CN"/>
        </w:rPr>
        <w:fldChar w:fldCharType="end"/>
      </w:r>
      <w:r>
        <w:rPr>
          <w:rFonts w:hint="default"/>
          <w:lang w:val="en-US" w:eastAsia="zh-CN"/>
        </w:rPr>
        <w:t xml:space="preserve"> is available on the five specimens that carry four modalities at once, acoustic emission, guided waves through the transducer array, fibre Bragg gratings and distributed fibre-optic strain, on which four physically different measurements of one fatigue process were recorded at the same acquisition states. Each was reduced to a cumulative curve over the acquisition index, normalised by its own final value as in </w:t>
      </w:r>
      <w:r>
        <w:rPr>
          <w:rFonts w:hint="default"/>
          <w:b/>
          <w:bCs/>
          <w:lang w:val="en-US" w:eastAsia="zh-CN"/>
        </w:rPr>
        <w:t>Eq</w:t>
      </w:r>
      <w:r>
        <w:rPr>
          <w:rFonts w:hint="eastAsia"/>
          <w:b/>
          <w:bCs/>
          <w:lang w:val="en-US" w:eastAsia="zh-CN"/>
        </w:rPr>
        <w:t xml:space="preserve">uation </w:t>
      </w:r>
      <w:r>
        <w:rPr>
          <w:rFonts w:hint="default"/>
          <w:b/>
          <w:bCs/>
          <w:lang w:val="en-US" w:eastAsia="zh-CN"/>
        </w:rPr>
        <w:t>(2)</w:t>
      </w:r>
      <w:r>
        <w:rPr>
          <w:rFonts w:hint="default"/>
          <w:lang w:val="en-US" w:eastAsia="zh-CN"/>
        </w:rPr>
        <w:t xml:space="preserve">, and the lifetime fraction at which it reaches half of that value, </w:t>
      </w:r>
      <m:oMath>
        <m:sSub>
          <m:sSubPr>
            <m:ctrlPr>
              <w:rPr>
                <w:rFonts w:hint="default" w:ascii="Times New Roman" w:hAnsi="Times New Roman" w:cs="Times New Roman"/>
                <w:i w:val="0"/>
                <w:szCs w:val="24"/>
                <w:lang w:val="en-US" w:eastAsia="zh-CN" w:bidi="ar-SA"/>
              </w:rPr>
            </m:ctrlPr>
          </m:sSubPr>
          <m:e>
            <m:r>
              <m:rPr/>
              <w:rPr>
                <w:rFonts w:hint="default" w:ascii="Times New Roman" w:hAnsi="Times New Roman" w:cs="Times New Roman"/>
                <w:szCs w:val="24"/>
                <w:lang w:val="en-US" w:eastAsia="zh-CN" w:bidi="ar-SA"/>
              </w:rPr>
              <m:t>t</m:t>
            </m:r>
            <m:ctrlPr>
              <w:rPr>
                <w:rFonts w:hint="default" w:ascii="Times New Roman" w:hAnsi="Times New Roman" w:cs="Times New Roman"/>
                <w:i w:val="0"/>
                <w:szCs w:val="24"/>
                <w:lang w:val="en-US" w:eastAsia="zh-CN" w:bidi="ar-SA"/>
              </w:rPr>
            </m:ctrlPr>
          </m:e>
          <m:sub>
            <m:r>
              <m:rPr>
                <m:sty m:val="p"/>
              </m:rPr>
              <w:rPr>
                <w:rFonts w:hint="default" w:cs="Times New Roman"/>
                <w:szCs w:val="24"/>
                <w:lang w:val="en-US" w:eastAsia="zh-CN" w:bidi="ar-SA"/>
              </w:rPr>
              <m:t>50</m:t>
            </m:r>
            <m:ctrlPr>
              <w:rPr>
                <w:rFonts w:hint="default" w:ascii="Times New Roman" w:hAnsi="Times New Roman" w:cs="Times New Roman"/>
                <w:i w:val="0"/>
                <w:szCs w:val="24"/>
                <w:lang w:val="en-US" w:eastAsia="zh-CN" w:bidi="ar-SA"/>
              </w:rPr>
            </m:ctrlPr>
          </m:sub>
        </m:sSub>
      </m:oMath>
      <w:r>
        <w:rPr>
          <w:rFonts w:hint="default"/>
          <w:lang w:val="en-US" w:eastAsia="zh-CN"/>
        </w:rPr>
        <w:t>, taken as the position of the process (</w:t>
      </w:r>
      <w:r>
        <w:fldChar w:fldCharType="begin"/>
      </w:r>
      <w:r>
        <w:instrText xml:space="preserve"> REF _Fig5 \h </w:instrText>
      </w:r>
      <w:r>
        <w:fldChar w:fldCharType="separate"/>
      </w:r>
      <w:r>
        <w:rPr>
          <w:rFonts w:hint="default"/>
          <w:b/>
          <w:bCs/>
          <w:lang w:val="en-US" w:eastAsia="zh-CN"/>
        </w:rPr>
        <w:t>Figure 5</w:t>
      </w:r>
      <w:r>
        <w:rPr>
          <w:rFonts w:hint="default"/>
          <w:b/>
          <w:bCs/>
          <w:lang w:val="en-US" w:eastAsia="zh-CN"/>
        </w:rPr>
        <w:fldChar w:fldCharType="end"/>
      </w:r>
      <w:r>
        <w:rPr>
          <w:rFonts w:hint="default"/>
          <w:lang w:val="en-US" w:eastAsia="zh-CN"/>
        </w:rPr>
        <w:t>).</w:t>
      </w:r>
    </w:p>
    <w:p w14:paraId="4BA3756C">
      <w:pPr>
        <w:bidi w:val="0"/>
        <w:ind w:left="0" w:leftChars="0" w:right="0" w:rightChars="0" w:firstLine="0" w:firstLineChars="0"/>
        <w:jc w:val="center"/>
        <w:rPr>
          <w:rFonts w:hint="default"/>
          <w:lang w:val="en-US" w:eastAsia="zh-CN"/>
        </w:rPr>
      </w:pPr>
      <w:r>
        <w:drawing>
          <wp:inline distT="0" distB="0" distL="114300" distR="114300">
            <wp:extent cx="4460875" cy="1433830"/>
            <wp:effectExtent l="0" t="0" r="4445" b="139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4460875" cy="1433830"/>
                    </a:xfrm>
                    <a:prstGeom prst="rect">
                      <a:avLst/>
                    </a:prstGeom>
                    <a:noFill/>
                    <a:ln>
                      <a:noFill/>
                    </a:ln>
                  </pic:spPr>
                </pic:pic>
              </a:graphicData>
            </a:graphic>
          </wp:inline>
        </w:drawing>
      </w:r>
    </w:p>
    <w:p w14:paraId="4608A603">
      <w:pPr>
        <w:pStyle w:val="44"/>
        <w:bidi w:val="0"/>
        <w:rPr>
          <w:rFonts w:hint="default"/>
          <w:lang w:val="en-US" w:eastAsia="zh-CN"/>
        </w:rPr>
      </w:pPr>
      <w:bookmarkStart w:id="11" w:name="_Fig5"/>
      <w:r>
        <w:rPr>
          <w:rFonts w:hint="eastAsia"/>
          <w:b/>
          <w:bCs/>
          <w:lang w:val="en-US" w:eastAsia="zh-CN"/>
        </w:rPr>
        <w:t>Figure 5</w:t>
      </w:r>
      <w:bookmarkEnd w:id="11"/>
      <w:r>
        <w:rPr>
          <w:rFonts w:hint="eastAsia"/>
          <w:b/>
          <w:bCs/>
          <w:lang w:val="en-US" w:eastAsia="zh-CN"/>
        </w:rPr>
        <w:t>.</w:t>
      </w:r>
      <w:r>
        <w:rPr>
          <w:rFonts w:hint="eastAsia"/>
          <w:lang w:val="en-US" w:eastAsia="zh-CN"/>
        </w:rPr>
        <w:t xml:space="preserve"> Four modalities on the same specimens.</w:t>
      </w:r>
    </w:p>
    <w:p w14:paraId="2C50F671">
      <w:pPr>
        <w:bidi w:val="0"/>
        <w:rPr>
          <w:rFonts w:hint="default"/>
          <w:lang w:val="en-US" w:eastAsia="zh-CN"/>
        </w:rPr>
      </w:pPr>
      <w:r>
        <w:rPr>
          <w:rFonts w:hint="default"/>
          <w:lang w:val="en-US" w:eastAsia="zh-CN"/>
        </w:rPr>
        <w:t xml:space="preserve">Three observations follow. First, the four modalities order themselves alike on most of the set. Acoustic emission is the earliest indicator on four of the five specimens and distributed strain sensing on the fifth, guided waves follow, and the FBG indicator is the latest on four of the five, the single inversion being the FBG result of L1-05, whose </w:t>
      </w:r>
      <m:oMath>
        <m:sSub>
          <m:sSubPr>
            <m:ctrlPr>
              <w:rPr>
                <w:rFonts w:hint="default" w:ascii="Times New Roman" w:hAnsi="Times New Roman" w:cs="Times New Roman"/>
                <w:i w:val="0"/>
                <w:szCs w:val="24"/>
                <w:lang w:val="en-US" w:eastAsia="zh-CN" w:bidi="ar-SA"/>
              </w:rPr>
            </m:ctrlPr>
          </m:sSubPr>
          <m:e>
            <m:r>
              <m:rPr/>
              <w:rPr>
                <w:rFonts w:hint="default" w:ascii="Times New Roman" w:hAnsi="Times New Roman" w:cs="Times New Roman"/>
                <w:szCs w:val="24"/>
                <w:lang w:val="en-US" w:eastAsia="zh-CN" w:bidi="ar-SA"/>
              </w:rPr>
              <m:t>t</m:t>
            </m:r>
            <m:ctrlPr>
              <w:rPr>
                <w:rFonts w:hint="default" w:ascii="Times New Roman" w:hAnsi="Times New Roman" w:cs="Times New Roman"/>
                <w:i w:val="0"/>
                <w:szCs w:val="24"/>
                <w:lang w:val="en-US" w:eastAsia="zh-CN" w:bidi="ar-SA"/>
              </w:rPr>
            </m:ctrlPr>
          </m:e>
          <m:sub>
            <m:r>
              <m:rPr>
                <m:sty m:val="p"/>
              </m:rPr>
              <w:rPr>
                <w:rFonts w:hint="default" w:cs="Times New Roman"/>
                <w:szCs w:val="24"/>
                <w:lang w:val="en-US" w:eastAsia="zh-CN" w:bidi="ar-SA"/>
              </w:rPr>
              <m:t>50</m:t>
            </m:r>
            <m:ctrlPr>
              <w:rPr>
                <w:rFonts w:hint="default" w:ascii="Times New Roman" w:hAnsi="Times New Roman" w:cs="Times New Roman"/>
                <w:i w:val="0"/>
                <w:szCs w:val="24"/>
                <w:lang w:val="en-US" w:eastAsia="zh-CN" w:bidi="ar-SA"/>
              </w:rPr>
            </m:ctrlPr>
          </m:sub>
        </m:sSub>
      </m:oMath>
      <w:r>
        <w:rPr>
          <w:rFonts w:hint="default"/>
          <w:lang w:val="en-US" w:eastAsia="zh-CN"/>
        </w:rPr>
        <w:t xml:space="preserve"> lies at 39.6% of life against 64.0 to 80.4% elsewhere. Second, they differ in repeatability rather than in ordering, since distributed strain sensing places </w:t>
      </w:r>
      <m:oMath>
        <m:sSub>
          <m:sSubPr>
            <m:ctrlPr>
              <w:rPr>
                <w:rFonts w:hint="default" w:ascii="Times New Roman" w:hAnsi="Times New Roman" w:cs="Times New Roman"/>
                <w:i w:val="0"/>
                <w:szCs w:val="24"/>
                <w:lang w:val="en-US" w:eastAsia="zh-CN" w:bidi="ar-SA"/>
              </w:rPr>
            </m:ctrlPr>
          </m:sSubPr>
          <m:e>
            <m:r>
              <m:rPr/>
              <w:rPr>
                <w:rFonts w:hint="default" w:ascii="Times New Roman" w:hAnsi="Times New Roman" w:cs="Times New Roman"/>
                <w:szCs w:val="24"/>
                <w:lang w:val="en-US" w:eastAsia="zh-CN" w:bidi="ar-SA"/>
              </w:rPr>
              <m:t>t</m:t>
            </m:r>
            <m:ctrlPr>
              <w:rPr>
                <w:rFonts w:hint="default" w:ascii="Times New Roman" w:hAnsi="Times New Roman" w:cs="Times New Roman"/>
                <w:i w:val="0"/>
                <w:szCs w:val="24"/>
                <w:lang w:val="en-US" w:eastAsia="zh-CN" w:bidi="ar-SA"/>
              </w:rPr>
            </m:ctrlPr>
          </m:e>
          <m:sub>
            <m:r>
              <m:rPr>
                <m:sty m:val="p"/>
              </m:rPr>
              <w:rPr>
                <w:rFonts w:hint="default" w:cs="Times New Roman"/>
                <w:szCs w:val="24"/>
                <w:lang w:val="en-US" w:eastAsia="zh-CN" w:bidi="ar-SA"/>
              </w:rPr>
              <m:t>50</m:t>
            </m:r>
            <m:ctrlPr>
              <w:rPr>
                <w:rFonts w:hint="default" w:ascii="Times New Roman" w:hAnsi="Times New Roman" w:cs="Times New Roman"/>
                <w:i w:val="0"/>
                <w:szCs w:val="24"/>
                <w:lang w:val="en-US" w:eastAsia="zh-CN" w:bidi="ar-SA"/>
              </w:rPr>
            </m:ctrlPr>
          </m:sub>
        </m:sSub>
      </m:oMath>
      <w:r>
        <w:rPr>
          <w:rFonts w:hint="default"/>
          <w:lang w:val="en-US" w:eastAsia="zh-CN"/>
        </w:rPr>
        <w:t xml:space="preserve"> within 5.4 points across the five specimens, whereas the FBG indicator covers 39.6 to 80.4%. Third, their short-term fluctuations do not agree, the rank correlation over the six modality pairs falling between −0.556 and +0.667, with medians of −0.264 for the emission and FBG pair and +0.209 for the emission and guided-wave pair.</w:t>
      </w:r>
    </w:p>
    <w:p w14:paraId="2B8F2B7F">
      <w:pPr>
        <w:bidi w:val="0"/>
        <w:rPr>
          <w:rFonts w:hint="default"/>
          <w:lang w:val="en-US" w:eastAsia="zh-CN"/>
        </w:rPr>
      </w:pPr>
      <w:r>
        <w:rPr>
          <w:rFonts w:hint="default"/>
          <w:lang w:val="en-US" w:eastAsia="zh-CN"/>
        </w:rPr>
        <w:t>The protocol aligns the first two of these properties and not the third, which is what one expects from four sensors responding to four different physical quantities.</w:t>
      </w:r>
    </w:p>
    <w:p w14:paraId="62465141">
      <w:pPr>
        <w:pStyle w:val="2"/>
        <w:bidi w:val="0"/>
        <w:rPr>
          <w:rFonts w:hint="default"/>
          <w:lang w:val="en-US" w:eastAsia="zh-CN"/>
        </w:rPr>
      </w:pPr>
      <w:r>
        <w:rPr>
          <w:rFonts w:hint="default"/>
          <w:lang w:val="en-US" w:eastAsia="zh-CN"/>
        </w:rPr>
        <w:t>Conclusions</w:t>
      </w:r>
    </w:p>
    <w:p w14:paraId="690CF0CA">
      <w:pPr>
        <w:bidi w:val="0"/>
        <w:rPr>
          <w:rFonts w:hint="default"/>
          <w:lang w:val="en-US" w:eastAsia="zh-CN"/>
        </w:rPr>
      </w:pPr>
      <w:r>
        <w:rPr>
          <w:rFonts w:hint="default"/>
          <w:lang w:val="en-US" w:eastAsia="zh-CN"/>
        </w:rPr>
        <w:t>The protocol makes 29 acoustic-emission and 17 guided-wave records from two universities comparable along two axes. The lifetime axis is recoverable from the acquisition documentation alone and reproduces the testing machine's own cycle record, and on it the two quantities the protocol reports carry no measurable institutional share while the differences between specimens survive. The rule the protocol replaces does the opposite. It stayed silent for two fifths of the specimens and, where it did trigger, fired at the noise floor, seven of its nine alarms falling before the emission had begun to grow. Three things the protocol does not do are worth stating. It aligns the position of an alarm rather than the time base of a single measurement, and the residual of the acoustic-emission localisation, which neither axis touches, differs between specimens and is largely attributable to a single channel offset. Nor is SNHI a forward alarm, since it is defined against the value the record reaches at its end. Where an alarm should be placed remains a separate question.</w:t>
      </w:r>
    </w:p>
    <w:p w14:paraId="1409AC10">
      <w:pPr>
        <w:pStyle w:val="39"/>
        <w:bidi w:val="0"/>
        <w:rPr>
          <w:rFonts w:hint="default"/>
          <w:lang w:val="en-US" w:eastAsia="zh-CN"/>
        </w:rPr>
      </w:pPr>
      <w:r>
        <w:rPr>
          <w:rFonts w:hint="eastAsia"/>
          <w:lang w:val="en-US" w:eastAsia="zh-CN"/>
        </w:rPr>
        <w:t>Data availability and Acknowledgement</w:t>
      </w:r>
    </w:p>
    <w:p w14:paraId="7A1C3702">
      <w:pPr>
        <w:bidi w:val="0"/>
        <w:rPr>
          <w:rFonts w:hint="default"/>
          <w:lang w:val="en-US" w:eastAsia="zh-CN"/>
        </w:rPr>
      </w:pPr>
      <w:r>
        <w:rPr>
          <w:rFonts w:hint="default"/>
          <w:lang w:val="en-US" w:eastAsia="zh-CN"/>
        </w:rPr>
        <w:t>The datasets analysed here are openly available in DataverseNL (doi:10.34894/QNURER, doi:10.34894/N2RWPR, doi:10.34894/WCDRLW, doi:10.34894/ABR2WX); the analysis scripts are available from the corresponding author.</w:t>
      </w:r>
    </w:p>
    <w:p w14:paraId="7A1C3703">
      <w:pPr>
        <w:bidi w:val="0"/>
        <w:rPr>
          <w:rFonts w:hint="default"/>
          <w:lang w:val="en-US" w:eastAsia="zh-CN"/>
        </w:rPr>
      </w:pPr>
      <w:r>
        <w:rPr>
          <w:rFonts w:hint="default"/>
          <w:lang w:val="en-US" w:eastAsia="zh-CN"/>
        </w:rPr>
        <w:t>The experimental data come from the publicly available ReMAP dataset, collected at Delft University of Technology and the University of Patras by the consortium of the European Union's Horizon 2020 research and innovation programme ReMAP (Grant Agreement Number 769288). This work was supported by the Shaanxi Provincial Innovation and Entrepreneurship Training Program for College Students (No. S202610698472).</w:t>
      </w:r>
    </w:p>
    <w:p w14:paraId="0B1BD01E">
      <w:pPr>
        <w:pStyle w:val="39"/>
      </w:pPr>
      <w:r>
        <w:t>References</w:t>
      </w:r>
    </w:p>
    <w:p w14:paraId="0A7CB2A6">
      <w:pPr>
        <w:pStyle w:val="33"/>
        <w:ind w:left="357" w:hanging="357"/>
        <w:rPr>
          <w:snapToGrid w:val="0"/>
        </w:rPr>
      </w:pPr>
      <w:bookmarkStart w:id="12" w:name="_Ref26808"/>
      <w:r>
        <w:rPr>
          <w:rFonts w:hint="eastAsia"/>
          <w:snapToGrid w:val="0"/>
        </w:rPr>
        <w:t xml:space="preserve">C.R. Farrar and K. Worden, An introduction to structural health monitoring, in: </w:t>
      </w:r>
      <w:r>
        <w:rPr>
          <w:rFonts w:hint="eastAsia"/>
          <w:i/>
          <w:iCs/>
          <w:snapToGrid w:val="0"/>
        </w:rPr>
        <w:t>New Trends in Vibration</w:t>
      </w:r>
      <w:r>
        <w:rPr>
          <w:rFonts w:hint="eastAsia" w:eastAsia="宋体"/>
          <w:i/>
          <w:iCs/>
          <w:snapToGrid w:val="0"/>
          <w:lang w:val="en-US" w:eastAsia="zh-CN"/>
        </w:rPr>
        <w:t xml:space="preserve"> </w:t>
      </w:r>
      <w:r>
        <w:rPr>
          <w:rFonts w:hint="eastAsia"/>
          <w:i/>
          <w:iCs/>
          <w:snapToGrid w:val="0"/>
        </w:rPr>
        <w:t>Based Structural Health Monitoring</w:t>
      </w:r>
      <w:r>
        <w:rPr>
          <w:rFonts w:hint="eastAsia"/>
          <w:snapToGrid w:val="0"/>
        </w:rPr>
        <w:t>, CISM International Centre for Mechanical Sciences, Springer, 2010, pp. 1–17.</w:t>
      </w:r>
      <w:bookmarkEnd w:id="12"/>
    </w:p>
    <w:p w14:paraId="7F48574B">
      <w:pPr>
        <w:pStyle w:val="33"/>
        <w:ind w:left="357" w:hanging="357"/>
      </w:pPr>
      <w:bookmarkStart w:id="13" w:name="_Ref26945"/>
      <w:r>
        <w:rPr>
          <w:rFonts w:hint="eastAsia"/>
          <w:snapToGrid w:val="0"/>
        </w:rPr>
        <w:t xml:space="preserve">M. Wang, M. He, Z. Liang, D. Wu, Y. Wang, X. Qing and Y. Wang, Fatigue damage monitoring of composite laminates based on acoustic emission and digital image correlation techniques, </w:t>
      </w:r>
      <w:r>
        <w:rPr>
          <w:rFonts w:hint="eastAsia"/>
          <w:i/>
          <w:iCs/>
          <w:snapToGrid w:val="0"/>
        </w:rPr>
        <w:t>Composite Structures</w:t>
      </w:r>
      <w:r>
        <w:rPr>
          <w:rFonts w:hint="eastAsia"/>
          <w:snapToGrid w:val="0"/>
        </w:rPr>
        <w:t xml:space="preserve"> </w:t>
      </w:r>
      <w:r>
        <w:rPr>
          <w:rFonts w:hint="eastAsia"/>
          <w:b/>
          <w:bCs/>
          <w:snapToGrid w:val="0"/>
        </w:rPr>
        <w:t>321</w:t>
      </w:r>
      <w:r>
        <w:rPr>
          <w:rFonts w:hint="eastAsia"/>
          <w:snapToGrid w:val="0"/>
        </w:rPr>
        <w:t xml:space="preserve"> (2023), 117239.</w:t>
      </w:r>
      <w:bookmarkEnd w:id="13"/>
    </w:p>
    <w:p w14:paraId="75A38C71">
      <w:pPr>
        <w:pStyle w:val="33"/>
        <w:ind w:left="357" w:hanging="357"/>
      </w:pPr>
      <w:bookmarkStart w:id="14" w:name="_Ref26981"/>
      <w:r>
        <w:rPr>
          <w:rFonts w:hint="eastAsia"/>
        </w:rPr>
        <w:t xml:space="preserve">R.S. Panda, P. Rajagopal and K. Balasubramaniam, Characterization of delamination-type damages in composite laminates using guided wave visualization and air-coupled ultrasound, </w:t>
      </w:r>
      <w:r>
        <w:rPr>
          <w:rFonts w:hint="eastAsia"/>
          <w:i/>
          <w:iCs/>
        </w:rPr>
        <w:t>Structural Health Monitoring</w:t>
      </w:r>
      <w:r>
        <w:rPr>
          <w:rFonts w:hint="eastAsia"/>
        </w:rPr>
        <w:t xml:space="preserve"> </w:t>
      </w:r>
      <w:r>
        <w:rPr>
          <w:rFonts w:hint="eastAsia"/>
          <w:b/>
          <w:bCs/>
        </w:rPr>
        <w:t>16</w:t>
      </w:r>
      <w:r>
        <w:rPr>
          <w:rFonts w:hint="eastAsia"/>
        </w:rPr>
        <w:t xml:space="preserve"> (2) (2017), 142–152.</w:t>
      </w:r>
      <w:bookmarkEnd w:id="14"/>
    </w:p>
    <w:p w14:paraId="50081E3B">
      <w:pPr>
        <w:pStyle w:val="33"/>
        <w:ind w:left="357" w:hanging="357"/>
      </w:pPr>
      <w:bookmarkStart w:id="15" w:name="_Ref27393"/>
      <w:r>
        <w:rPr>
          <w:rFonts w:hint="eastAsia"/>
        </w:rPr>
        <w:t xml:space="preserve">L. Wong, N. Chowdhury, J. Wang, W.K. Chiu and J. Kodikara, Fatigue damage monitoring of a composite step lap joint using distributed optical fibre sensors, </w:t>
      </w:r>
      <w:r>
        <w:rPr>
          <w:rFonts w:hint="eastAsia"/>
          <w:i/>
          <w:iCs/>
        </w:rPr>
        <w:t>Materials</w:t>
      </w:r>
      <w:r>
        <w:rPr>
          <w:rFonts w:hint="eastAsia"/>
        </w:rPr>
        <w:t xml:space="preserve"> </w:t>
      </w:r>
      <w:r>
        <w:rPr>
          <w:rFonts w:hint="eastAsia"/>
          <w:b/>
          <w:bCs/>
        </w:rPr>
        <w:t>9</w:t>
      </w:r>
      <w:r>
        <w:rPr>
          <w:rFonts w:hint="eastAsia"/>
        </w:rPr>
        <w:t xml:space="preserve"> (5) (2016), 374.</w:t>
      </w:r>
      <w:bookmarkEnd w:id="15"/>
    </w:p>
    <w:p w14:paraId="1F795F4D">
      <w:pPr>
        <w:pStyle w:val="33"/>
        <w:ind w:left="357" w:hanging="357"/>
      </w:pPr>
      <w:bookmarkStart w:id="16" w:name="_Ref27445"/>
      <w:r>
        <w:rPr>
          <w:rFonts w:hint="eastAsia"/>
        </w:rPr>
        <w:t xml:space="preserve">T.T. Assimakopoulou and T.P. Philippidis, Health monitoring of composite structures based on acoustic emission measurements, in: </w:t>
      </w:r>
      <w:r>
        <w:rPr>
          <w:rFonts w:hint="eastAsia"/>
          <w:i/>
          <w:iCs/>
        </w:rPr>
        <w:t>Fatigue Life Prediction of Composites and Composite Structures</w:t>
      </w:r>
      <w:r>
        <w:rPr>
          <w:rFonts w:hint="eastAsia"/>
        </w:rPr>
        <w:t>, Woodhead Publishing, 2010, pp. 466–504.</w:t>
      </w:r>
      <w:bookmarkEnd w:id="16"/>
    </w:p>
    <w:p w14:paraId="2EC13B81">
      <w:pPr>
        <w:pStyle w:val="33"/>
        <w:ind w:left="357" w:hanging="357"/>
      </w:pPr>
      <w:bookmarkStart w:id="17" w:name="_Ref27726"/>
      <w:r>
        <w:rPr>
          <w:rFonts w:hint="eastAsia"/>
        </w:rPr>
        <w:t xml:space="preserve">S. Yang, M. Li, J. Liao, J. Wang, D. Zhao, Z. Li and Z. Wang, Predictive-SHM: An open-source, extensible software toolkit for multi-sensor structural health monitoring and time-series prediction, </w:t>
      </w:r>
      <w:r>
        <w:rPr>
          <w:rFonts w:hint="eastAsia"/>
          <w:i/>
          <w:iCs/>
        </w:rPr>
        <w:t>SoftwareX</w:t>
      </w:r>
      <w:r>
        <w:rPr>
          <w:rFonts w:hint="eastAsia"/>
        </w:rPr>
        <w:t xml:space="preserve"> </w:t>
      </w:r>
      <w:r>
        <w:rPr>
          <w:rFonts w:hint="eastAsia"/>
          <w:b/>
          <w:bCs/>
        </w:rPr>
        <w:t>35</w:t>
      </w:r>
      <w:r>
        <w:rPr>
          <w:rFonts w:hint="eastAsia"/>
        </w:rPr>
        <w:t xml:space="preserve"> (2026), 102732.</w:t>
      </w:r>
      <w:bookmarkEnd w:id="17"/>
    </w:p>
    <w:p w14:paraId="22FA9F5D">
      <w:pPr>
        <w:pStyle w:val="33"/>
        <w:ind w:left="357" w:hanging="357"/>
      </w:pPr>
      <w:bookmarkStart w:id="18" w:name="_Ref27935"/>
      <w:r>
        <w:rPr>
          <w:rFonts w:hint="eastAsia"/>
        </w:rPr>
        <w:t xml:space="preserve">A. Saxena, J. Celaya, B. Saha, S. Saha and K. Goebel, Metrics for offline evaluation of prognostic performance, </w:t>
      </w:r>
      <w:r>
        <w:rPr>
          <w:rFonts w:hint="eastAsia"/>
          <w:i/>
          <w:iCs/>
        </w:rPr>
        <w:t>International Journal of Prognostics and Health Management</w:t>
      </w:r>
      <w:r>
        <w:rPr>
          <w:rFonts w:hint="eastAsia"/>
        </w:rPr>
        <w:t xml:space="preserve"> </w:t>
      </w:r>
      <w:r>
        <w:rPr>
          <w:rFonts w:hint="eastAsia"/>
          <w:b/>
          <w:bCs/>
        </w:rPr>
        <w:t>1</w:t>
      </w:r>
      <w:r>
        <w:rPr>
          <w:rFonts w:hint="eastAsia"/>
        </w:rPr>
        <w:t xml:space="preserve"> (1) (2010).</w:t>
      </w:r>
      <w:bookmarkEnd w:id="18"/>
    </w:p>
    <w:p w14:paraId="5C51B923">
      <w:pPr>
        <w:pStyle w:val="33"/>
        <w:ind w:left="357" w:hanging="357"/>
      </w:pPr>
      <w:bookmarkStart w:id="19" w:name="_Ref28010"/>
      <w:r>
        <w:rPr>
          <w:rFonts w:hint="eastAsia"/>
        </w:rPr>
        <w:t xml:space="preserve">N. Yue, A. Broer, W. Briand, M. Rébillat, T. Loutas and D. Zarouchas, Assessing stiffness degradation of stiffened composite panels in post-buckling compression-compression fatigue using guided waves, </w:t>
      </w:r>
      <w:r>
        <w:rPr>
          <w:rFonts w:hint="eastAsia"/>
          <w:i/>
          <w:iCs/>
        </w:rPr>
        <w:t>Composite Structures</w:t>
      </w:r>
      <w:r>
        <w:rPr>
          <w:rFonts w:hint="eastAsia"/>
        </w:rPr>
        <w:t xml:space="preserve"> </w:t>
      </w:r>
      <w:r>
        <w:rPr>
          <w:rFonts w:hint="eastAsia"/>
          <w:b/>
          <w:bCs/>
        </w:rPr>
        <w:t>293</w:t>
      </w:r>
      <w:r>
        <w:rPr>
          <w:rFonts w:hint="eastAsia"/>
        </w:rPr>
        <w:t xml:space="preserve"> (2022), 115751.</w:t>
      </w:r>
      <w:bookmarkEnd w:id="19"/>
    </w:p>
    <w:p w14:paraId="2BD68064">
      <w:pPr>
        <w:pStyle w:val="33"/>
        <w:ind w:left="357" w:hanging="357"/>
      </w:pPr>
      <w:bookmarkStart w:id="20" w:name="_Ref28042"/>
      <w:r>
        <w:rPr>
          <w:rFonts w:hint="eastAsia"/>
        </w:rPr>
        <w:t xml:space="preserve">A. Broer, G. Galanopoulos, R. Benedictus, T. Loutas and D. Zarouchas, Fusion-based damage diagnostics for stiffened composite panels, </w:t>
      </w:r>
      <w:r>
        <w:rPr>
          <w:rFonts w:hint="eastAsia"/>
          <w:i/>
          <w:iCs/>
        </w:rPr>
        <w:t>Structural Health Monitoring</w:t>
      </w:r>
      <w:r>
        <w:rPr>
          <w:rFonts w:hint="eastAsia"/>
        </w:rPr>
        <w:t xml:space="preserve"> </w:t>
      </w:r>
      <w:r>
        <w:rPr>
          <w:rFonts w:hint="eastAsia"/>
          <w:b/>
          <w:bCs/>
        </w:rPr>
        <w:t>21</w:t>
      </w:r>
      <w:r>
        <w:rPr>
          <w:rFonts w:hint="eastAsia"/>
        </w:rPr>
        <w:t xml:space="preserve"> (2) (2022), 613–639.</w:t>
      </w:r>
      <w:bookmarkEnd w:id="20"/>
    </w:p>
    <w:p w14:paraId="6132A088">
      <w:pPr>
        <w:pStyle w:val="33"/>
        <w:ind w:left="357" w:hanging="357"/>
      </w:pPr>
      <w:bookmarkStart w:id="21" w:name="_Ref28176"/>
      <w:r>
        <w:rPr>
          <w:rFonts w:hint="eastAsia"/>
        </w:rPr>
        <w:t>D. Zarouchas, A. Broer, G. Galanopoulos, W. Briand, R. Benedictus and T. Loutas, Compression–compression fatigue tests on single stiffener aerospace structures, dataset, DataverseNL, 2021.</w:t>
      </w:r>
      <w:bookmarkEnd w:id="21"/>
    </w:p>
    <w:p w14:paraId="0E2298CA">
      <w:pPr>
        <w:pStyle w:val="33"/>
        <w:ind w:left="357" w:hanging="357"/>
      </w:pPr>
      <w:bookmarkStart w:id="22" w:name="_Ref28199"/>
      <w:r>
        <w:rPr>
          <w:rFonts w:hint="eastAsia"/>
        </w:rPr>
        <w:t>D. Zarouchas, A. Broer, G. Galanopoulos, T. Loutas, N. Mechbal and M. Rebillat, Compression–compression fatigue tests on single stiffener aerospace structures 2, dataset, DataverseNL, 2023.</w:t>
      </w:r>
      <w:bookmarkEnd w:id="22"/>
    </w:p>
    <w:p w14:paraId="5F10316D">
      <w:pPr>
        <w:pStyle w:val="33"/>
        <w:ind w:left="357" w:hanging="357"/>
      </w:pPr>
      <w:bookmarkStart w:id="23" w:name="_Ref28219"/>
      <w:r>
        <w:rPr>
          <w:rFonts w:hint="eastAsia"/>
        </w:rPr>
        <w:t>G. Galanopoulos, D. Zarouchas, A. Broer, T. Loutas, N. Mechbal, M. Rebillat and D. Milanoski, Variable amplitude compression–compression fatigue tests on single stiffener aerospace structures, dataset, DataverseNL, 2023.</w:t>
      </w:r>
      <w:bookmarkEnd w:id="23"/>
    </w:p>
    <w:p w14:paraId="17C883B4">
      <w:pPr>
        <w:pStyle w:val="33"/>
        <w:ind w:left="357" w:hanging="357"/>
      </w:pPr>
      <w:bookmarkStart w:id="24" w:name="_Ref28248"/>
      <w:r>
        <w:rPr>
          <w:rFonts w:hint="eastAsia"/>
        </w:rPr>
        <w:t>G. Galanopoulos, D. Zarouchas, A. Broer, T. Loutas, N. Mechbal, M. Rebillat and D. Milanoski, Random amplitude compression–compression fatigue tests on single stiffener aerospace structures, dataset, DataverseNL, 2023.</w:t>
      </w:r>
      <w:bookmarkEnd w:id="24"/>
      <w:bookmarkStart w:id="25" w:name="_GoBack"/>
      <w:bookmarkEnd w:id="25"/>
    </w:p>
    <w:sectPr>
      <w:pgSz w:w="11907" w:h="16840"/>
      <w:pgMar w:top="3119" w:right="2438" w:bottom="2381" w:left="2438" w:header="851" w:footer="113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Linux Biolinum O">
    <w:altName w:val="Calibri"/>
    <w:panose1 w:val="00000000000000000000"/>
    <w:charset w:val="00"/>
    <w:family w:val="auto"/>
    <w:pitch w:val="default"/>
    <w:sig w:usb0="00000000" w:usb1="00000000" w:usb2="00000020" w:usb3="00000000" w:csb0="000001B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7F1C1FB">
      <w:pPr>
        <w:pStyle w:val="15"/>
        <w:rPr>
          <w:rStyle w:val="47"/>
          <w:rFonts w:hint="default" w:ascii="等线" w:hAnsi="等线" w:eastAsia="宋体"/>
          <w:color w:val="FF0000"/>
          <w:kern w:val="2"/>
          <w:szCs w:val="16"/>
          <w:lang w:val="en-US" w:eastAsia="zh-CN"/>
        </w:rPr>
      </w:pPr>
      <w:r>
        <w:rPr>
          <w:rStyle w:val="24"/>
          <w:sz w:val="16"/>
          <w:szCs w:val="16"/>
        </w:rPr>
        <w:footnoteRef/>
      </w:r>
      <w:r>
        <w:rPr>
          <w:rStyle w:val="47"/>
          <w:szCs w:val="16"/>
        </w:rPr>
        <w:t xml:space="preserve"> Corresponding Author</w:t>
      </w:r>
      <w:r>
        <w:rPr>
          <w:rStyle w:val="47"/>
          <w:rFonts w:hint="eastAsia" w:eastAsia="宋体"/>
          <w:szCs w:val="16"/>
          <w:lang w:val="en-US" w:eastAsia="zh-CN"/>
        </w:rPr>
        <w:t>: Chengxuan YANG, School of Mechanical Engineering, Xi</w:t>
      </w:r>
      <w:r>
        <w:rPr>
          <w:rStyle w:val="47"/>
          <w:rFonts w:hint="default" w:eastAsia="宋体"/>
          <w:szCs w:val="16"/>
          <w:lang w:val="en-US" w:eastAsia="zh-CN"/>
        </w:rPr>
        <w:t>’</w:t>
      </w:r>
      <w:r>
        <w:rPr>
          <w:rStyle w:val="47"/>
          <w:rFonts w:hint="eastAsia" w:eastAsia="宋体"/>
          <w:szCs w:val="16"/>
          <w:lang w:val="en-US" w:eastAsia="zh-CN"/>
        </w:rPr>
        <w:t>an Jiaotong University, e-mail: 1743495223@qq.com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2"/>
      <w:lvlText w:val="%1."/>
      <w:lvlJc w:val="left"/>
      <w:pPr>
        <w:tabs>
          <w:tab w:val="left" w:pos="360"/>
        </w:tabs>
        <w:ind w:left="360" w:hanging="360"/>
      </w:pPr>
    </w:lvl>
  </w:abstractNum>
  <w:abstractNum w:abstractNumId="1">
    <w:nsid w:val="50BB51F1"/>
    <w:multiLevelType w:val="multilevel"/>
    <w:tmpl w:val="50BB51F1"/>
    <w:lvl w:ilvl="0" w:tentative="0">
      <w:start w:val="1"/>
      <w:numFmt w:val="bullet"/>
      <w:pStyle w:val="45"/>
      <w:lvlText w:val=""/>
      <w:lvlJc w:val="left"/>
      <w:pPr>
        <w:tabs>
          <w:tab w:val="left" w:pos="717"/>
        </w:tabs>
        <w:ind w:left="717" w:hanging="360"/>
      </w:pPr>
      <w:rPr>
        <w:rFonts w:hint="default" w:ascii="Symbol" w:hAnsi="Symbol"/>
      </w:rPr>
    </w:lvl>
    <w:lvl w:ilvl="1" w:tentative="0">
      <w:start w:val="1"/>
      <w:numFmt w:val="bullet"/>
      <w:lvlText w:val="o"/>
      <w:lvlJc w:val="left"/>
      <w:pPr>
        <w:tabs>
          <w:tab w:val="left" w:pos="1097"/>
        </w:tabs>
        <w:ind w:left="1077" w:hanging="340"/>
      </w:pPr>
      <w:rPr>
        <w:rFonts w:hint="default"/>
      </w:rPr>
    </w:lvl>
    <w:lvl w:ilvl="2" w:tentative="0">
      <w:start w:val="1"/>
      <w:numFmt w:val="bullet"/>
      <w:lvlText w:val=""/>
      <w:lvlJc w:val="left"/>
      <w:pPr>
        <w:tabs>
          <w:tab w:val="left" w:pos="2157"/>
        </w:tabs>
        <w:ind w:left="2157" w:hanging="360"/>
      </w:pPr>
      <w:rPr>
        <w:rFonts w:hint="default" w:ascii="Wingdings" w:hAnsi="Wingdings" w:cs="Wingdings"/>
      </w:rPr>
    </w:lvl>
    <w:lvl w:ilvl="3" w:tentative="0">
      <w:start w:val="1"/>
      <w:numFmt w:val="bullet"/>
      <w:lvlText w:val=""/>
      <w:lvlJc w:val="left"/>
      <w:pPr>
        <w:tabs>
          <w:tab w:val="left" w:pos="2877"/>
        </w:tabs>
        <w:ind w:left="2877" w:hanging="360"/>
      </w:pPr>
      <w:rPr>
        <w:rFonts w:hint="default" w:ascii="Symbol" w:hAnsi="Symbol" w:cs="Symbol"/>
      </w:rPr>
    </w:lvl>
    <w:lvl w:ilvl="4" w:tentative="0">
      <w:start w:val="1"/>
      <w:numFmt w:val="bullet"/>
      <w:lvlText w:val="o"/>
      <w:lvlJc w:val="left"/>
      <w:pPr>
        <w:tabs>
          <w:tab w:val="left" w:pos="3597"/>
        </w:tabs>
        <w:ind w:left="3597" w:hanging="360"/>
      </w:pPr>
      <w:rPr>
        <w:rFonts w:hint="default" w:ascii="Courier New" w:hAnsi="Courier New" w:cs="Courier New"/>
      </w:rPr>
    </w:lvl>
    <w:lvl w:ilvl="5" w:tentative="0">
      <w:start w:val="1"/>
      <w:numFmt w:val="bullet"/>
      <w:lvlText w:val=""/>
      <w:lvlJc w:val="left"/>
      <w:pPr>
        <w:tabs>
          <w:tab w:val="left" w:pos="4317"/>
        </w:tabs>
        <w:ind w:left="4317" w:hanging="360"/>
      </w:pPr>
      <w:rPr>
        <w:rFonts w:hint="default" w:ascii="Wingdings" w:hAnsi="Wingdings" w:cs="Wingdings"/>
      </w:rPr>
    </w:lvl>
    <w:lvl w:ilvl="6" w:tentative="0">
      <w:start w:val="1"/>
      <w:numFmt w:val="bullet"/>
      <w:lvlText w:val=""/>
      <w:lvlJc w:val="left"/>
      <w:pPr>
        <w:tabs>
          <w:tab w:val="left" w:pos="5037"/>
        </w:tabs>
        <w:ind w:left="5037" w:hanging="360"/>
      </w:pPr>
      <w:rPr>
        <w:rFonts w:hint="default" w:ascii="Symbol" w:hAnsi="Symbol" w:cs="Symbol"/>
      </w:rPr>
    </w:lvl>
    <w:lvl w:ilvl="7" w:tentative="0">
      <w:start w:val="1"/>
      <w:numFmt w:val="bullet"/>
      <w:lvlText w:val="o"/>
      <w:lvlJc w:val="left"/>
      <w:pPr>
        <w:tabs>
          <w:tab w:val="left" w:pos="5757"/>
        </w:tabs>
        <w:ind w:left="5757" w:hanging="360"/>
      </w:pPr>
      <w:rPr>
        <w:rFonts w:hint="default" w:ascii="Courier New" w:hAnsi="Courier New" w:cs="Courier New"/>
      </w:rPr>
    </w:lvl>
    <w:lvl w:ilvl="8" w:tentative="0">
      <w:start w:val="1"/>
      <w:numFmt w:val="bullet"/>
      <w:lvlText w:val=""/>
      <w:lvlJc w:val="left"/>
      <w:pPr>
        <w:tabs>
          <w:tab w:val="left" w:pos="6477"/>
        </w:tabs>
        <w:ind w:left="6477" w:hanging="360"/>
      </w:pPr>
      <w:rPr>
        <w:rFonts w:hint="default" w:ascii="Wingdings" w:hAnsi="Wingdings" w:cs="Wingdings"/>
      </w:rPr>
    </w:lvl>
  </w:abstractNum>
  <w:abstractNum w:abstractNumId="2">
    <w:nsid w:val="57B032BB"/>
    <w:multiLevelType w:val="multilevel"/>
    <w:tmpl w:val="57B032BB"/>
    <w:lvl w:ilvl="0" w:tentative="0">
      <w:start w:val="1"/>
      <w:numFmt w:val="bullet"/>
      <w:pStyle w:val="31"/>
      <w:lvlText w:val=""/>
      <w:lvlJc w:val="left"/>
      <w:pPr>
        <w:tabs>
          <w:tab w:val="left" w:pos="564"/>
        </w:tabs>
        <w:ind w:left="454" w:hanging="250"/>
      </w:pPr>
      <w:rPr>
        <w:rFonts w:hint="default" w:ascii="Symbol" w:hAnsi="Symbol"/>
        <w:b/>
        <w:i w:val="0"/>
        <w:caps w:val="0"/>
        <w:strike w:val="0"/>
        <w:dstrike w:val="0"/>
        <w:color w:val="000000"/>
        <w:spacing w:val="0"/>
        <w:kern w:val="28"/>
        <w:position w:val="0"/>
        <w:sz w:val="20"/>
        <w:u w:val="none"/>
        <w:vertAlign w:val="baseline"/>
        <w14:shadow w14:blurRad="0" w14:dist="0" w14:dir="0" w14:sx="0" w14:sy="0" w14:kx="0" w14:ky="0" w14:algn="none">
          <w14:srgbClr w14:val="000000"/>
        </w14:shadow>
      </w:rPr>
    </w:lvl>
    <w:lvl w:ilvl="1" w:tentative="0">
      <w:start w:val="1"/>
      <w:numFmt w:val="bullet"/>
      <w:lvlText w:val=""/>
      <w:lvlJc w:val="left"/>
      <w:pPr>
        <w:tabs>
          <w:tab w:val="left" w:pos="814"/>
        </w:tabs>
        <w:ind w:left="794" w:hanging="340"/>
      </w:pPr>
      <w:rPr>
        <w:rFonts w:hint="default" w:ascii="Symbol" w:hAnsi="Symbol"/>
        <w:b w:val="0"/>
        <w:i w:val="0"/>
        <w:sz w:val="20"/>
      </w:rPr>
    </w:lvl>
    <w:lvl w:ilvl="2" w:tentative="0">
      <w:start w:val="1"/>
      <w:numFmt w:val="bullet"/>
      <w:lvlText w:val=""/>
      <w:lvlJc w:val="left"/>
      <w:pPr>
        <w:tabs>
          <w:tab w:val="left" w:pos="927"/>
        </w:tabs>
        <w:ind w:left="204" w:firstLine="363"/>
      </w:pPr>
      <w:rPr>
        <w:rFonts w:hint="default" w:ascii="Symbol" w:hAnsi="Symbol"/>
        <w:b w:val="0"/>
        <w:i/>
        <w:sz w:val="24"/>
      </w:rPr>
    </w:lvl>
    <w:lvl w:ilvl="3" w:tentative="0">
      <w:start w:val="1"/>
      <w:numFmt w:val="decimal"/>
      <w:suff w:val="space"/>
      <w:lvlText w:val="%1.%2.%3.%4."/>
      <w:lvlJc w:val="left"/>
      <w:pPr>
        <w:ind w:left="204" w:firstLine="0"/>
      </w:pPr>
      <w:rPr>
        <w:rFonts w:hint="default" w:ascii="Times" w:hAnsi="Times"/>
        <w:b w:val="0"/>
        <w:i/>
        <w:sz w:val="24"/>
      </w:rPr>
    </w:lvl>
    <w:lvl w:ilvl="4" w:tentative="0">
      <w:start w:val="1"/>
      <w:numFmt w:val="none"/>
      <w:suff w:val="nothing"/>
      <w:lvlText w:val=""/>
      <w:lvlJc w:val="left"/>
      <w:pPr>
        <w:ind w:left="204" w:firstLine="0"/>
      </w:pPr>
      <w:rPr>
        <w:rFonts w:hint="default"/>
      </w:rPr>
    </w:lvl>
    <w:lvl w:ilvl="5" w:tentative="0">
      <w:start w:val="1"/>
      <w:numFmt w:val="none"/>
      <w:suff w:val="nothing"/>
      <w:lvlText w:val=""/>
      <w:lvlJc w:val="left"/>
      <w:pPr>
        <w:ind w:left="1054" w:firstLine="0"/>
      </w:pPr>
      <w:rPr>
        <w:rFonts w:hint="default"/>
      </w:rPr>
    </w:lvl>
    <w:lvl w:ilvl="6" w:tentative="0">
      <w:start w:val="1"/>
      <w:numFmt w:val="none"/>
      <w:suff w:val="nothing"/>
      <w:lvlText w:val=""/>
      <w:lvlJc w:val="left"/>
      <w:pPr>
        <w:ind w:left="714" w:firstLine="0"/>
      </w:pPr>
      <w:rPr>
        <w:rFonts w:hint="default"/>
      </w:rPr>
    </w:lvl>
    <w:lvl w:ilvl="7" w:tentative="0">
      <w:start w:val="1"/>
      <w:numFmt w:val="none"/>
      <w:suff w:val="nothing"/>
      <w:lvlText w:val=""/>
      <w:lvlJc w:val="left"/>
      <w:pPr>
        <w:ind w:left="714" w:firstLine="0"/>
      </w:pPr>
      <w:rPr>
        <w:rFonts w:hint="default"/>
      </w:rPr>
    </w:lvl>
    <w:lvl w:ilvl="8" w:tentative="0">
      <w:start w:val="1"/>
      <w:numFmt w:val="none"/>
      <w:suff w:val="nothing"/>
      <w:lvlText w:val=""/>
      <w:lvlJc w:val="left"/>
      <w:pPr>
        <w:ind w:left="714" w:firstLine="0"/>
      </w:pPr>
      <w:rPr>
        <w:rFonts w:hint="default"/>
      </w:rPr>
    </w:lvl>
  </w:abstractNum>
  <w:abstractNum w:abstractNumId="3">
    <w:nsid w:val="61426C2F"/>
    <w:multiLevelType w:val="multilevel"/>
    <w:tmpl w:val="61426C2F"/>
    <w:lvl w:ilvl="0" w:tentative="0">
      <w:start w:val="1"/>
      <w:numFmt w:val="lowerLetter"/>
      <w:pStyle w:val="30"/>
      <w:lvlText w:val="%1)"/>
      <w:lvlJc w:val="left"/>
      <w:pPr>
        <w:tabs>
          <w:tab w:val="left" w:pos="564"/>
        </w:tabs>
        <w:ind w:left="499" w:hanging="295"/>
      </w:pPr>
      <w:rPr>
        <w:rFonts w:hint="default"/>
      </w:rPr>
    </w:lvl>
    <w:lvl w:ilvl="1" w:tentative="0">
      <w:start w:val="1"/>
      <w:numFmt w:val="lowerLetter"/>
      <w:lvlText w:val="%2."/>
      <w:lvlJc w:val="left"/>
      <w:pPr>
        <w:tabs>
          <w:tab w:val="left" w:pos="1284"/>
        </w:tabs>
        <w:ind w:left="1284" w:hanging="360"/>
      </w:pPr>
    </w:lvl>
    <w:lvl w:ilvl="2" w:tentative="0">
      <w:start w:val="1"/>
      <w:numFmt w:val="lowerRoman"/>
      <w:lvlText w:val="%3."/>
      <w:lvlJc w:val="right"/>
      <w:pPr>
        <w:tabs>
          <w:tab w:val="left" w:pos="2004"/>
        </w:tabs>
        <w:ind w:left="2004" w:hanging="180"/>
      </w:pPr>
    </w:lvl>
    <w:lvl w:ilvl="3" w:tentative="0">
      <w:start w:val="1"/>
      <w:numFmt w:val="decimal"/>
      <w:lvlText w:val="%4."/>
      <w:lvlJc w:val="left"/>
      <w:pPr>
        <w:tabs>
          <w:tab w:val="left" w:pos="2724"/>
        </w:tabs>
        <w:ind w:left="2724" w:hanging="360"/>
      </w:pPr>
    </w:lvl>
    <w:lvl w:ilvl="4" w:tentative="0">
      <w:start w:val="1"/>
      <w:numFmt w:val="lowerLetter"/>
      <w:lvlText w:val="%5."/>
      <w:lvlJc w:val="left"/>
      <w:pPr>
        <w:tabs>
          <w:tab w:val="left" w:pos="3444"/>
        </w:tabs>
        <w:ind w:left="3444" w:hanging="360"/>
      </w:pPr>
    </w:lvl>
    <w:lvl w:ilvl="5" w:tentative="0">
      <w:start w:val="1"/>
      <w:numFmt w:val="lowerRoman"/>
      <w:lvlText w:val="%6."/>
      <w:lvlJc w:val="right"/>
      <w:pPr>
        <w:tabs>
          <w:tab w:val="left" w:pos="4164"/>
        </w:tabs>
        <w:ind w:left="4164" w:hanging="180"/>
      </w:pPr>
    </w:lvl>
    <w:lvl w:ilvl="6" w:tentative="0">
      <w:start w:val="1"/>
      <w:numFmt w:val="decimal"/>
      <w:lvlText w:val="%7."/>
      <w:lvlJc w:val="left"/>
      <w:pPr>
        <w:tabs>
          <w:tab w:val="left" w:pos="4884"/>
        </w:tabs>
        <w:ind w:left="4884" w:hanging="360"/>
      </w:pPr>
    </w:lvl>
    <w:lvl w:ilvl="7" w:tentative="0">
      <w:start w:val="1"/>
      <w:numFmt w:val="lowerLetter"/>
      <w:lvlText w:val="%8."/>
      <w:lvlJc w:val="left"/>
      <w:pPr>
        <w:tabs>
          <w:tab w:val="left" w:pos="5604"/>
        </w:tabs>
        <w:ind w:left="5604" w:hanging="360"/>
      </w:pPr>
    </w:lvl>
    <w:lvl w:ilvl="8" w:tentative="0">
      <w:start w:val="1"/>
      <w:numFmt w:val="lowerRoman"/>
      <w:lvlText w:val="%9."/>
      <w:lvlJc w:val="right"/>
      <w:pPr>
        <w:tabs>
          <w:tab w:val="left" w:pos="6324"/>
        </w:tabs>
        <w:ind w:left="6324" w:hanging="180"/>
      </w:pPr>
    </w:lvl>
  </w:abstractNum>
  <w:abstractNum w:abstractNumId="4">
    <w:nsid w:val="63CA79E0"/>
    <w:multiLevelType w:val="multilevel"/>
    <w:tmpl w:val="63CA79E0"/>
    <w:lvl w:ilvl="0" w:tentative="0">
      <w:start w:val="1"/>
      <w:numFmt w:val="decimal"/>
      <w:pStyle w:val="32"/>
      <w:lvlText w:val="%1."/>
      <w:lvlJc w:val="left"/>
      <w:pPr>
        <w:tabs>
          <w:tab w:val="left" w:pos="717"/>
        </w:tabs>
        <w:ind w:left="652" w:hanging="295"/>
      </w:pPr>
      <w:rPr>
        <w:rFonts w:hint="default"/>
      </w:rPr>
    </w:lvl>
    <w:lvl w:ilvl="1" w:tentative="0">
      <w:start w:val="1"/>
      <w:numFmt w:val="decimal"/>
      <w:lvlText w:val="%1.%2."/>
      <w:lvlJc w:val="left"/>
      <w:pPr>
        <w:tabs>
          <w:tab w:val="left" w:pos="1077"/>
        </w:tabs>
        <w:ind w:left="1077" w:hanging="363"/>
      </w:pPr>
      <w:rPr>
        <w:rFonts w:hint="default"/>
      </w:rPr>
    </w:lvl>
    <w:lvl w:ilvl="2" w:tentative="0">
      <w:start w:val="1"/>
      <w:numFmt w:val="decimal"/>
      <w:lvlText w:val="%1.%2.%3."/>
      <w:lvlJc w:val="left"/>
      <w:pPr>
        <w:tabs>
          <w:tab w:val="left" w:pos="1797"/>
        </w:tabs>
        <w:ind w:left="1581" w:hanging="504"/>
      </w:pPr>
      <w:rPr>
        <w:rFonts w:hint="default"/>
      </w:rPr>
    </w:lvl>
    <w:lvl w:ilvl="3" w:tentative="0">
      <w:start w:val="1"/>
      <w:numFmt w:val="decimal"/>
      <w:lvlText w:val="%1.%2.%3.%4."/>
      <w:lvlJc w:val="left"/>
      <w:pPr>
        <w:tabs>
          <w:tab w:val="left" w:pos="2157"/>
        </w:tabs>
        <w:ind w:left="2085" w:hanging="648"/>
      </w:pPr>
      <w:rPr>
        <w:rFonts w:hint="default"/>
      </w:rPr>
    </w:lvl>
    <w:lvl w:ilvl="4" w:tentative="0">
      <w:start w:val="1"/>
      <w:numFmt w:val="decimal"/>
      <w:lvlText w:val="%1.%2.%3.%4.%5."/>
      <w:lvlJc w:val="left"/>
      <w:pPr>
        <w:tabs>
          <w:tab w:val="left" w:pos="2877"/>
        </w:tabs>
        <w:ind w:left="2589" w:hanging="792"/>
      </w:pPr>
      <w:rPr>
        <w:rFonts w:hint="default"/>
      </w:rPr>
    </w:lvl>
    <w:lvl w:ilvl="5" w:tentative="0">
      <w:start w:val="1"/>
      <w:numFmt w:val="decimal"/>
      <w:lvlText w:val="%1.%2.%3.%4.%5.%6."/>
      <w:lvlJc w:val="left"/>
      <w:pPr>
        <w:tabs>
          <w:tab w:val="left" w:pos="3237"/>
        </w:tabs>
        <w:ind w:left="3093" w:hanging="936"/>
      </w:pPr>
      <w:rPr>
        <w:rFonts w:hint="default"/>
      </w:rPr>
    </w:lvl>
    <w:lvl w:ilvl="6" w:tentative="0">
      <w:start w:val="1"/>
      <w:numFmt w:val="decimal"/>
      <w:lvlText w:val="%1.%2.%3.%4.%5.%6.%7."/>
      <w:lvlJc w:val="left"/>
      <w:pPr>
        <w:tabs>
          <w:tab w:val="left" w:pos="3957"/>
        </w:tabs>
        <w:ind w:left="3597" w:hanging="1080"/>
      </w:pPr>
      <w:rPr>
        <w:rFonts w:hint="default"/>
      </w:rPr>
    </w:lvl>
    <w:lvl w:ilvl="7" w:tentative="0">
      <w:start w:val="1"/>
      <w:numFmt w:val="decimal"/>
      <w:lvlText w:val="%1.%2.%3.%4.%5.%6.%7.%8."/>
      <w:lvlJc w:val="left"/>
      <w:pPr>
        <w:tabs>
          <w:tab w:val="left" w:pos="4317"/>
        </w:tabs>
        <w:ind w:left="4101" w:hanging="1224"/>
      </w:pPr>
      <w:rPr>
        <w:rFonts w:hint="default"/>
      </w:rPr>
    </w:lvl>
    <w:lvl w:ilvl="8" w:tentative="0">
      <w:start w:val="1"/>
      <w:numFmt w:val="decimal"/>
      <w:lvlText w:val="%1.%2.%3.%4.%5.%6.%7.%8.%9."/>
      <w:lvlJc w:val="left"/>
      <w:pPr>
        <w:tabs>
          <w:tab w:val="left" w:pos="5037"/>
        </w:tabs>
        <w:ind w:left="4677" w:hanging="1440"/>
      </w:pPr>
      <w:rPr>
        <w:rFonts w:hint="default"/>
      </w:rPr>
    </w:lvl>
  </w:abstractNum>
  <w:abstractNum w:abstractNumId="5">
    <w:nsid w:val="749D7927"/>
    <w:multiLevelType w:val="multilevel"/>
    <w:tmpl w:val="749D7927"/>
    <w:lvl w:ilvl="0" w:tentative="0">
      <w:start w:val="1"/>
      <w:numFmt w:val="decimal"/>
      <w:pStyle w:val="2"/>
      <w:suff w:val="space"/>
      <w:lvlText w:val="%1."/>
      <w:lvlJc w:val="left"/>
      <w:pPr>
        <w:ind w:left="454" w:hanging="454"/>
      </w:pPr>
      <w:rPr>
        <w:rFonts w:hint="default" w:ascii="Times New Roman" w:hAnsi="Times New Roman"/>
        <w:b/>
        <w:i w:val="0"/>
        <w:caps w:val="0"/>
        <w:strike w:val="0"/>
        <w:dstrike w:val="0"/>
        <w:color w:val="000000"/>
        <w:spacing w:val="0"/>
        <w:kern w:val="28"/>
        <w:position w:val="0"/>
        <w:sz w:val="20"/>
        <w:u w:val="none"/>
        <w:vertAlign w:val="baseline"/>
        <w14:shadow w14:blurRad="0" w14:dist="0" w14:dir="0" w14:sx="0" w14:sy="0" w14:kx="0" w14:ky="0" w14:algn="none">
          <w14:srgbClr w14:val="000000"/>
        </w14:shadow>
      </w:rPr>
    </w:lvl>
    <w:lvl w:ilvl="1" w:tentative="0">
      <w:start w:val="1"/>
      <w:numFmt w:val="decimal"/>
      <w:pStyle w:val="4"/>
      <w:suff w:val="space"/>
      <w:lvlText w:val="%1.%2."/>
      <w:lvlJc w:val="left"/>
      <w:pPr>
        <w:ind w:left="0" w:firstLine="0"/>
      </w:pPr>
      <w:rPr>
        <w:rFonts w:hint="default" w:ascii="Times New Roman" w:hAnsi="Times New Roman"/>
        <w:b w:val="0"/>
        <w:i/>
        <w:sz w:val="20"/>
      </w:rPr>
    </w:lvl>
    <w:lvl w:ilvl="2" w:tentative="0">
      <w:start w:val="1"/>
      <w:numFmt w:val="decimal"/>
      <w:pStyle w:val="5"/>
      <w:suff w:val="space"/>
      <w:lvlText w:val="%1.%2.%3."/>
      <w:lvlJc w:val="left"/>
      <w:pPr>
        <w:ind w:left="0" w:firstLine="0"/>
      </w:pPr>
      <w:rPr>
        <w:rFonts w:hint="default" w:ascii="Times" w:hAnsi="Times"/>
        <w:b w:val="0"/>
        <w:i/>
        <w:sz w:val="20"/>
      </w:rPr>
    </w:lvl>
    <w:lvl w:ilvl="3" w:tentative="0">
      <w:start w:val="1"/>
      <w:numFmt w:val="decimal"/>
      <w:pStyle w:val="6"/>
      <w:suff w:val="space"/>
      <w:lvlText w:val="%1.%2.%3.%4."/>
      <w:lvlJc w:val="left"/>
      <w:pPr>
        <w:ind w:left="0" w:firstLine="0"/>
      </w:pPr>
      <w:rPr>
        <w:rFonts w:hint="default" w:ascii="Times" w:hAnsi="Times"/>
        <w:b w:val="0"/>
        <w:i/>
        <w:sz w:val="20"/>
      </w:rPr>
    </w:lvl>
    <w:lvl w:ilvl="4" w:tentative="0">
      <w:start w:val="1"/>
      <w:numFmt w:val="none"/>
      <w:pStyle w:val="7"/>
      <w:suff w:val="nothing"/>
      <w:lvlText w:val=""/>
      <w:lvlJc w:val="left"/>
      <w:pPr>
        <w:ind w:left="0" w:firstLine="0"/>
      </w:pPr>
      <w:rPr>
        <w:rFonts w:hint="default"/>
      </w:rPr>
    </w:lvl>
    <w:lvl w:ilvl="5" w:tentative="0">
      <w:start w:val="1"/>
      <w:numFmt w:val="none"/>
      <w:pStyle w:val="8"/>
      <w:suff w:val="nothing"/>
      <w:lvlText w:val=""/>
      <w:lvlJc w:val="left"/>
      <w:pPr>
        <w:ind w:left="850" w:firstLine="0"/>
      </w:pPr>
      <w:rPr>
        <w:rFonts w:hint="default"/>
      </w:rPr>
    </w:lvl>
    <w:lvl w:ilvl="6" w:tentative="0">
      <w:start w:val="1"/>
      <w:numFmt w:val="none"/>
      <w:suff w:val="nothing"/>
      <w:lvlText w:val=""/>
      <w:lvlJc w:val="left"/>
      <w:pPr>
        <w:ind w:left="510" w:firstLine="0"/>
      </w:pPr>
      <w:rPr>
        <w:rFonts w:hint="default"/>
      </w:rPr>
    </w:lvl>
    <w:lvl w:ilvl="7" w:tentative="0">
      <w:start w:val="1"/>
      <w:numFmt w:val="none"/>
      <w:suff w:val="nothing"/>
      <w:lvlText w:val=""/>
      <w:lvlJc w:val="left"/>
      <w:pPr>
        <w:ind w:left="510" w:firstLine="0"/>
      </w:pPr>
      <w:rPr>
        <w:rFonts w:hint="default"/>
      </w:rPr>
    </w:lvl>
    <w:lvl w:ilvl="8" w:tentative="0">
      <w:start w:val="1"/>
      <w:numFmt w:val="none"/>
      <w:suff w:val="nothing"/>
      <w:lvlText w:val=""/>
      <w:lvlJc w:val="left"/>
      <w:pPr>
        <w:ind w:left="510" w:firstLine="0"/>
      </w:pPr>
      <w:rPr>
        <w:rFonts w:hint="default"/>
      </w:rPr>
    </w:lvl>
  </w:abstractNum>
  <w:abstractNum w:abstractNumId="6">
    <w:nsid w:val="76F27992"/>
    <w:multiLevelType w:val="multilevel"/>
    <w:tmpl w:val="76F27992"/>
    <w:lvl w:ilvl="0" w:tentative="0">
      <w:start w:val="1"/>
      <w:numFmt w:val="decimal"/>
      <w:pStyle w:val="33"/>
      <w:lvlText w:val="[%1]"/>
      <w:lvlJc w:val="left"/>
      <w:pPr>
        <w:tabs>
          <w:tab w:val="left" w:pos="255"/>
        </w:tabs>
        <w:ind w:left="369" w:hanging="369"/>
      </w:pPr>
      <w:rPr>
        <w:rFonts w:hint="default"/>
        <w:sz w:val="16"/>
        <w:szCs w:val="16"/>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5"/>
  </w:num>
  <w:num w:numId="2">
    <w:abstractNumId w:val="0"/>
  </w:num>
  <w:num w:numId="3">
    <w:abstractNumId w:val="3"/>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CE"/>
    <w:rsid w:val="00085E18"/>
    <w:rsid w:val="001B653A"/>
    <w:rsid w:val="002F3952"/>
    <w:rsid w:val="003662F2"/>
    <w:rsid w:val="0038263D"/>
    <w:rsid w:val="003F2055"/>
    <w:rsid w:val="004437CE"/>
    <w:rsid w:val="00631672"/>
    <w:rsid w:val="00791773"/>
    <w:rsid w:val="00947B63"/>
    <w:rsid w:val="00974B11"/>
    <w:rsid w:val="009A6B35"/>
    <w:rsid w:val="00B047A0"/>
    <w:rsid w:val="00B05D6E"/>
    <w:rsid w:val="00BF6315"/>
    <w:rsid w:val="00C97D11"/>
    <w:rsid w:val="00CF5C91"/>
    <w:rsid w:val="00D82BC9"/>
    <w:rsid w:val="00DB2E8C"/>
    <w:rsid w:val="00EE4753"/>
    <w:rsid w:val="00F07FC3"/>
    <w:rsid w:val="00F333D8"/>
    <w:rsid w:val="02966FD0"/>
    <w:rsid w:val="02B03771"/>
    <w:rsid w:val="04151788"/>
    <w:rsid w:val="08C96613"/>
    <w:rsid w:val="09BB6DE8"/>
    <w:rsid w:val="0AE802B0"/>
    <w:rsid w:val="0D1D317F"/>
    <w:rsid w:val="11A756A3"/>
    <w:rsid w:val="12845D1F"/>
    <w:rsid w:val="12F10618"/>
    <w:rsid w:val="138A236F"/>
    <w:rsid w:val="14564A5F"/>
    <w:rsid w:val="178C2BFA"/>
    <w:rsid w:val="19F328CE"/>
    <w:rsid w:val="1A446818"/>
    <w:rsid w:val="1B6F3A26"/>
    <w:rsid w:val="1CB863F0"/>
    <w:rsid w:val="1E440DBA"/>
    <w:rsid w:val="1F865935"/>
    <w:rsid w:val="21036D5B"/>
    <w:rsid w:val="26801F16"/>
    <w:rsid w:val="26FA24F8"/>
    <w:rsid w:val="2C4F5601"/>
    <w:rsid w:val="2FA37B95"/>
    <w:rsid w:val="30DC5C1E"/>
    <w:rsid w:val="32607E2D"/>
    <w:rsid w:val="34D932C7"/>
    <w:rsid w:val="354B7CAA"/>
    <w:rsid w:val="36411EEF"/>
    <w:rsid w:val="38BD7AF1"/>
    <w:rsid w:val="3B1D304C"/>
    <w:rsid w:val="3B4402BD"/>
    <w:rsid w:val="3BFBF287"/>
    <w:rsid w:val="40B5162A"/>
    <w:rsid w:val="41C12609"/>
    <w:rsid w:val="42D942BA"/>
    <w:rsid w:val="430F0A76"/>
    <w:rsid w:val="439148EF"/>
    <w:rsid w:val="43BD240E"/>
    <w:rsid w:val="44C036BD"/>
    <w:rsid w:val="46DA00D4"/>
    <w:rsid w:val="49276716"/>
    <w:rsid w:val="497A2D59"/>
    <w:rsid w:val="49AD76A0"/>
    <w:rsid w:val="49E0309E"/>
    <w:rsid w:val="4A335238"/>
    <w:rsid w:val="4AE82D06"/>
    <w:rsid w:val="4B6D0F12"/>
    <w:rsid w:val="4CEE0089"/>
    <w:rsid w:val="4D8332DC"/>
    <w:rsid w:val="4DB53892"/>
    <w:rsid w:val="4E170E3A"/>
    <w:rsid w:val="4FB26E5D"/>
    <w:rsid w:val="4FF27E90"/>
    <w:rsid w:val="539E2176"/>
    <w:rsid w:val="56AC56A2"/>
    <w:rsid w:val="5B396B0E"/>
    <w:rsid w:val="5B6B7201"/>
    <w:rsid w:val="5C3B18C9"/>
    <w:rsid w:val="61060D63"/>
    <w:rsid w:val="61067A59"/>
    <w:rsid w:val="63055F16"/>
    <w:rsid w:val="63E11032"/>
    <w:rsid w:val="648D6978"/>
    <w:rsid w:val="64D8355E"/>
    <w:rsid w:val="64E75EB3"/>
    <w:rsid w:val="65B9580B"/>
    <w:rsid w:val="676953BD"/>
    <w:rsid w:val="679873C7"/>
    <w:rsid w:val="6D4832DC"/>
    <w:rsid w:val="6F6C2254"/>
    <w:rsid w:val="6F8A168D"/>
    <w:rsid w:val="6FE3453E"/>
    <w:rsid w:val="6FED1C99"/>
    <w:rsid w:val="70E84A3D"/>
    <w:rsid w:val="722872AD"/>
    <w:rsid w:val="738D5530"/>
    <w:rsid w:val="73B9644B"/>
    <w:rsid w:val="7471779C"/>
    <w:rsid w:val="75EB4F25"/>
    <w:rsid w:val="771A3AA7"/>
    <w:rsid w:val="78026307"/>
    <w:rsid w:val="78E26CBA"/>
    <w:rsid w:val="7AE04D36"/>
    <w:rsid w:val="7E7713DD"/>
    <w:rsid w:val="7FE077A7"/>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357"/>
      <w:jc w:val="both"/>
    </w:pPr>
    <w:rPr>
      <w:rFonts w:ascii="Times New Roman" w:hAnsi="Times New Roman" w:eastAsia="MS Mincho" w:cs="Times New Roman"/>
      <w:szCs w:val="24"/>
      <w:lang w:val="en-US" w:eastAsia="ja-JP" w:bidi="ar-SA"/>
    </w:rPr>
  </w:style>
  <w:style w:type="paragraph" w:styleId="2">
    <w:name w:val="heading 1"/>
    <w:basedOn w:val="1"/>
    <w:next w:val="3"/>
    <w:qFormat/>
    <w:uiPriority w:val="0"/>
    <w:pPr>
      <w:keepNext/>
      <w:keepLines/>
      <w:numPr>
        <w:ilvl w:val="0"/>
        <w:numId w:val="1"/>
      </w:numPr>
      <w:suppressAutoHyphens/>
      <w:spacing w:before="480" w:after="240"/>
      <w:jc w:val="left"/>
      <w:outlineLvl w:val="0"/>
    </w:pPr>
    <w:rPr>
      <w:rFonts w:cs="Arial"/>
      <w:b/>
      <w:bCs/>
      <w:kern w:val="32"/>
      <w:szCs w:val="32"/>
    </w:rPr>
  </w:style>
  <w:style w:type="paragraph" w:styleId="4">
    <w:name w:val="heading 2"/>
    <w:basedOn w:val="1"/>
    <w:next w:val="3"/>
    <w:qFormat/>
    <w:uiPriority w:val="0"/>
    <w:pPr>
      <w:keepNext/>
      <w:keepLines/>
      <w:numPr>
        <w:ilvl w:val="1"/>
        <w:numId w:val="1"/>
      </w:numPr>
      <w:suppressAutoHyphens/>
      <w:spacing w:before="240" w:after="240"/>
      <w:jc w:val="left"/>
      <w:outlineLvl w:val="1"/>
    </w:pPr>
    <w:rPr>
      <w:rFonts w:cs="Arial"/>
      <w:bCs/>
      <w:i/>
      <w:iCs/>
      <w:szCs w:val="28"/>
    </w:rPr>
  </w:style>
  <w:style w:type="paragraph" w:styleId="5">
    <w:name w:val="heading 3"/>
    <w:basedOn w:val="1"/>
    <w:next w:val="3"/>
    <w:qFormat/>
    <w:uiPriority w:val="0"/>
    <w:pPr>
      <w:keepNext/>
      <w:keepLines/>
      <w:numPr>
        <w:ilvl w:val="2"/>
        <w:numId w:val="1"/>
      </w:numPr>
      <w:suppressAutoHyphens/>
      <w:spacing w:before="240" w:after="120"/>
      <w:jc w:val="left"/>
      <w:outlineLvl w:val="2"/>
    </w:pPr>
    <w:rPr>
      <w:rFonts w:cs="Arial"/>
      <w:bCs/>
      <w:i/>
      <w:szCs w:val="26"/>
    </w:rPr>
  </w:style>
  <w:style w:type="paragraph" w:styleId="6">
    <w:name w:val="heading 4"/>
    <w:basedOn w:val="1"/>
    <w:next w:val="3"/>
    <w:qFormat/>
    <w:uiPriority w:val="0"/>
    <w:pPr>
      <w:keepNext/>
      <w:numPr>
        <w:ilvl w:val="3"/>
        <w:numId w:val="1"/>
      </w:numPr>
      <w:suppressAutoHyphens/>
      <w:spacing w:before="120"/>
      <w:jc w:val="left"/>
      <w:outlineLvl w:val="3"/>
    </w:pPr>
    <w:rPr>
      <w:bCs/>
      <w:i/>
      <w:szCs w:val="28"/>
    </w:rPr>
  </w:style>
  <w:style w:type="paragraph" w:styleId="7">
    <w:name w:val="heading 5"/>
    <w:basedOn w:val="1"/>
    <w:next w:val="3"/>
    <w:qFormat/>
    <w:uiPriority w:val="0"/>
    <w:pPr>
      <w:numPr>
        <w:ilvl w:val="4"/>
        <w:numId w:val="1"/>
      </w:numPr>
      <w:jc w:val="left"/>
      <w:outlineLvl w:val="4"/>
    </w:pPr>
    <w:rPr>
      <w:bCs/>
      <w:i/>
      <w:iCs/>
      <w:szCs w:val="26"/>
    </w:rPr>
  </w:style>
  <w:style w:type="paragraph" w:styleId="8">
    <w:name w:val="heading 6"/>
    <w:basedOn w:val="1"/>
    <w:next w:val="1"/>
    <w:qFormat/>
    <w:uiPriority w:val="0"/>
    <w:pPr>
      <w:numPr>
        <w:ilvl w:val="5"/>
        <w:numId w:val="1"/>
      </w:numPr>
      <w:spacing w:before="240"/>
      <w:outlineLvl w:val="5"/>
    </w:pPr>
    <w:rPr>
      <w:bCs/>
      <w:szCs w:val="22"/>
    </w:rPr>
  </w:style>
  <w:style w:type="paragraph" w:styleId="9">
    <w:name w:val="heading 7"/>
    <w:basedOn w:val="1"/>
    <w:next w:val="1"/>
    <w:qFormat/>
    <w:uiPriority w:val="0"/>
    <w:pPr>
      <w:spacing w:before="240" w:after="60"/>
      <w:outlineLvl w:val="6"/>
    </w:pPr>
    <w:rPr>
      <w:sz w:val="24"/>
    </w:rPr>
  </w:style>
  <w:style w:type="paragraph" w:styleId="10">
    <w:name w:val="heading 8"/>
    <w:basedOn w:val="1"/>
    <w:next w:val="1"/>
    <w:qFormat/>
    <w:uiPriority w:val="0"/>
    <w:pPr>
      <w:spacing w:before="240" w:after="60"/>
      <w:outlineLvl w:val="7"/>
    </w:pPr>
    <w:rPr>
      <w:i/>
      <w:iCs/>
      <w:sz w:val="24"/>
    </w:rPr>
  </w:style>
  <w:style w:type="paragraph" w:styleId="11">
    <w:name w:val="heading 9"/>
    <w:basedOn w:val="1"/>
    <w:next w:val="1"/>
    <w:qFormat/>
    <w:uiPriority w:val="0"/>
    <w:pPr>
      <w:spacing w:before="240" w:after="60"/>
      <w:outlineLvl w:val="8"/>
    </w:pPr>
    <w:rPr>
      <w:rFonts w:ascii="Arial" w:hAnsi="Arial" w:cs="Arial"/>
      <w:sz w:val="22"/>
      <w:szCs w:val="2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customStyle="1" w:styleId="3">
    <w:name w:val="NoindentNormal"/>
    <w:basedOn w:val="1"/>
    <w:next w:val="1"/>
    <w:qFormat/>
    <w:uiPriority w:val="0"/>
    <w:pPr>
      <w:ind w:firstLine="0"/>
    </w:pPr>
  </w:style>
  <w:style w:type="paragraph" w:styleId="12">
    <w:name w:val="List Number"/>
    <w:basedOn w:val="1"/>
    <w:semiHidden/>
    <w:qFormat/>
    <w:uiPriority w:val="0"/>
    <w:pPr>
      <w:numPr>
        <w:ilvl w:val="0"/>
        <w:numId w:val="2"/>
      </w:numPr>
    </w:pPr>
  </w:style>
  <w:style w:type="paragraph" w:styleId="13">
    <w:name w:val="caption"/>
    <w:basedOn w:val="1"/>
    <w:next w:val="1"/>
    <w:qFormat/>
    <w:uiPriority w:val="0"/>
    <w:pPr>
      <w:spacing w:before="80" w:after="80"/>
      <w:ind w:firstLine="0"/>
    </w:pPr>
    <w:rPr>
      <w:sz w:val="16"/>
    </w:rPr>
  </w:style>
  <w:style w:type="paragraph" w:styleId="14">
    <w:name w:val="Body Text"/>
    <w:basedOn w:val="1"/>
    <w:semiHidden/>
    <w:qFormat/>
    <w:uiPriority w:val="0"/>
    <w:pPr>
      <w:spacing w:after="120"/>
    </w:pPr>
  </w:style>
  <w:style w:type="paragraph" w:styleId="15">
    <w:name w:val="footer"/>
    <w:basedOn w:val="1"/>
    <w:link w:val="50"/>
    <w:unhideWhenUsed/>
    <w:qFormat/>
    <w:uiPriority w:val="99"/>
    <w:pPr>
      <w:tabs>
        <w:tab w:val="center" w:pos="4153"/>
        <w:tab w:val="right" w:pos="8306"/>
      </w:tabs>
      <w:snapToGrid w:val="0"/>
      <w:jc w:val="left"/>
    </w:pPr>
    <w:rPr>
      <w:sz w:val="18"/>
      <w:szCs w:val="18"/>
    </w:rPr>
  </w:style>
  <w:style w:type="paragraph" w:styleId="16">
    <w:name w:val="header"/>
    <w:basedOn w:val="1"/>
    <w:link w:val="4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semiHidden/>
    <w:qFormat/>
    <w:uiPriority w:val="0"/>
    <w:rPr>
      <w:szCs w:val="20"/>
    </w:rPr>
  </w:style>
  <w:style w:type="paragraph" w:styleId="18">
    <w:name w:val="Title"/>
    <w:basedOn w:val="1"/>
    <w:next w:val="1"/>
    <w:qFormat/>
    <w:uiPriority w:val="0"/>
    <w:pPr>
      <w:spacing w:before="480" w:after="320"/>
      <w:ind w:firstLine="0"/>
      <w:jc w:val="center"/>
    </w:pPr>
    <w:rPr>
      <w:kern w:val="28"/>
      <w:sz w:val="40"/>
    </w:rPr>
  </w:style>
  <w:style w:type="table" w:styleId="20">
    <w:name w:val="Table Grid"/>
    <w:basedOn w:val="1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FollowedHyperlink"/>
    <w:basedOn w:val="21"/>
    <w:semiHidden/>
    <w:unhideWhenUsed/>
    <w:qFormat/>
    <w:uiPriority w:val="99"/>
    <w:rPr>
      <w:rFonts w:ascii="Times New Roman" w:hAnsi="Times New Roman" w:eastAsia="MS Mincho"/>
      <w:b/>
      <w:color w:val="000000" w:themeColor="text1"/>
      <w:u w:val="none"/>
      <w14:textFill>
        <w14:solidFill>
          <w14:schemeClr w14:val="tx1"/>
        </w14:solidFill>
      </w14:textFill>
    </w:rPr>
  </w:style>
  <w:style w:type="character" w:styleId="23">
    <w:name w:val="Hyperlink"/>
    <w:basedOn w:val="21"/>
    <w:unhideWhenUsed/>
    <w:qFormat/>
    <w:uiPriority w:val="99"/>
    <w:rPr>
      <w:rFonts w:ascii="Times New Roman" w:hAnsi="Times New Roman" w:eastAsia="MS Mincho"/>
      <w:b/>
      <w:color w:val="000000" w:themeColor="text1"/>
      <w:u w:val="none"/>
      <w14:textFill>
        <w14:solidFill>
          <w14:schemeClr w14:val="tx1"/>
        </w14:solidFill>
      </w14:textFill>
    </w:rPr>
  </w:style>
  <w:style w:type="character" w:styleId="24">
    <w:name w:val="footnote reference"/>
    <w:semiHidden/>
    <w:qFormat/>
    <w:uiPriority w:val="0"/>
    <w:rPr>
      <w:vertAlign w:val="superscript"/>
    </w:rPr>
  </w:style>
  <w:style w:type="paragraph" w:customStyle="1" w:styleId="25">
    <w:name w:val="Quote1"/>
    <w:basedOn w:val="1"/>
    <w:qFormat/>
    <w:uiPriority w:val="0"/>
    <w:pPr>
      <w:ind w:left="204"/>
    </w:pPr>
    <w:rPr>
      <w:sz w:val="18"/>
    </w:rPr>
  </w:style>
  <w:style w:type="paragraph" w:customStyle="1" w:styleId="26">
    <w:name w:val="Abstract"/>
    <w:basedOn w:val="1"/>
    <w:qFormat/>
    <w:uiPriority w:val="0"/>
    <w:pPr>
      <w:adjustRightInd w:val="0"/>
      <w:snapToGrid w:val="0"/>
      <w:spacing w:before="480"/>
      <w:ind w:left="851" w:right="851" w:firstLine="0"/>
    </w:pPr>
    <w:rPr>
      <w:sz w:val="16"/>
    </w:rPr>
  </w:style>
  <w:style w:type="paragraph" w:customStyle="1" w:styleId="27">
    <w:name w:val="Affiliation"/>
    <w:basedOn w:val="1"/>
    <w:qFormat/>
    <w:uiPriority w:val="0"/>
    <w:pPr>
      <w:ind w:firstLine="0"/>
      <w:jc w:val="center"/>
    </w:pPr>
    <w:rPr>
      <w:i/>
    </w:rPr>
  </w:style>
  <w:style w:type="paragraph" w:customStyle="1" w:styleId="28">
    <w:name w:val="Equation"/>
    <w:basedOn w:val="1"/>
    <w:qFormat/>
    <w:uiPriority w:val="0"/>
    <w:pPr>
      <w:tabs>
        <w:tab w:val="left" w:pos="6781"/>
      </w:tabs>
      <w:spacing w:before="240" w:after="240"/>
      <w:ind w:left="454" w:firstLine="0"/>
      <w:jc w:val="left"/>
    </w:pPr>
  </w:style>
  <w:style w:type="paragraph" w:customStyle="1" w:styleId="29">
    <w:name w:val="Footnote"/>
    <w:basedOn w:val="1"/>
    <w:qFormat/>
    <w:uiPriority w:val="0"/>
    <w:pPr>
      <w:ind w:firstLine="136"/>
    </w:pPr>
    <w:rPr>
      <w:sz w:val="16"/>
    </w:rPr>
  </w:style>
  <w:style w:type="paragraph" w:customStyle="1" w:styleId="30">
    <w:name w:val="LISTalph"/>
    <w:basedOn w:val="1"/>
    <w:qFormat/>
    <w:uiPriority w:val="0"/>
    <w:pPr>
      <w:numPr>
        <w:ilvl w:val="0"/>
        <w:numId w:val="3"/>
      </w:numPr>
      <w:tabs>
        <w:tab w:val="left" w:pos="499"/>
      </w:tabs>
    </w:pPr>
  </w:style>
  <w:style w:type="paragraph" w:customStyle="1" w:styleId="31">
    <w:name w:val="LISTdash"/>
    <w:basedOn w:val="1"/>
    <w:qFormat/>
    <w:uiPriority w:val="0"/>
    <w:pPr>
      <w:numPr>
        <w:ilvl w:val="0"/>
        <w:numId w:val="4"/>
      </w:numPr>
      <w:tabs>
        <w:tab w:val="left" w:pos="454"/>
      </w:tabs>
      <w:adjustRightInd w:val="0"/>
      <w:snapToGrid w:val="0"/>
    </w:pPr>
  </w:style>
  <w:style w:type="paragraph" w:customStyle="1" w:styleId="32">
    <w:name w:val="LISTnum"/>
    <w:basedOn w:val="1"/>
    <w:qFormat/>
    <w:uiPriority w:val="0"/>
    <w:pPr>
      <w:numPr>
        <w:ilvl w:val="0"/>
        <w:numId w:val="5"/>
      </w:numPr>
      <w:adjustRightInd w:val="0"/>
      <w:snapToGrid w:val="0"/>
      <w:ind w:left="714" w:hanging="357"/>
    </w:pPr>
  </w:style>
  <w:style w:type="paragraph" w:customStyle="1" w:styleId="33">
    <w:name w:val="References"/>
    <w:basedOn w:val="1"/>
    <w:qFormat/>
    <w:uiPriority w:val="0"/>
    <w:pPr>
      <w:numPr>
        <w:ilvl w:val="0"/>
        <w:numId w:val="6"/>
      </w:numPr>
      <w:tabs>
        <w:tab w:val="left" w:pos="85"/>
      </w:tabs>
    </w:pPr>
    <w:rPr>
      <w:sz w:val="16"/>
    </w:rPr>
  </w:style>
  <w:style w:type="paragraph" w:customStyle="1" w:styleId="34">
    <w:name w:val="Table"/>
    <w:basedOn w:val="1"/>
    <w:qFormat/>
    <w:uiPriority w:val="0"/>
    <w:pPr>
      <w:spacing w:before="60" w:after="60"/>
      <w:ind w:firstLine="0"/>
      <w:jc w:val="left"/>
    </w:pPr>
    <w:rPr>
      <w:sz w:val="16"/>
    </w:rPr>
  </w:style>
  <w:style w:type="paragraph" w:customStyle="1" w:styleId="35">
    <w:name w:val="Author"/>
    <w:basedOn w:val="1"/>
    <w:qFormat/>
    <w:uiPriority w:val="0"/>
    <w:pPr>
      <w:ind w:firstLine="0"/>
      <w:jc w:val="center"/>
    </w:pPr>
  </w:style>
  <w:style w:type="paragraph" w:customStyle="1" w:styleId="36">
    <w:name w:val="LISTDescription"/>
    <w:basedOn w:val="1"/>
    <w:qFormat/>
    <w:uiPriority w:val="0"/>
    <w:pPr>
      <w:ind w:left="454" w:hanging="454"/>
    </w:pPr>
  </w:style>
  <w:style w:type="paragraph" w:customStyle="1" w:styleId="37">
    <w:name w:val="Notes"/>
    <w:basedOn w:val="1"/>
    <w:qFormat/>
    <w:uiPriority w:val="0"/>
    <w:rPr>
      <w:sz w:val="16"/>
    </w:rPr>
  </w:style>
  <w:style w:type="paragraph" w:customStyle="1" w:styleId="38">
    <w:name w:val="CaptionLong"/>
    <w:basedOn w:val="1"/>
    <w:qFormat/>
    <w:uiPriority w:val="0"/>
    <w:pPr>
      <w:spacing w:before="80" w:after="80"/>
      <w:ind w:firstLine="0"/>
    </w:pPr>
    <w:rPr>
      <w:sz w:val="16"/>
    </w:rPr>
  </w:style>
  <w:style w:type="paragraph" w:customStyle="1" w:styleId="39">
    <w:name w:val="HeadingUnn1"/>
    <w:basedOn w:val="2"/>
    <w:next w:val="3"/>
    <w:qFormat/>
    <w:uiPriority w:val="0"/>
    <w:pPr>
      <w:numPr>
        <w:numId w:val="0"/>
      </w:numPr>
    </w:pPr>
    <w:rPr>
      <w:bCs w:val="0"/>
    </w:rPr>
  </w:style>
  <w:style w:type="paragraph" w:customStyle="1" w:styleId="40">
    <w:name w:val="HeadingUnn2"/>
    <w:basedOn w:val="4"/>
    <w:next w:val="3"/>
    <w:qFormat/>
    <w:uiPriority w:val="0"/>
    <w:pPr>
      <w:numPr>
        <w:ilvl w:val="0"/>
        <w:numId w:val="0"/>
      </w:numPr>
    </w:pPr>
  </w:style>
  <w:style w:type="paragraph" w:customStyle="1" w:styleId="41">
    <w:name w:val="HeadingUnn3"/>
    <w:basedOn w:val="5"/>
    <w:next w:val="3"/>
    <w:qFormat/>
    <w:uiPriority w:val="0"/>
    <w:pPr>
      <w:numPr>
        <w:ilvl w:val="0"/>
        <w:numId w:val="0"/>
      </w:numPr>
    </w:pPr>
  </w:style>
  <w:style w:type="paragraph" w:customStyle="1" w:styleId="42">
    <w:name w:val="HeadingUnn4"/>
    <w:basedOn w:val="6"/>
    <w:next w:val="3"/>
    <w:qFormat/>
    <w:uiPriority w:val="0"/>
    <w:pPr>
      <w:numPr>
        <w:ilvl w:val="0"/>
        <w:numId w:val="0"/>
      </w:numPr>
    </w:pPr>
  </w:style>
  <w:style w:type="paragraph" w:customStyle="1" w:styleId="43">
    <w:name w:val="HeadingUnn5"/>
    <w:basedOn w:val="7"/>
    <w:next w:val="1"/>
    <w:qFormat/>
    <w:uiPriority w:val="0"/>
    <w:pPr>
      <w:numPr>
        <w:ilvl w:val="0"/>
        <w:numId w:val="0"/>
      </w:numPr>
      <w:spacing w:before="120"/>
    </w:pPr>
  </w:style>
  <w:style w:type="paragraph" w:customStyle="1" w:styleId="44">
    <w:name w:val="CaptionShort"/>
    <w:basedOn w:val="1"/>
    <w:qFormat/>
    <w:uiPriority w:val="0"/>
    <w:pPr>
      <w:spacing w:before="80" w:after="80"/>
      <w:ind w:firstLine="0"/>
      <w:jc w:val="center"/>
    </w:pPr>
    <w:rPr>
      <w:sz w:val="16"/>
    </w:rPr>
  </w:style>
  <w:style w:type="paragraph" w:customStyle="1" w:styleId="45">
    <w:name w:val="Listbul"/>
    <w:basedOn w:val="1"/>
    <w:qFormat/>
    <w:uiPriority w:val="0"/>
    <w:pPr>
      <w:numPr>
        <w:ilvl w:val="0"/>
        <w:numId w:val="7"/>
      </w:numPr>
    </w:pPr>
  </w:style>
  <w:style w:type="paragraph" w:customStyle="1" w:styleId="46">
    <w:name w:val="Keywords"/>
    <w:basedOn w:val="26"/>
    <w:next w:val="2"/>
    <w:qFormat/>
    <w:uiPriority w:val="0"/>
    <w:pPr>
      <w:spacing w:before="240" w:after="240"/>
    </w:pPr>
  </w:style>
  <w:style w:type="character" w:customStyle="1" w:styleId="47">
    <w:name w:val="Footnote Char"/>
    <w:qFormat/>
    <w:uiPriority w:val="0"/>
    <w:rPr>
      <w:rFonts w:eastAsia="MS Mincho"/>
      <w:sz w:val="16"/>
      <w:szCs w:val="24"/>
      <w:lang w:val="en-US" w:eastAsia="ja-JP" w:bidi="ar-SA"/>
    </w:rPr>
  </w:style>
  <w:style w:type="character" w:customStyle="1" w:styleId="48">
    <w:name w:val="MTEquationSection"/>
    <w:qFormat/>
    <w:uiPriority w:val="0"/>
    <w:rPr>
      <w:i/>
      <w:vanish/>
      <w:color w:val="FF0000"/>
    </w:rPr>
  </w:style>
  <w:style w:type="character" w:customStyle="1" w:styleId="49">
    <w:name w:val="页眉 字符"/>
    <w:basedOn w:val="21"/>
    <w:link w:val="16"/>
    <w:qFormat/>
    <w:uiPriority w:val="99"/>
    <w:rPr>
      <w:sz w:val="18"/>
      <w:szCs w:val="18"/>
      <w:lang w:eastAsia="ja-JP"/>
    </w:rPr>
  </w:style>
  <w:style w:type="character" w:customStyle="1" w:styleId="50">
    <w:name w:val="页脚 字符"/>
    <w:basedOn w:val="21"/>
    <w:link w:val="15"/>
    <w:qFormat/>
    <w:uiPriority w:val="99"/>
    <w:rPr>
      <w:sz w:val="18"/>
      <w:szCs w:val="18"/>
      <w:lang w:eastAsia="ja-JP"/>
    </w:rPr>
  </w:style>
  <w:style w:type="paragraph" w:customStyle="1" w:styleId="51">
    <w:name w:val="SPIE paper title"/>
    <w:basedOn w:val="1"/>
    <w:link w:val="52"/>
    <w:qFormat/>
    <w:uiPriority w:val="0"/>
    <w:pPr>
      <w:ind w:firstLine="0"/>
      <w:jc w:val="center"/>
      <w:outlineLvl w:val="0"/>
    </w:pPr>
    <w:rPr>
      <w:rFonts w:eastAsia="等线"/>
      <w:b/>
      <w:sz w:val="32"/>
      <w:szCs w:val="20"/>
      <w:lang w:eastAsia="en-US"/>
    </w:rPr>
  </w:style>
  <w:style w:type="character" w:customStyle="1" w:styleId="52">
    <w:name w:val="SPIE paper title Char Char"/>
    <w:link w:val="51"/>
    <w:qFormat/>
    <w:uiPriority w:val="0"/>
    <w:rPr>
      <w:rFonts w:eastAsia="等线"/>
      <w:b/>
      <w:sz w:val="32"/>
      <w:lang w:eastAsia="en-US"/>
    </w:rPr>
  </w:style>
  <w:style w:type="paragraph" w:customStyle="1" w:styleId="53">
    <w:name w:val="Title_document"/>
    <w:link w:val="54"/>
    <w:qFormat/>
    <w:uiPriority w:val="0"/>
    <w:pPr>
      <w:spacing w:line="360" w:lineRule="atLeast"/>
    </w:pPr>
    <w:rPr>
      <w:rFonts w:ascii="Linux Biolinum O" w:hAnsi="Linux Biolinum O" w:eastAsia="Times New Roman" w:cs="Linux Biolinum O"/>
      <w:b/>
      <w:bCs/>
      <w:sz w:val="24"/>
      <w:lang w:val="en-US" w:eastAsia="en-US" w:bidi="ar-SA"/>
    </w:rPr>
  </w:style>
  <w:style w:type="character" w:customStyle="1" w:styleId="54">
    <w:name w:val="Title_document Char"/>
    <w:link w:val="53"/>
    <w:qFormat/>
    <w:uiPriority w:val="0"/>
    <w:rPr>
      <w:rFonts w:ascii="Linux Biolinum O" w:hAnsi="Linux Biolinum O" w:eastAsia="Times New Roman" w:cs="Linux Biolinum O"/>
      <w:b/>
      <w:bCs/>
      <w:sz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42C19E49-96BE-4A4D-BFBA-5C99B40DD1CA}">
  <ds:schemaRefs/>
</ds:datastoreItem>
</file>

<file path=docProps/app.xml><?xml version="1.0" encoding="utf-8"?>
<Properties xmlns="http://schemas.openxmlformats.org/officeDocument/2006/extended-properties" xmlns:vt="http://schemas.openxmlformats.org/officeDocument/2006/docPropsVTypes">
  <Template>Normal.dotm</Template>
  <Company>VTEX</Company>
  <Pages>8</Pages>
  <Words>3246</Words>
  <Characters>17665</Characters>
  <Lines>11</Lines>
  <Paragraphs>3</Paragraphs>
  <TotalTime>0</TotalTime>
  <ScaleCrop>false</ScaleCrop>
  <LinksUpToDate>false</LinksUpToDate>
  <CharactersWithSpaces>20726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2020-07-07T11:59:00Z</dcterms:created>
  <dc:creator>Fuqian Shi</dc:creator>
  <cp:lastModifiedBy>HenryTJS</cp:lastModifiedBy>
  <cp:lastPrinted>2008-10-24T22:15:00Z</cp:lastPrinted>
  <dcterms:modified xsi:type="dcterms:W3CDTF">2026-10-18T09:05:44Z</dcterms:modified>
  <dc:title>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eyJoZGlkIjoiMTY1YjM3YzAzMTBmZjExZWVjNGJjMDNkZjUwOWUwYWEiLCJ1c2VySWQiOiI5NjI5MTQzNTgifQ==</vt:lpwstr>
  </property>
  <property fmtid="{D5CDD505-2E9C-101B-9397-08002B2CF9AE}" pid="4" name="ICV">
    <vt:lpwstr>133B93023C4B4565B6EDF40A88900D4F_12</vt:lpwstr>
  </property>
</Properties>
</file>