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>
    <v:background o:bwmode="white" o:targetscreensize="1024,768">
      <v:fill alignshape="true" r:id="rId2" recolor="false" origin="," aspect="ignore" position="," type="tile" o:title="paper2"/>
    </v:background>
  </w:background>
  <w:body>
    <w:p>
      <w:pPr>
        <w:pStyle w:val="style0"/>
        <w:snapToGrid w:val="false"/>
        <w:spacing w:before="187" w:after="187" w:lineRule="auto" w:line="240"/>
        <w:jc w:val="center"/>
        <w:rPr>
          <w:rFonts w:ascii="黑体" w:cs="黑体" w:eastAsia="黑体" w:hAnsi="黑体" w:hint="eastAsia"/>
          <w:b w:val="false"/>
          <w:bCs w:val="false"/>
          <w:sz w:val="36"/>
          <w:szCs w:val="36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sz w:val="36"/>
          <w:szCs w:val="36"/>
          <w:lang w:val="en-US" w:eastAsia="zh-CN"/>
        </w:rPr>
        <w:t>第</w:t>
      </w:r>
      <w:r>
        <w:rPr>
          <w:rFonts w:ascii="黑体" w:cs="黑体" w:eastAsia="黑体" w:hAnsi="黑体" w:hint="default"/>
          <w:b w:val="false"/>
          <w:bCs w:val="false"/>
          <w:sz w:val="36"/>
          <w:szCs w:val="36"/>
          <w:lang w:val="en-US" w:eastAsia="zh-CN"/>
        </w:rPr>
        <w:t>7</w:t>
      </w:r>
      <w:r>
        <w:rPr>
          <w:rFonts w:ascii="黑体" w:cs="黑体" w:eastAsia="黑体" w:hAnsi="黑体" w:hint="eastAsia"/>
          <w:b w:val="false"/>
          <w:bCs w:val="false"/>
          <w:sz w:val="36"/>
          <w:szCs w:val="36"/>
          <w:lang w:val="en-US" w:eastAsia="zh-CN"/>
        </w:rPr>
        <w:t>天答疑整理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eastAsia"/>
          <w:b w:val="false"/>
          <w:bCs w:val="false"/>
          <w:sz w:val="28"/>
          <w:szCs w:val="28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sz w:val="28"/>
          <w:szCs w:val="28"/>
          <w:lang w:val="en-US" w:eastAsia="zh-CN"/>
        </w:rPr>
        <w:t>整理书记：</w:t>
      </w:r>
      <w:r>
        <w:rPr>
          <w:rFonts w:ascii="黑体" w:cs="黑体" w:eastAsia="黑体" w:hAnsi="黑体" w:hint="default"/>
          <w:b w:val="false"/>
          <w:bCs w:val="false"/>
          <w:sz w:val="28"/>
          <w:szCs w:val="28"/>
          <w:lang w:val="en-US" w:eastAsia="zh-CN"/>
        </w:rPr>
        <w:t>彤彤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eastAsia"/>
          <w:b w:val="false"/>
          <w:bCs w:val="false"/>
          <w:sz w:val="28"/>
          <w:szCs w:val="28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sz w:val="28"/>
          <w:szCs w:val="28"/>
          <w:lang w:val="en-US" w:eastAsia="zh-CN"/>
        </w:rPr>
        <w:t>202108</w:t>
      </w:r>
      <w:r>
        <w:rPr>
          <w:rFonts w:ascii="黑体" w:cs="黑体" w:eastAsia="黑体" w:hAnsi="黑体" w:hint="default"/>
          <w:b w:val="false"/>
          <w:bCs w:val="false"/>
          <w:sz w:val="28"/>
          <w:szCs w:val="28"/>
          <w:lang w:val="en-US" w:eastAsia="zh-CN"/>
        </w:rPr>
        <w:t>23</w:t>
      </w:r>
    </w:p>
    <w:bookmarkStart w:id="0" w:name="_GoBack"/>
    <w:bookmarkEnd w:id="0"/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eastAsia"/>
          <w:b w:val="false"/>
          <w:bCs w:val="false"/>
          <w:sz w:val="28"/>
          <w:szCs w:val="28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sz w:val="28"/>
          <w:szCs w:val="28"/>
          <w:lang w:val="en-US" w:eastAsia="zh-CN"/>
        </w:rPr>
        <w:t>【提问】</w:t>
      </w:r>
      <w:r>
        <w:rPr>
          <w:rFonts w:ascii="黑体" w:cs="黑体" w:eastAsia="黑体" w:hAnsi="黑体" w:hint="default"/>
          <w:b w:val="false"/>
          <w:bCs w:val="false"/>
          <w:sz w:val="28"/>
          <w:szCs w:val="28"/>
          <w:lang w:val="en-US" w:eastAsia="zh-CN"/>
        </w:rPr>
        <w:t>经常看到基金评级三星五星的，为啥看了这么多指数基金，都没见它评级呢"现在一直在天天基金网看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eastAsia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color w:val="ff0000"/>
          <w:sz w:val="28"/>
          <w:szCs w:val="28"/>
          <w:lang w:val="en-US" w:eastAsia="zh-CN"/>
        </w:rPr>
        <w:t>【回答】</w:t>
      </w: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我们筛选和买卖指数基金不需要查看星级哦。我们在初级课程学习债券基 金就需要看星级可以更好判断债券的偿还能力。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color w:val="ff0000"/>
          <w:sz w:val="28"/>
          <w:szCs w:val="28"/>
          <w:lang w:val="en-US" w:eastAsia="zh-CN"/>
        </w:rPr>
        <w:t>【补充】</w:t>
      </w: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在天天基 金网一般看得比较多是基 金经理的评级。就会有五星四星这类的，但是对我们投 资没有什么影响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  <w:t>【提问】基金经理都有评级，我看最差也是4星了，我在想，基金经理的评级是不是具体到人，不好意思给太差的评价，不过我也会看基金经理的介绍，如果他干了很多年了，还是管理的基  金数量也少，金额也少，我会认为他水平其实不太行，不知道这样认为对不对？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【回答】看他们管理该基 金在整体同类水平的排行呀，系统出的数据不会着重谁考虑面子关系的。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【补充】这个应该持有中性态度哦，不能直接说明经理能力还是问题，因为规模大小会变化，可以侧面了解一下。还是按照课程筛选指标，是比较稳健的方向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  <w:t>【提问】这个核心卫星策略是核心定投，卫星一次性买入吗？"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【回答】是进行定投哦。但是我们每年需要整体调整一下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  <w:t>【提问】开启进阶学习 卫星也是定投？"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【回答】卫星部分可以一次性投入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第三节学习的，如果目前高估可以放进货币基 金，低估在一次性买入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【补充】我建议小伙伴们，先学习估值～后面会教两种投 资策略，然后再根据自己投 资风格和资金进行选择策略买卖哦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  <w:t>【提问】什么情况下，PE温度为0？我看了水星财富的温度，医疗器械，医疗保健，PE温度都为0 ，指数收益率都负十几个点。且跟踪指数的对应基金，大多都是刚成立几个月，规模都非常小甚至不显示规模。这种情况可以买入吗。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  <w:r>
        <w:rPr/>
        <w:drawing>
          <wp:inline distL="0" distT="0" distB="0" distR="0">
            <wp:extent cx="2870200" cy="121232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0200" cy="121232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870200" cy="106207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0200" cy="1062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【回答】pe温度为0说明现在的pe值是过去十年里最低的~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截图里显示的是近一个月的收 益率，就是近一个月来下跌了20%左右，最近医药领域大调整，咱们都知道的哈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再加上如果基 金成立时间太短，规模也够不到标准的话就要慎重啦~数据太少，不建议买入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  <w:t>【提问】医疗器械，医疗保健，PE温度都为0，这种选哪个呢”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【回答】温度低，但是追踪的基 金大都是刚成立，规模小，实操一下，会发现都不太让人满意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  <w:t>【提问】假如某一个行业我更看好第二个温度的指数(前两个指数温度都合适，基 金也都有合适的)，是否可以买第二个"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【回答】前提是你的看好是基于对这两个细分行业有一定的了解，那只要温度合适，也有合适的基 金，就可以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  <w:t>【提问】国证芯片指数基 金，误差率都是0.03%，净值小与规模大，如何取舍？还是优先选规模大的是吗。"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36363d"/>
          <w:sz w:val="28"/>
          <w:szCs w:val="28"/>
          <w:lang w:val="en-US" w:eastAsia="zh-CN"/>
        </w:rPr>
      </w:pPr>
      <w:r>
        <w:rPr/>
        <w:drawing>
          <wp:inline distL="0" distT="0" distB="0" distR="0">
            <wp:extent cx="2870200" cy="185845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0200" cy="18584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【回答】对比净值没有意义哈[愉快]跟踪误差率都是相同的，优先规模大大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  <w:t>【补充】净值不算筛选指标，这种情况优先看规模~~如果规模都达标，但是自己资金有限的话，可以选净值小的~</w:t>
      </w: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p>
      <w:pPr>
        <w:pStyle w:val="style0"/>
        <w:snapToGrid w:val="false"/>
        <w:spacing w:before="187" w:after="187" w:lineRule="auto" w:line="240"/>
        <w:jc w:val="left"/>
        <w:rPr>
          <w:rFonts w:ascii="黑体" w:cs="黑体" w:eastAsia="黑体" w:hAnsi="黑体" w:hint="default"/>
          <w:b w:val="false"/>
          <w:bCs w:val="false"/>
          <w:color w:val="ff0000"/>
          <w:sz w:val="28"/>
          <w:szCs w:val="28"/>
          <w:lang w:val="en-US" w:eastAsia="zh-CN"/>
        </w:rPr>
      </w:pPr>
    </w:p>
    <w:sectPr>
      <w:headerReference w:type="default" r:id="rId6"/>
      <w:footerReference w:type="default" r:id="rId7"/>
      <w:pgSz w:w="11906" w:h="16838" w:orient="portrait"/>
      <w:pgMar w:top="1440" w:right="1417" w:bottom="1440" w:left="1417" w:header="567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7a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00000000"/>
  </w:font>
  <w:font w:name="Calibri Light">
    <w:altName w:val="Calibri Light"/>
    <w:panose1 w:val="020f0302020000030204"/>
    <w:charset w:val="00"/>
    <w:family w:val="auto"/>
    <w:pitch w:val="default"/>
    <w:sig w:usb0="E0002AFF" w:usb1="C000247B" w:usb2="00000009" w:usb3="00000000" w:csb0="200001FF" w:csb1="00000000"/>
  </w:font>
  <w:font w:name="仿宋">
    <w:altName w:val="仿宋"/>
    <w:panose1 w:val="02010609060000010101"/>
    <w:charset w:val="86"/>
    <w:family w:val="modern"/>
    <w:pitch w:val="default"/>
    <w:sig w:usb0="800002BF" w:usb1="38CF7CFA" w:usb2="00000016" w:usb3="00000000" w:csb0="0004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rFonts w:hint="eastAsia"/>
        <w:lang w:val="en-US"/>
      </w:rPr>
      <w:t xml:space="preserve"> </w:t>
    </w:r>
    <w:r>
      <w:rPr>
        <w:lang w:val="en-US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00" name="文本框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100">
                      <w:txbxContent>
                        <w:p>
                          <w:pPr>
                            <w:pStyle w:val="style32"/>
                            <w:rPr>
                              <w:rFonts w:ascii="仿宋" w:cs="仿宋" w:eastAsia="仿宋" w:hAnsi="仿宋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t xml:space="preserve">第 </w:t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仿宋" w:cs="仿宋" w:eastAsia="仿宋" w:hAnsi="仿宋"/>
                              <w:b/>
                              <w:bCs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t xml:space="preserve"> 页 共 </w:t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仿宋" w:cs="仿宋" w:eastAsia="仿宋" w:hAnsi="仿宋"/>
                              <w:b/>
                              <w:bCs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仿宋" w:cs="仿宋" w:eastAsia="仿宋" w:hAnsi="仿宋" w:hint="eastAsia"/>
                              <w:b/>
                              <w:bCs/>
                              <w:sz w:val="24"/>
                              <w:szCs w:val="24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vert="horz" anchor="t" wrap="non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100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>
                        <w:rFonts w:ascii="仿宋" w:cs="仿宋" w:eastAsia="仿宋" w:hAnsi="仿宋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t xml:space="preserve">第 </w:t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仿宋" w:cs="仿宋" w:eastAsia="仿宋" w:hAnsi="仿宋"/>
                        <w:b/>
                        <w:bCs/>
                        <w:sz w:val="24"/>
                        <w:szCs w:val="24"/>
                      </w:rPr>
                      <w:t>12</w:t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t xml:space="preserve"> 页 共 </w:t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仿宋" w:cs="仿宋" w:eastAsia="仿宋" w:hAnsi="仿宋"/>
                        <w:b/>
                        <w:bCs/>
                        <w:sz w:val="24"/>
                        <w:szCs w:val="24"/>
                      </w:rPr>
                      <w:t>12</w:t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仿宋" w:cs="仿宋" w:eastAsia="仿宋" w:hAnsi="仿宋" w:hint="eastAsia"/>
                        <w:b/>
                        <w:bCs/>
                        <w:sz w:val="24"/>
                        <w:szCs w:val="24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single" w:sz="4" w:space="1" w:color="fe9f08"/>
      </w:pBdr>
      <w:jc w:val="center"/>
      <w:rPr>
        <w:rFonts w:eastAsia="宋体" w:hint="eastAsia"/>
        <w:lang w:eastAsia="zh-CN"/>
      </w:rPr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23.5pt;height:80.5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>
          <v:stroke on="f"/>
          <o:lock aspectratio="true" v:ext="view"/>
          <v:fill opacity="22282f"/>
          <v:textpath string="水星财富学堂" fitpath="t" fitshape="t" trim="t" on="t" style="font-size:80.0pt;font-family:&quot;黑体&quot;;"/>
        </v:shape>
      </w:pict>
    </w:r>
    <w:r>
      <w:rPr>
        <w:rFonts w:eastAsia="宋体" w:hint="eastAsia"/>
        <w:lang w:eastAsia="zh-CN"/>
      </w:rPr>
      <w:drawing>
        <wp:inline distL="0" distT="0" distB="0" distR="0">
          <wp:extent cx="1758950" cy="461010"/>
          <wp:effectExtent l="0" t="0" r="12700" b="15240"/>
          <wp:docPr id="4099" name="图片 2" descr="水星财富学堂-横版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758950" cy="46101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</w:pPr>
    <w:rPr>
      <w:rFonts w:ascii="Times New Roman" w:cs="Times New Roman" w:eastAsia="宋体" w:hAnsi="Times New Roman"/>
      <w:color w:val="000000"/>
      <w:kern w:val="1"/>
      <w:lang w:val="zh-CN" w:bidi="ar-SA" w:eastAsia="zh-CN"/>
    </w:rPr>
  </w:style>
  <w:style w:type="paragraph" w:styleId="style1">
    <w:name w:val="heading 1"/>
    <w:basedOn w:val="style0"/>
    <w:next w:val="style0"/>
    <w:qFormat/>
    <w:uiPriority w:val="1"/>
    <w:pPr>
      <w:ind w:left="120"/>
      <w:outlineLvl w:val="0"/>
    </w:pPr>
    <w:rPr>
      <w:rFonts w:ascii="微软雅黑" w:cs="微软雅黑" w:eastAsia="微软雅黑" w:hAnsi="微软雅黑"/>
      <w:b/>
      <w:bCs/>
      <w:sz w:val="28"/>
      <w:szCs w:val="28"/>
      <w:lang w:bidi="zh-CN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40" w:after="240" w:lineRule="auto" w:line="408"/>
      <w:jc w:val="left"/>
      <w:outlineLvl w:val="1"/>
    </w:pPr>
    <w:rPr>
      <w:rFonts w:ascii="Calibri Light" w:cs="宋体" w:eastAsia="宋体" w:hAnsi="Calibri Light"/>
      <w:b/>
      <w:bCs/>
      <w:color w:val="000000"/>
      <w:sz w:val="32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宋体" w:cs="宋体" w:hAnsi="宋体"/>
      <w:sz w:val="21"/>
      <w:szCs w:val="21"/>
      <w:lang w:bidi="zh-CN"/>
    </w:rPr>
  </w:style>
  <w:style w:type="paragraph" w:styleId="style153">
    <w:name w:val="Balloon Text"/>
    <w:basedOn w:val="style0"/>
    <w:next w:val="style153"/>
    <w:link w:val="style4104"/>
    <w:qFormat/>
    <w:uiPriority w:val="0"/>
    <w:pPr/>
    <w:rPr>
      <w:sz w:val="18"/>
      <w:szCs w:val="18"/>
    </w:r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jc w:val="both"/>
    </w:pPr>
    <w:rPr>
      <w:sz w:val="18"/>
    </w:rPr>
  </w:style>
  <w:style w:type="paragraph" w:styleId="style94">
    <w:name w:val="Normal (Web)"/>
    <w:basedOn w:val="style0"/>
    <w:next w:val="style94"/>
    <w:qFormat/>
    <w:uiPriority w:val="0"/>
    <w:pPr>
      <w:spacing w:beforeAutospacing="true" w:afterAutospacing="true"/>
    </w:pPr>
    <w:rPr>
      <w:kern w:val="0"/>
      <w:sz w:val="24"/>
      <w:lang w:val="en-US"/>
    </w:rPr>
  </w:style>
  <w:style w:type="paragraph" w:styleId="style62">
    <w:name w:val="Title"/>
    <w:basedOn w:val="style0"/>
    <w:next w:val="style0"/>
    <w:qFormat/>
    <w:uiPriority w:val="10"/>
    <w:pPr>
      <w:spacing w:before="240" w:after="60" w:lineRule="auto" w:line="312"/>
      <w:jc w:val="center"/>
      <w:outlineLvl w:val="0"/>
    </w:pPr>
    <w:rPr>
      <w:rFonts w:ascii="Calibri Light" w:cs="宋体" w:eastAsia="宋体" w:hAnsi="Calibri Light"/>
      <w:b/>
      <w:bCs/>
      <w:color w:val="auto"/>
      <w:sz w:val="32"/>
      <w:szCs w:val="32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character" w:customStyle="1" w:styleId="style4097">
    <w:name w:val="font31"/>
    <w:basedOn w:val="style65"/>
    <w:next w:val="style4097"/>
    <w:qFormat/>
    <w:uiPriority w:val="0"/>
    <w:rPr>
      <w:rFonts w:ascii="宋体" w:cs="宋体" w:eastAsia="宋体" w:hAnsi="宋体"/>
      <w:color w:val="000000"/>
      <w:sz w:val="22"/>
      <w:szCs w:val="22"/>
      <w:u w:val="none"/>
    </w:rPr>
  </w:style>
  <w:style w:type="character" w:customStyle="1" w:styleId="style4098">
    <w:name w:val="font01"/>
    <w:basedOn w:val="style65"/>
    <w:next w:val="style4098"/>
    <w:qFormat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type="character" w:customStyle="1" w:styleId="style4099">
    <w:name w:val="font11"/>
    <w:basedOn w:val="style65"/>
    <w:next w:val="style4099"/>
    <w:qFormat/>
    <w:uiPriority w:val="0"/>
    <w:rPr>
      <w:rFonts w:ascii="微软雅黑" w:cs="微软雅黑" w:eastAsia="微软雅黑" w:hAnsi="微软雅黑" w:hint="eastAsia"/>
      <w:color w:val="000000"/>
      <w:sz w:val="20"/>
      <w:szCs w:val="20"/>
      <w:u w:val="none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customStyle="1" w:styleId="style4100">
    <w:name w:val="石墨文档正文"/>
    <w:next w:val="style4100"/>
    <w:qFormat/>
    <w:uiPriority w:val="0"/>
    <w:pPr/>
    <w:rPr>
      <w:rFonts w:ascii="微软雅黑" w:cs="微软雅黑" w:eastAsia="微软雅黑" w:hAnsi="微软雅黑"/>
      <w:sz w:val="24"/>
      <w:szCs w:val="24"/>
      <w:lang w:val="en-US" w:bidi="ar-SA" w:eastAsia="zh-CN"/>
    </w:rPr>
  </w:style>
  <w:style w:type="paragraph" w:customStyle="1" w:styleId="style4101">
    <w:name w:val="石墨文档小标题"/>
    <w:next w:val="style4100"/>
    <w:qFormat/>
    <w:uiPriority w:val="9"/>
    <w:pPr>
      <w:spacing w:before="260" w:after="260"/>
      <w:outlineLvl w:val="2"/>
    </w:pPr>
    <w:rPr>
      <w:rFonts w:ascii="微软雅黑" w:cs="微软雅黑" w:eastAsia="微软雅黑" w:hAnsi="微软雅黑"/>
      <w:b/>
      <w:bCs/>
      <w:sz w:val="32"/>
      <w:szCs w:val="32"/>
      <w:lang w:val="en-US" w:bidi="ar-SA" w:eastAsia="zh-CN"/>
    </w:rPr>
  </w:style>
  <w:style w:type="paragraph" w:customStyle="1" w:styleId="style4102">
    <w:name w:val="石墨文档大标题"/>
    <w:next w:val="style4100"/>
    <w:qFormat/>
    <w:uiPriority w:val="9"/>
    <w:pPr>
      <w:spacing w:before="260" w:after="260"/>
      <w:outlineLvl w:val="0"/>
    </w:pPr>
    <w:rPr>
      <w:rFonts w:ascii="微软雅黑" w:cs="微软雅黑" w:eastAsia="微软雅黑" w:hAnsi="微软雅黑"/>
      <w:b/>
      <w:bCs/>
      <w:sz w:val="40"/>
      <w:szCs w:val="40"/>
      <w:lang w:val="en-US" w:bidi="ar-SA" w:eastAsia="zh-CN"/>
    </w:rPr>
  </w:style>
  <w:style w:type="paragraph" w:customStyle="1" w:styleId="style4103">
    <w:name w:val="列出段落1"/>
    <w:basedOn w:val="style0"/>
    <w:next w:val="style4103"/>
    <w:qFormat/>
    <w:uiPriority w:val="99"/>
    <w:pPr>
      <w:ind w:firstLine="420" w:firstLineChars="200"/>
    </w:pPr>
    <w:rPr>
      <w:rFonts w:ascii="Calibri" w:cs="宋体" w:eastAsia="宋体" w:hAnsi="Calibri"/>
      <w:szCs w:val="24"/>
    </w:rPr>
  </w:style>
  <w:style w:type="character" w:customStyle="1" w:styleId="style4104">
    <w:name w:val="批注框文本 Char"/>
    <w:basedOn w:val="style65"/>
    <w:next w:val="style4104"/>
    <w:link w:val="style153"/>
    <w:qFormat/>
    <w:uiPriority w:val="0"/>
    <w:rPr>
      <w:rFonts w:ascii="Times New Roman" w:cs="Times New Roman" w:eastAsia="宋体" w:hAnsi="Times New Roman"/>
      <w:color w:val="000000"/>
      <w:kern w:val="1"/>
      <w:sz w:val="18"/>
      <w:szCs w:val="18"/>
      <w:lang w:val="zh-CN"/>
    </w:rPr>
  </w:style>
  <w:style w:type="paragraph" w:customStyle="1" w:styleId="style4105">
    <w:name w:val="石墨文档标题 1"/>
    <w:next w:val="style4100"/>
    <w:qFormat/>
    <w:uiPriority w:val="9"/>
    <w:pPr>
      <w:spacing w:before="260" w:after="260"/>
      <w:outlineLvl w:val="0"/>
    </w:pPr>
    <w:rPr>
      <w:rFonts w:ascii="微软雅黑" w:cs="微软雅黑" w:eastAsia="微软雅黑" w:hAnsi="微软雅黑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8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1091</Words>
  <Pages>12</Pages>
  <Characters>1112</Characters>
  <Application>WPS Office</Application>
  <DocSecurity>0</DocSecurity>
  <Paragraphs>47</Paragraphs>
  <ScaleCrop>false</ScaleCrop>
  <LinksUpToDate>false</LinksUpToDate>
  <CharactersWithSpaces>1136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2021-08-23T14:46:02Z</dcterms:created>
  <dc:creator>Rhine.</dc:creator>
  <lastModifiedBy>JEF-AN00</lastModifiedBy>
  <dcterms:modified xsi:type="dcterms:W3CDTF">2021-08-24T02:01:37Z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3aa486e5573d413c955663b73e1623b0</vt:lpwstr>
  </property>
</Properties>
</file>