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华泰内地卡入金指南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  <w:t>开户一定要在开户链接开户，门槛2.1w港币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  <w:t>内地银行在外汇使用方面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  <w:t>有监管要求，存在被银行退回风险，请谨慎购汇。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  <w:t>以下内容则是支持华泰的大陆卡入金流程，大家可以点击查看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FF0000"/>
          <w:sz w:val="28"/>
          <w:szCs w:val="28"/>
          <w:shd w:val="clear" w:fill="FFFF00"/>
        </w:rPr>
        <w:t>因为入金有很多细节需要注意到，建议一个手机操作入金，另一个手机打开流程对照操作</w:t>
      </w:r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hyperlink r:id="rId11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大陆卡招商入金华泰流程</w:t>
        </w:r>
      </w:hyperlink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大陆卡工商入金华泰流程</w:t>
        </w:r>
      </w:hyperlink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hyperlink r:id="rId13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大陆卡中行入金华泰流程</w:t>
        </w:r>
      </w:hyperlink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hyperlink r:id="rId14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内地建行入金华泰流程</w:t>
        </w:r>
      </w:hyperlink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hyperlink r:id="rId15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内地光大入金华泰流程</w:t>
        </w:r>
      </w:hyperlink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hyperlink r:id="rId16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内地民生入金华泰流程</w:t>
        </w:r>
      </w:hyperlink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hyperlink r:id="rId17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内地平安入金华泰流程</w:t>
        </w:r>
      </w:hyperlink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Mode="External" Target="https://docs.qq.com/doc/DS0FPWHd0QWFOd0Vu" Type="http://schemas.openxmlformats.org/officeDocument/2006/relationships/hyperlink" Id="rId11"/><Relationship TargetMode="External" Target="https://docs.qq.com/doc/DS3hpUUlIV2lKbmNW" Type="http://schemas.openxmlformats.org/officeDocument/2006/relationships/hyperlink" Id="rId12"/><Relationship TargetMode="External" Target="https://docs.qq.com/doc/DS2pyblplbWFQUmlZ" Type="http://schemas.openxmlformats.org/officeDocument/2006/relationships/hyperlink" Id="rId13"/><Relationship TargetMode="External" Target="https://docs.qq.com/doc/DS1lQdVlTYnluUk1q" Type="http://schemas.openxmlformats.org/officeDocument/2006/relationships/hyperlink" Id="rId14"/><Relationship TargetMode="External" Target="https://docs.qq.com/doc/DS0F5Y3NOR0tNZGpH" Type="http://schemas.openxmlformats.org/officeDocument/2006/relationships/hyperlink" Id="rId15"/><Relationship TargetMode="External" Target="https://docs.qq.com/doc/DS0N5QVV5S1R4Q3dn" Type="http://schemas.openxmlformats.org/officeDocument/2006/relationships/hyperlink" Id="rId16"/><Relationship TargetMode="External" Target="https://docs.qq.com/doc/DS2NRVUxQZ3lGaFVG" Type="http://schemas.openxmlformats.org/officeDocument/2006/relationships/hyperlink" Id="rId17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