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375C2" w:rsidRDefault="00EB6A3F">
      <w:r>
        <w:t>Early Warning Signals for Invasive Species Populations</w:t>
      </w:r>
    </w:p>
    <w:p w:rsidR="00EB6A3F" w:rsidRDefault="00EB6A3F">
      <w:r>
        <w:t xml:space="preserve">Traynor, H., </w:t>
      </w:r>
      <w:proofErr w:type="spellStart"/>
      <w:r>
        <w:t>Rohani</w:t>
      </w:r>
      <w:proofErr w:type="spellEnd"/>
      <w:r>
        <w:t>, P., Byers, J. E.</w:t>
      </w:r>
    </w:p>
    <w:p w:rsidR="00EB6A3F" w:rsidRDefault="00EB6A3F"/>
    <w:p w:rsidR="00EB6A3F" w:rsidRDefault="00EB6A3F" w:rsidP="00EB6A3F">
      <w:pPr>
        <w:pStyle w:val="Heading1"/>
      </w:pPr>
      <w:r>
        <w:t>Abstract</w:t>
      </w:r>
    </w:p>
    <w:p w:rsidR="00EB6A3F" w:rsidRDefault="00EB6A3F" w:rsidP="00EB6A3F">
      <w:pPr>
        <w:pStyle w:val="Heading1"/>
      </w:pPr>
      <w:r>
        <w:t>Introduction</w:t>
      </w:r>
    </w:p>
    <w:p w:rsidR="00EB6A3F" w:rsidRDefault="00EB6A3F" w:rsidP="00EB6A3F">
      <w:pPr>
        <w:pStyle w:val="Heading1"/>
      </w:pPr>
      <w:r>
        <w:t>Methods</w:t>
      </w:r>
    </w:p>
    <w:p w:rsidR="00735AAB" w:rsidRDefault="00EB6A3F" w:rsidP="00EB6A3F">
      <w:r>
        <w:tab/>
        <w:t xml:space="preserve">Early warning signals (EWSs) are statistical indicators of impending changes in the qualitative output of a system. These indicators appear upon the approach to a system’s bifurcation event. As the bifurcation event nears, </w:t>
      </w:r>
      <w:r w:rsidR="001F6A7B">
        <w:t>the system’s speed of response to perturbation decreases</w:t>
      </w:r>
      <w:r w:rsidR="00661298">
        <w:fldChar w:fldCharType="begin"/>
      </w:r>
      <w:r w:rsidR="00661298">
        <w:instrText xml:space="preserve"> ADDIN ZOTERO_ITEM CSL_CITATION {"citationID":"fEayXeO6","properties":{"formattedCitation":"[1]","plainCitation":"[1]","noteIndex":0},"citationItems":[{"id":2,"uris":["http://zotero.org/users/14120401/items/6U6NHAVU"],"itemData":{"id":2,"type":"article-journal","container-title":"The American Naturalist","DOI":"10.1086/516845","ISSN":"0003-0147, 1537-5323","issue":"6","journalAbbreviation":"The American Naturalist","language":"en","page":"738-747","source":"DOI.org (Crossref)","title":"Slow Recovery from Perturbations as a Generic Indicator of a Nearby Catastrophic Shift","volume":"169","author":[{"family":"Nes","given":"Egbert H.","non-dropping-particle":"van"},{"family":"Scheffer","given":"Marten"}],"issued":{"date-parts":[["2007",6]]}}}],"schema":"https://github.com/citation-style-language/schema/raw/master/csl-citation.json"} </w:instrText>
      </w:r>
      <w:r w:rsidR="00661298">
        <w:fldChar w:fldCharType="separate"/>
      </w:r>
      <w:r w:rsidR="00661298">
        <w:rPr>
          <w:noProof/>
        </w:rPr>
        <w:t>[1]</w:t>
      </w:r>
      <w:r w:rsidR="00661298">
        <w:fldChar w:fldCharType="end"/>
      </w:r>
      <w:r w:rsidR="001F6A7B">
        <w:t xml:space="preserve">. Subsequently, the statistical behavior of the system responds to this change. </w:t>
      </w:r>
      <w:r w:rsidR="00735AAB">
        <w:t>By comparing the statistical behavior of datasets in which an invasive species has a significant increase in population size and does not, we determine EWSs that are artifacts of the approach to a bifurcation event.</w:t>
      </w:r>
    </w:p>
    <w:p w:rsidR="00475623" w:rsidRDefault="00735AAB" w:rsidP="00475623">
      <w:pPr>
        <w:rPr>
          <w:rFonts w:eastAsiaTheme="minorEastAsia"/>
        </w:rPr>
      </w:pPr>
      <w:r>
        <w:tab/>
        <w:t>To generate invasive species population data for analysis, we used the classic</w:t>
      </w:r>
      <w:r w:rsidR="00661298">
        <w:t xml:space="preserve"> two-species</w:t>
      </w:r>
      <w:r>
        <w:t xml:space="preserve"> </w:t>
      </w:r>
      <w:proofErr w:type="spellStart"/>
      <w:r>
        <w:t>Lotka</w:t>
      </w:r>
      <w:proofErr w:type="spellEnd"/>
      <w:r>
        <w:t>-Volterra competition model</w:t>
      </w:r>
      <w:r w:rsidR="00661298">
        <w:fldChar w:fldCharType="begin"/>
      </w:r>
      <w:r w:rsidR="00661298">
        <w:instrText xml:space="preserve"> ADDIN ZOTERO_ITEM CSL_CITATION {"citationID":"mcqL22F8","properties":{"formattedCitation":"[2]","plainCitation":"[2]","noteIndex":0},"citationItems":[{"id":5,"uris":["http://zotero.org/users/14120401/items/D5AYLCD7"],"itemData":{"id":5,"type":"book","event-place":"Dover, New York","publisher-place":"Dover, New York","title":"Elements of physical biology","author":[{"family":"Lotka","given":"A. J."}],"issued":{"date-parts":[["1925"]],"season":"1956"}}}],"schema":"https://github.com/citation-style-language/schema/raw/master/csl-citation.json"} </w:instrText>
      </w:r>
      <w:r w:rsidR="00661298">
        <w:fldChar w:fldCharType="separate"/>
      </w:r>
      <w:r w:rsidR="00661298">
        <w:rPr>
          <w:noProof/>
        </w:rPr>
        <w:t>[2]</w:t>
      </w:r>
      <w:r w:rsidR="00661298">
        <w:fldChar w:fldCharType="end"/>
      </w:r>
      <w:r>
        <w:t xml:space="preserve"> with the addition of an immigration term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eastAsiaTheme="minorEastAsia"/>
        </w:rPr>
        <w:t xml:space="preserve">, </w:t>
      </w:r>
      <w:r w:rsidR="00661298">
        <w:rPr>
          <w:rFonts w:eastAsiaTheme="minorEastAsia"/>
        </w:rPr>
        <w:t>the</w:t>
      </w:r>
      <w:r>
        <w:rPr>
          <w:rFonts w:eastAsiaTheme="minorEastAsia"/>
        </w:rPr>
        <w:t xml:space="preserve"> rate of immigration events per unit time for species </w:t>
      </w:r>
      <m:oMath>
        <m:r>
          <w:rPr>
            <w:rFonts w:ascii="Cambria Math" w:eastAsiaTheme="minorEastAsia" w:hAnsi="Cambria Math"/>
          </w:rPr>
          <m:t>i</m:t>
        </m:r>
      </m:oMath>
      <w:r>
        <w:rPr>
          <w:rFonts w:eastAsiaTheme="minorEastAsia"/>
        </w:rPr>
        <w:t xml:space="preserve"> to our system.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i</m:t>
            </m:r>
          </m:sub>
        </m:sSub>
      </m:oMath>
      <w:r>
        <w:rPr>
          <w:rFonts w:eastAsiaTheme="minorEastAsia"/>
        </w:rPr>
        <w:t xml:space="preserve"> </w:t>
      </w:r>
      <w:r w:rsidR="00661298">
        <w:rPr>
          <w:rFonts w:eastAsiaTheme="minorEastAsia"/>
        </w:rPr>
        <w:t>represents colonizing invasive individuals that are input to the system via transplantation and serves as the perturbation that our system may have a changing response on approach to a bifurcation event.</w:t>
      </w:r>
    </w:p>
    <w:p w:rsidR="00475623" w:rsidRPr="00475623" w:rsidRDefault="00475623" w:rsidP="00475623">
      <w:pPr>
        <w:rPr>
          <w:rFonts w:eastAsiaTheme="minorEastAsia"/>
        </w:rPr>
      </w:pPr>
    </w:p>
    <w:p w:rsidR="00475623" w:rsidRPr="00475623" w:rsidRDefault="00000000" w:rsidP="00EB6A3F">
      <w:pPr>
        <w:rPr>
          <w:rFonts w:eastAsiaTheme="minorEastAsia"/>
        </w:rPr>
      </w:pPr>
      <m:oMathPara>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i</m:t>
                  </m:r>
                </m:sub>
                <m:sup>
                  <m:r>
                    <w:rPr>
                      <w:rFonts w:ascii="Cambria Math" w:eastAsiaTheme="minorEastAsia" w:hAnsi="Cambria Math"/>
                    </w:rPr>
                    <m:t>2</m:t>
                  </m:r>
                </m:sup>
              </m:sSubSup>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δ</m:t>
              </m:r>
            </m:e>
            <m:sub>
              <m:r>
                <w:rPr>
                  <w:rFonts w:ascii="Cambria Math" w:eastAsiaTheme="minorEastAsia" w:hAnsi="Cambria Math"/>
                </w:rPr>
                <m:t>i</m:t>
              </m:r>
            </m:sub>
          </m:sSub>
        </m:oMath>
      </m:oMathPara>
    </w:p>
    <w:p w:rsidR="00661298" w:rsidRPr="00475623" w:rsidRDefault="00661298" w:rsidP="00EB6A3F">
      <w:pPr>
        <w:rPr>
          <w:rFonts w:eastAsiaTheme="minorEastAsia"/>
        </w:rPr>
      </w:pPr>
      <m:oMathPara>
        <m:oMath>
          <m:r>
            <m:rPr>
              <m:sty m:val="p"/>
            </m:rPr>
            <w:rPr>
              <w:rFonts w:ascii="Cambria Math" w:eastAsiaTheme="minorEastAsia" w:hAnsi="Cambria Math"/>
            </w:rPr>
            <w:br/>
          </m:r>
        </m:oMath>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j</m:t>
                  </m:r>
                </m:sub>
                <m:sup>
                  <m:r>
                    <w:rPr>
                      <w:rFonts w:ascii="Cambria Math" w:eastAsiaTheme="minorEastAsia" w:hAnsi="Cambria Math"/>
                    </w:rPr>
                    <m:t>2</m:t>
                  </m:r>
                </m:sup>
              </m:sSubSup>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j,i</m:t>
              </m:r>
            </m:sub>
          </m:sSub>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j</m:t>
              </m:r>
            </m:sub>
          </m:sSub>
        </m:oMath>
      </m:oMathPara>
    </w:p>
    <w:p w:rsidR="00475623" w:rsidRDefault="00475623" w:rsidP="00EB6A3F">
      <w:pPr>
        <w:rPr>
          <w:rFonts w:eastAsiaTheme="minorEastAsia"/>
        </w:rPr>
      </w:pPr>
    </w:p>
    <w:tbl>
      <w:tblPr>
        <w:tblStyle w:val="TableGrid"/>
        <w:tblW w:w="0" w:type="auto"/>
        <w:tblLook w:val="04A0" w:firstRow="1" w:lastRow="0" w:firstColumn="1" w:lastColumn="0" w:noHBand="0" w:noVBand="1"/>
      </w:tblPr>
      <w:tblGrid>
        <w:gridCol w:w="1885"/>
        <w:gridCol w:w="3240"/>
        <w:gridCol w:w="4225"/>
      </w:tblGrid>
      <w:tr w:rsidR="00502C61" w:rsidTr="00502C61">
        <w:tc>
          <w:tcPr>
            <w:tcW w:w="1885" w:type="dxa"/>
          </w:tcPr>
          <w:p w:rsidR="00502C61" w:rsidRPr="00502C61" w:rsidRDefault="00502C61" w:rsidP="00502C61">
            <w:pPr>
              <w:jc w:val="center"/>
              <w:rPr>
                <w:rFonts w:eastAsiaTheme="minorEastAsia"/>
                <w:b/>
                <w:bCs/>
              </w:rPr>
            </w:pPr>
            <w:r w:rsidRPr="00502C61">
              <w:rPr>
                <w:rFonts w:eastAsiaTheme="minorEastAsia"/>
                <w:b/>
                <w:bCs/>
              </w:rPr>
              <w:t>Variable</w:t>
            </w:r>
          </w:p>
        </w:tc>
        <w:tc>
          <w:tcPr>
            <w:tcW w:w="3240" w:type="dxa"/>
          </w:tcPr>
          <w:p w:rsidR="00502C61" w:rsidRPr="00502C61" w:rsidRDefault="00502C61" w:rsidP="00502C61">
            <w:pPr>
              <w:jc w:val="center"/>
              <w:rPr>
                <w:rFonts w:eastAsiaTheme="minorEastAsia"/>
                <w:b/>
                <w:bCs/>
              </w:rPr>
            </w:pPr>
            <w:r w:rsidRPr="00502C61">
              <w:rPr>
                <w:rFonts w:eastAsiaTheme="minorEastAsia"/>
                <w:b/>
                <w:bCs/>
              </w:rPr>
              <w:t>Meaning</w:t>
            </w:r>
          </w:p>
        </w:tc>
        <w:tc>
          <w:tcPr>
            <w:tcW w:w="4225" w:type="dxa"/>
          </w:tcPr>
          <w:p w:rsidR="00502C61" w:rsidRPr="00502C61" w:rsidRDefault="00502C61" w:rsidP="00502C61">
            <w:pPr>
              <w:jc w:val="center"/>
              <w:rPr>
                <w:rFonts w:eastAsiaTheme="minorEastAsia"/>
                <w:b/>
                <w:bCs/>
              </w:rPr>
            </w:pPr>
            <w:r w:rsidRPr="00502C61">
              <w:rPr>
                <w:rFonts w:eastAsiaTheme="minorEastAsia"/>
                <w:b/>
                <w:bCs/>
              </w:rPr>
              <w:t>Unit</w:t>
            </w:r>
          </w:p>
        </w:tc>
      </w:tr>
      <w:tr w:rsidR="00502C61" w:rsidTr="00502C61">
        <w:tc>
          <w:tcPr>
            <w:tcW w:w="1885" w:type="dxa"/>
          </w:tcPr>
          <w:p w:rsidR="00502C61" w:rsidRDefault="00502C61" w:rsidP="00502C61">
            <w:pPr>
              <w:jc w:val="center"/>
              <w:rPr>
                <w:rFonts w:eastAsiaTheme="minorEastAsia"/>
              </w:rPr>
            </w:pPr>
            <m:oMathPara>
              <m:oMath>
                <m:r>
                  <w:rPr>
                    <w:rFonts w:ascii="Cambria Math" w:eastAsiaTheme="minorEastAsia" w:hAnsi="Cambria Math"/>
                  </w:rPr>
                  <m:t>N</m:t>
                </m:r>
              </m:oMath>
            </m:oMathPara>
          </w:p>
        </w:tc>
        <w:tc>
          <w:tcPr>
            <w:tcW w:w="3240" w:type="dxa"/>
          </w:tcPr>
          <w:p w:rsidR="00502C61" w:rsidRDefault="00502C61" w:rsidP="00502C61">
            <w:pPr>
              <w:jc w:val="center"/>
              <w:rPr>
                <w:rFonts w:eastAsiaTheme="minorEastAsia"/>
              </w:rPr>
            </w:pPr>
            <w:r>
              <w:rPr>
                <w:rFonts w:eastAsiaTheme="minorEastAsia"/>
              </w:rPr>
              <w:t>Abundance</w:t>
            </w:r>
          </w:p>
        </w:tc>
        <w:tc>
          <w:tcPr>
            <w:tcW w:w="4225" w:type="dxa"/>
          </w:tcPr>
          <w:p w:rsidR="00502C61" w:rsidRDefault="00502C61" w:rsidP="00502C61">
            <w:pPr>
              <w:jc w:val="center"/>
              <w:rPr>
                <w:rFonts w:eastAsiaTheme="minorEastAsia"/>
              </w:rPr>
            </w:pPr>
            <w:r>
              <w:rPr>
                <w:rFonts w:eastAsiaTheme="minorEastAsia"/>
              </w:rPr>
              <w:t>Individuals</w:t>
            </w:r>
          </w:p>
        </w:tc>
      </w:tr>
      <w:tr w:rsidR="00502C61" w:rsidTr="00502C61">
        <w:tc>
          <w:tcPr>
            <w:tcW w:w="1885" w:type="dxa"/>
          </w:tcPr>
          <w:p w:rsidR="00502C61" w:rsidRPr="00502C61" w:rsidRDefault="00502C61" w:rsidP="00502C61">
            <w:pPr>
              <w:jc w:val="center"/>
              <w:rPr>
                <w:rFonts w:eastAsiaTheme="minorEastAsia"/>
              </w:rPr>
            </w:pPr>
            <m:oMathPara>
              <m:oMath>
                <m:r>
                  <w:rPr>
                    <w:rFonts w:ascii="Cambria Math" w:eastAsiaTheme="minorEastAsia" w:hAnsi="Cambria Math"/>
                  </w:rPr>
                  <m:t>β</m:t>
                </m:r>
              </m:oMath>
            </m:oMathPara>
          </w:p>
        </w:tc>
        <w:tc>
          <w:tcPr>
            <w:tcW w:w="3240" w:type="dxa"/>
          </w:tcPr>
          <w:p w:rsidR="00502C61" w:rsidRDefault="00502C61" w:rsidP="00502C61">
            <w:pPr>
              <w:jc w:val="center"/>
              <w:rPr>
                <w:rFonts w:eastAsiaTheme="minorEastAsia"/>
              </w:rPr>
            </w:pPr>
            <w:r>
              <w:rPr>
                <w:rFonts w:eastAsiaTheme="minorEastAsia"/>
              </w:rPr>
              <w:t>Per capita birth rate</w:t>
            </w:r>
          </w:p>
        </w:tc>
        <w:tc>
          <w:tcPr>
            <w:tcW w:w="4225" w:type="dxa"/>
          </w:tcPr>
          <w:p w:rsidR="00502C61" w:rsidRDefault="00502C61" w:rsidP="00502C61">
            <w:pPr>
              <w:jc w:val="center"/>
              <w:rPr>
                <w:rFonts w:eastAsiaTheme="minorEastAsia"/>
              </w:rPr>
            </w:pPr>
            <w:r>
              <w:rPr>
                <w:rFonts w:eastAsiaTheme="minorEastAsia"/>
              </w:rPr>
              <w:t>Individuals per unit time per individual</w:t>
            </w:r>
          </w:p>
        </w:tc>
      </w:tr>
      <w:tr w:rsidR="00502C61" w:rsidTr="00502C61">
        <w:tc>
          <w:tcPr>
            <w:tcW w:w="1885" w:type="dxa"/>
          </w:tcPr>
          <w:p w:rsidR="00502C61" w:rsidRDefault="00502C61" w:rsidP="00502C61">
            <w:pPr>
              <w:jc w:val="center"/>
              <w:rPr>
                <w:rFonts w:eastAsiaTheme="minorEastAsia"/>
              </w:rPr>
            </w:pPr>
            <m:oMathPara>
              <m:oMath>
                <m:r>
                  <w:rPr>
                    <w:rFonts w:ascii="Cambria Math" w:eastAsiaTheme="minorEastAsia" w:hAnsi="Cambria Math"/>
                  </w:rPr>
                  <m:t>K</m:t>
                </m:r>
              </m:oMath>
            </m:oMathPara>
          </w:p>
        </w:tc>
        <w:tc>
          <w:tcPr>
            <w:tcW w:w="3240" w:type="dxa"/>
          </w:tcPr>
          <w:p w:rsidR="00502C61" w:rsidRDefault="00502C61" w:rsidP="00502C61">
            <w:pPr>
              <w:jc w:val="center"/>
              <w:rPr>
                <w:rFonts w:eastAsiaTheme="minorEastAsia"/>
              </w:rPr>
            </w:pPr>
            <w:r>
              <w:rPr>
                <w:rFonts w:eastAsiaTheme="minorEastAsia"/>
              </w:rPr>
              <w:t>Carrying capacity</w:t>
            </w:r>
          </w:p>
        </w:tc>
        <w:tc>
          <w:tcPr>
            <w:tcW w:w="4225" w:type="dxa"/>
          </w:tcPr>
          <w:p w:rsidR="00502C61" w:rsidRDefault="00502C61" w:rsidP="00502C61">
            <w:pPr>
              <w:jc w:val="center"/>
              <w:rPr>
                <w:rFonts w:eastAsiaTheme="minorEastAsia"/>
              </w:rPr>
            </w:pPr>
            <w:r>
              <w:rPr>
                <w:rFonts w:eastAsiaTheme="minorEastAsia"/>
              </w:rPr>
              <w:t>Individuals</w:t>
            </w:r>
          </w:p>
        </w:tc>
      </w:tr>
      <w:tr w:rsidR="00502C61" w:rsidTr="00502C61">
        <w:tc>
          <w:tcPr>
            <w:tcW w:w="1885" w:type="dxa"/>
          </w:tcPr>
          <w:p w:rsidR="00502C61" w:rsidRDefault="00502C61" w:rsidP="00502C61">
            <w:pPr>
              <w:jc w:val="center"/>
              <w:rPr>
                <w:rFonts w:eastAsiaTheme="minorEastAsia"/>
              </w:rPr>
            </w:pPr>
            <m:oMathPara>
              <m:oMath>
                <m:r>
                  <w:rPr>
                    <w:rFonts w:ascii="Cambria Math" w:eastAsiaTheme="minorEastAsia" w:hAnsi="Cambria Math"/>
                  </w:rPr>
                  <m:t>α</m:t>
                </m:r>
              </m:oMath>
            </m:oMathPara>
          </w:p>
        </w:tc>
        <w:tc>
          <w:tcPr>
            <w:tcW w:w="3240" w:type="dxa"/>
          </w:tcPr>
          <w:p w:rsidR="00502C61" w:rsidRDefault="00502C61" w:rsidP="00502C61">
            <w:pPr>
              <w:jc w:val="center"/>
              <w:rPr>
                <w:rFonts w:eastAsiaTheme="minorEastAsia"/>
              </w:rPr>
            </w:pPr>
            <w:r>
              <w:rPr>
                <w:rFonts w:eastAsiaTheme="minorEastAsia"/>
              </w:rPr>
              <w:t>Interspecific competition ratio</w:t>
            </w:r>
          </w:p>
        </w:tc>
        <w:tc>
          <w:tcPr>
            <w:tcW w:w="4225" w:type="dxa"/>
          </w:tcPr>
          <w:p w:rsidR="00502C61" w:rsidRDefault="00502C61" w:rsidP="00502C61">
            <w:pPr>
              <w:jc w:val="center"/>
              <w:rPr>
                <w:rFonts w:eastAsiaTheme="minorEastAsia"/>
              </w:rPr>
            </w:pPr>
            <w:r>
              <w:rPr>
                <w:rFonts w:eastAsiaTheme="minorEastAsia"/>
              </w:rPr>
              <w:t>None</w:t>
            </w:r>
          </w:p>
        </w:tc>
      </w:tr>
      <w:tr w:rsidR="00502C61" w:rsidTr="00502C61">
        <w:tc>
          <w:tcPr>
            <w:tcW w:w="1885" w:type="dxa"/>
          </w:tcPr>
          <w:p w:rsidR="00502C61" w:rsidRDefault="00502C61" w:rsidP="00502C61">
            <w:pPr>
              <w:jc w:val="center"/>
              <w:rPr>
                <w:rFonts w:eastAsiaTheme="minorEastAsia"/>
              </w:rPr>
            </w:pPr>
            <m:oMathPara>
              <m:oMath>
                <m:r>
                  <w:rPr>
                    <w:rFonts w:ascii="Cambria Math" w:eastAsiaTheme="minorEastAsia" w:hAnsi="Cambria Math"/>
                  </w:rPr>
                  <m:t>δ</m:t>
                </m:r>
              </m:oMath>
            </m:oMathPara>
          </w:p>
        </w:tc>
        <w:tc>
          <w:tcPr>
            <w:tcW w:w="3240" w:type="dxa"/>
          </w:tcPr>
          <w:p w:rsidR="00502C61" w:rsidRDefault="00502C61" w:rsidP="00502C61">
            <w:pPr>
              <w:jc w:val="center"/>
              <w:rPr>
                <w:rFonts w:eastAsiaTheme="minorEastAsia"/>
              </w:rPr>
            </w:pPr>
            <w:r>
              <w:rPr>
                <w:rFonts w:eastAsiaTheme="minorEastAsia"/>
              </w:rPr>
              <w:t>Immigration rate</w:t>
            </w:r>
          </w:p>
        </w:tc>
        <w:tc>
          <w:tcPr>
            <w:tcW w:w="4225" w:type="dxa"/>
          </w:tcPr>
          <w:p w:rsidR="00502C61" w:rsidRDefault="00502C61" w:rsidP="00502C61">
            <w:pPr>
              <w:jc w:val="center"/>
              <w:rPr>
                <w:rFonts w:eastAsiaTheme="minorEastAsia"/>
              </w:rPr>
            </w:pPr>
            <w:r>
              <w:rPr>
                <w:rFonts w:eastAsiaTheme="minorEastAsia"/>
              </w:rPr>
              <w:t>Individuals per unit time</w:t>
            </w:r>
          </w:p>
        </w:tc>
      </w:tr>
    </w:tbl>
    <w:p w:rsidR="00475623" w:rsidRPr="00661298" w:rsidRDefault="00475623" w:rsidP="00EB6A3F">
      <w:pPr>
        <w:rPr>
          <w:rFonts w:eastAsiaTheme="minorEastAsia"/>
        </w:rPr>
      </w:pPr>
    </w:p>
    <w:p w:rsidR="00502C61" w:rsidRDefault="00475623" w:rsidP="00502C61">
      <w:pPr>
        <w:rPr>
          <w:rFonts w:eastAsiaTheme="minorEastAsia"/>
        </w:rPr>
      </w:pPr>
      <w:r>
        <w:rPr>
          <w:rFonts w:eastAsiaTheme="minorEastAsia"/>
        </w:rPr>
        <w:tab/>
        <w:t xml:space="preserve">The equations above describe our two species system where species </w:t>
      </w:r>
      <m:oMath>
        <m:r>
          <w:rPr>
            <w:rFonts w:ascii="Cambria Math" w:eastAsiaTheme="minorEastAsia" w:hAnsi="Cambria Math"/>
          </w:rPr>
          <m:t>i</m:t>
        </m:r>
      </m:oMath>
      <w:r>
        <w:rPr>
          <w:rFonts w:eastAsiaTheme="minorEastAsia"/>
        </w:rPr>
        <w:t xml:space="preserve"> is endemic and species </w:t>
      </w:r>
      <m:oMath>
        <m:r>
          <w:rPr>
            <w:rFonts w:ascii="Cambria Math" w:eastAsiaTheme="minorEastAsia" w:hAnsi="Cambria Math"/>
          </w:rPr>
          <m:t>j</m:t>
        </m:r>
      </m:oMath>
      <w:r>
        <w:rPr>
          <w:rFonts w:eastAsiaTheme="minorEastAsia"/>
        </w:rPr>
        <w:t xml:space="preserve"> is invasive. The </w:t>
      </w:r>
      <w:proofErr w:type="spellStart"/>
      <w:r>
        <w:rPr>
          <w:rFonts w:eastAsiaTheme="minorEastAsia"/>
        </w:rPr>
        <w:t>Lotka</w:t>
      </w:r>
      <w:proofErr w:type="spellEnd"/>
      <w:r>
        <w:rPr>
          <w:rFonts w:eastAsiaTheme="minorEastAsia"/>
        </w:rPr>
        <w:t>-Volterra competition model was chosen for its depth of previous study</w:t>
      </w:r>
      <w:r w:rsidR="00E677ED">
        <w:rPr>
          <w:rFonts w:eastAsiaTheme="minorEastAsia"/>
        </w:rPr>
        <w:fldChar w:fldCharType="begin"/>
      </w:r>
      <w:r w:rsidR="00E677ED">
        <w:rPr>
          <w:rFonts w:eastAsiaTheme="minorEastAsia"/>
        </w:rPr>
        <w:instrText xml:space="preserve"> ADDIN ZOTERO_ITEM CSL_CITATION {"citationID":"n4NxaKFn","properties":{"formattedCitation":"[3]","plainCitation":"[3]","noteIndex":0},"citationItems":[{"id":4,"uris":["http://zotero.org/users/14120401/items/9H6KY39G"],"itemData":{"id":4,"type":"article-journal","abstract":"ABSTRACT\n            Although the phenomena of variation and heredity have in recent years become amenable to quantitative treatment, our knowledge of the struggle for existence has been increased to an almost negligible extent during the past fifty years. In the present paper an account is given of a series of experiments which constitute an attempt to apply experimental methods to the study of the struggle for existence. The work has been carried out with two species of yeast, and observations have been made on the effect of the presence of one species on the rate of reproduction of another. This situation has recently been considered from a mathematical point of view by Lotka (1925) and by Volterra (1931).","container-title":"Journal of Experimental Biology","DOI":"10.1242/jeb.9.4.389","ISSN":"0022-0949, 1477-9145","issue":"4","language":"en","license":"http://www.biologists.com/user-licence-1-1/","page":"389-402","source":"DOI.org (Crossref)","title":"Experimental Studies on the Struggle for Existence","volume":"9","author":[{"family":"Gause","given":"G. F."}],"issued":{"date-parts":[["1932",10,1]]}}}],"schema":"https://github.com/citation-style-language/schema/raw/master/csl-citation.json"} </w:instrText>
      </w:r>
      <w:r w:rsidR="00E677ED">
        <w:rPr>
          <w:rFonts w:eastAsiaTheme="minorEastAsia"/>
        </w:rPr>
        <w:fldChar w:fldCharType="separate"/>
      </w:r>
      <w:r w:rsidR="00E677ED">
        <w:rPr>
          <w:rFonts w:eastAsiaTheme="minorEastAsia"/>
          <w:noProof/>
        </w:rPr>
        <w:t>[3]</w:t>
      </w:r>
      <w:r w:rsidR="00E677ED">
        <w:rPr>
          <w:rFonts w:eastAsiaTheme="minorEastAsia"/>
        </w:rPr>
        <w:fldChar w:fldCharType="end"/>
      </w:r>
      <w:r>
        <w:rPr>
          <w:rFonts w:eastAsiaTheme="minorEastAsia"/>
        </w:rPr>
        <w:t xml:space="preserve"> and control parameters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j,i</m:t>
            </m:r>
          </m:sub>
        </m:sSub>
      </m:oMath>
      <w:r>
        <w:rPr>
          <w:rFonts w:eastAsiaTheme="minorEastAsia"/>
        </w:rPr>
        <w:t>.</w:t>
      </w:r>
      <w:r w:rsidR="00502C61">
        <w:rPr>
          <w:rFonts w:eastAsiaTheme="minorEastAsia"/>
        </w:rPr>
        <w:t xml:space="preserve"> For reduction of covariates in the analysis of system behavior, all values other than each species interspecific competition factor</w:t>
      </w:r>
      <w:r w:rsidR="00E677ED">
        <w:rPr>
          <w:rFonts w:eastAsiaTheme="minorEastAsia"/>
        </w:rPr>
        <w:t xml:space="preserve"> and immigration rates</w:t>
      </w:r>
      <w:r w:rsidR="00502C61">
        <w:rPr>
          <w:rFonts w:eastAsiaTheme="minorEastAsia"/>
        </w:rPr>
        <w:t xml:space="preserve"> are taken to be equal.</w:t>
      </w:r>
      <w:r w:rsidR="00E677ED">
        <w:rPr>
          <w:rFonts w:eastAsiaTheme="minorEastAsia"/>
        </w:rPr>
        <w:t xml:space="preserve"> The endemic species immigration rate is equal to zero, and the invasive species immigration rate is greater than zero.</w:t>
      </w:r>
    </w:p>
    <w:p w:rsidR="00475623" w:rsidRDefault="00502C61" w:rsidP="00502C61">
      <w:pPr>
        <w:ind w:firstLine="720"/>
        <w:rPr>
          <w:rFonts w:eastAsiaTheme="minorEastAsia"/>
        </w:rPr>
      </w:pPr>
      <w:r>
        <w:rPr>
          <w:rFonts w:eastAsiaTheme="minorEastAsia"/>
        </w:rPr>
        <w:lastRenderedPageBreak/>
        <w:t>To introduce stochasticity</w:t>
      </w:r>
      <w:r w:rsidR="00475623">
        <w:rPr>
          <w:rFonts w:eastAsiaTheme="minorEastAsia"/>
        </w:rPr>
        <w:t xml:space="preserve">, each term of both equation is assumed to behave according to a Poisson probability distribution with </w:t>
      </w:r>
      <m:oMath>
        <m:r>
          <w:rPr>
            <w:rFonts w:ascii="Cambria Math" w:eastAsiaTheme="minorEastAsia" w:hAnsi="Cambria Math"/>
          </w:rPr>
          <m:t>λ</m:t>
        </m:r>
      </m:oMath>
      <w:r w:rsidR="00475623">
        <w:rPr>
          <w:rFonts w:eastAsiaTheme="minorEastAsia"/>
        </w:rPr>
        <w:t xml:space="preserve"> equal to the deterministic value of a given term.</w:t>
      </w:r>
      <w:r w:rsidR="00DE6F5D">
        <w:rPr>
          <w:rFonts w:eastAsiaTheme="minorEastAsia"/>
        </w:rPr>
        <w:t xml:space="preserve"> The system is then simulated via a </w:t>
      </w:r>
      <m:oMath>
        <m:r>
          <w:rPr>
            <w:rFonts w:ascii="Cambria Math" w:eastAsiaTheme="minorEastAsia" w:hAnsi="Cambria Math"/>
          </w:rPr>
          <m:t>τ</m:t>
        </m:r>
      </m:oMath>
      <w:r w:rsidR="00DE6F5D">
        <w:rPr>
          <w:rFonts w:eastAsiaTheme="minorEastAsia"/>
        </w:rPr>
        <w:t>-leap algorithm</w:t>
      </w:r>
      <w:r w:rsidR="00DE6F5D">
        <w:rPr>
          <w:rFonts w:eastAsiaTheme="minorEastAsia"/>
        </w:rPr>
        <w:fldChar w:fldCharType="begin"/>
      </w:r>
      <w:r w:rsidR="00DE6F5D">
        <w:rPr>
          <w:rFonts w:eastAsiaTheme="minorEastAsia"/>
        </w:rPr>
        <w:instrText xml:space="preserve"> ADDIN ZOTERO_ITEM CSL_CITATION {"citationID":"wOAjz4AZ","properties":{"formattedCitation":"[4]","plainCitation":"[4]","noteIndex":0},"citationItems":[{"id":6,"uris":["http://zotero.org/users/14120401/items/CQ7VEZJE"],"itemData":{"id":6,"type":"article-journal","container-title":"Journal of Computational Physics","DOI":"10.1016/0021-9991(76)90041-3","ISSN":"00219991","issue":"4","journalAbbreviation":"Journal of Computational Physics","language":"en","license":"https://www.elsevier.com/tdm/userlicense/1.0/","page":"403-434","source":"DOI.org (Crossref)","title":"A general method for numerically simulating the stochastic time evolution of coupled chemical reactions","volume":"22","author":[{"family":"Gillespie","given":"Daniel T"}],"issued":{"date-parts":[["1976",12]]}}}],"schema":"https://github.com/citation-style-language/schema/raw/master/csl-citation.json"} </w:instrText>
      </w:r>
      <w:r w:rsidR="00DE6F5D">
        <w:rPr>
          <w:rFonts w:eastAsiaTheme="minorEastAsia"/>
        </w:rPr>
        <w:fldChar w:fldCharType="separate"/>
      </w:r>
      <w:r w:rsidR="00DE6F5D">
        <w:rPr>
          <w:rFonts w:eastAsiaTheme="minorEastAsia"/>
          <w:noProof/>
        </w:rPr>
        <w:t>[4]</w:t>
      </w:r>
      <w:r w:rsidR="00DE6F5D">
        <w:rPr>
          <w:rFonts w:eastAsiaTheme="minorEastAsia"/>
        </w:rPr>
        <w:fldChar w:fldCharType="end"/>
      </w:r>
      <w:r w:rsidR="00DE6F5D">
        <w:rPr>
          <w:rFonts w:eastAsiaTheme="minorEastAsia"/>
        </w:rPr>
        <w:t>.</w:t>
      </w:r>
    </w:p>
    <w:p w:rsidR="002D25C9" w:rsidRDefault="002D25C9" w:rsidP="00502C61">
      <w:pPr>
        <w:ind w:firstLine="720"/>
        <w:rPr>
          <w:rFonts w:eastAsiaTheme="minorEastAsia"/>
        </w:rPr>
      </w:pPr>
    </w:p>
    <w:p w:rsidR="002D25C9" w:rsidRDefault="002D25C9" w:rsidP="002D25C9">
      <w:pPr>
        <w:keepNext/>
      </w:pPr>
      <w:r>
        <w:rPr>
          <w:rFonts w:eastAsiaTheme="minorEastAsia"/>
          <w:noProof/>
        </w:rPr>
        <w:drawing>
          <wp:inline distT="0" distB="0" distL="0" distR="0">
            <wp:extent cx="5943600" cy="3400425"/>
            <wp:effectExtent l="0" t="0" r="0" b="0"/>
            <wp:docPr id="132588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83739" name="Picture 1325883739"/>
                    <pic:cNvPicPr/>
                  </pic:nvPicPr>
                  <pic:blipFill>
                    <a:blip r:embed="rId5">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rsidR="002D25C9" w:rsidRDefault="002D25C9" w:rsidP="002D25C9">
      <w:pPr>
        <w:pStyle w:val="Caption"/>
        <w:rPr>
          <w:rFonts w:eastAsiaTheme="minorEastAsia"/>
        </w:rPr>
      </w:pPr>
      <w:r>
        <w:t xml:space="preserve">Figure </w:t>
      </w:r>
      <w:fldSimple w:instr=" SEQ Figure \* ARABIC ">
        <w:r>
          <w:rPr>
            <w:noProof/>
          </w:rPr>
          <w:t>1</w:t>
        </w:r>
      </w:fldSimple>
      <w:r>
        <w:t xml:space="preserve">. </w:t>
      </w:r>
      <w:r>
        <w:rPr>
          <w:i w:val="0"/>
          <w:iCs w:val="0"/>
        </w:rPr>
        <w:t>Three qualitative outcomes of the model for interspecific competition factor ratios less than, equal to, and greater than one, respectively.</w:t>
      </w:r>
    </w:p>
    <w:p w:rsidR="002D25C9" w:rsidRDefault="002D25C9" w:rsidP="00502C61">
      <w:pPr>
        <w:ind w:firstLine="720"/>
        <w:rPr>
          <w:rFonts w:eastAsiaTheme="minorEastAsia"/>
        </w:rPr>
      </w:pPr>
    </w:p>
    <w:p w:rsidR="00E677ED" w:rsidRDefault="00E677ED" w:rsidP="00502C61">
      <w:pPr>
        <w:ind w:firstLine="720"/>
        <w:rPr>
          <w:rFonts w:eastAsiaTheme="minorEastAsia"/>
        </w:rPr>
      </w:pPr>
      <w:r>
        <w:rPr>
          <w:rFonts w:eastAsiaTheme="minorEastAsia"/>
        </w:rPr>
        <w:t>Now, with a model that describes invasive species population dynamics when competing with an endemic species, we must introduce a bifurcation event to the system so that its statistical behavior may change in approach. This realization type of the model is then compared to type without an approach to a bifurcation event and no persistence of immigrant invasive individuals.</w:t>
      </w:r>
    </w:p>
    <w:p w:rsidR="00DE6F5D" w:rsidRDefault="00E677ED" w:rsidP="00E677ED">
      <w:pPr>
        <w:ind w:firstLine="720"/>
        <w:rPr>
          <w:rFonts w:eastAsiaTheme="minorEastAsia"/>
        </w:rPr>
      </w:pPr>
      <w:r>
        <w:rPr>
          <w:rFonts w:eastAsiaTheme="minorEastAsia"/>
        </w:rPr>
        <w:t xml:space="preserve">To create a bifurcation event, while keeping all other parameters (other than immigration) between the species equal, we increase the ratio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num>
          <m:den>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j,i</m:t>
                </m:r>
              </m:sub>
            </m:sSub>
          </m:den>
        </m:f>
      </m:oMath>
      <w:r>
        <w:rPr>
          <w:rFonts w:eastAsiaTheme="minorEastAsia"/>
        </w:rPr>
        <w:t xml:space="preserve"> linearly. Thus, our bifurcation event occurs when the ratio of interspecific competition factors is equal to 1, as this is the moment the qualitative output of the model changes and the invasive species is guaranteed to competitively exclude the endemic species in the deterministic version of the model. </w:t>
      </w:r>
      <w:r w:rsidR="00DE6F5D">
        <w:rPr>
          <w:rFonts w:eastAsiaTheme="minorEastAsia"/>
        </w:rPr>
        <w:t xml:space="preserve">We define the time to bifurcation, </w:t>
      </w:r>
      <m:oMath>
        <m:r>
          <w:rPr>
            <w:rFonts w:ascii="Cambria Math" w:eastAsiaTheme="minorEastAsia" w:hAnsi="Cambria Math"/>
          </w:rPr>
          <m:t>TTB</m:t>
        </m:r>
      </m:oMath>
      <w:r w:rsidR="00DE6F5D">
        <w:rPr>
          <w:rFonts w:eastAsiaTheme="minorEastAsia"/>
        </w:rPr>
        <w:t xml:space="preserve">, as the time at which the model </w:t>
      </w:r>
      <w:r w:rsidR="00CF4FEF">
        <w:rPr>
          <w:rFonts w:eastAsiaTheme="minorEastAsia"/>
        </w:rPr>
        <w:t>undergoes</w:t>
      </w:r>
      <w:r w:rsidR="00DE6F5D">
        <w:rPr>
          <w:rFonts w:eastAsiaTheme="minorEastAsia"/>
        </w:rPr>
        <w:t xml:space="preserve"> a bifurcation event. The ratio of interspecific competition factors behaves according to the linear function below.</w:t>
      </w:r>
    </w:p>
    <w:p w:rsidR="00DE6F5D" w:rsidRDefault="00DE6F5D" w:rsidP="00E677ED">
      <w:pPr>
        <w:ind w:firstLine="720"/>
        <w:rPr>
          <w:rFonts w:eastAsiaTheme="minorEastAsia"/>
        </w:rPr>
      </w:pPr>
    </w:p>
    <w:p w:rsidR="00DE6F5D" w:rsidRDefault="00000000" w:rsidP="00E677ED">
      <w:pPr>
        <w:ind w:firstLine="720"/>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num>
            <m:den>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j,i</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TTB</m:t>
              </m:r>
            </m:den>
          </m:f>
        </m:oMath>
      </m:oMathPara>
    </w:p>
    <w:p w:rsidR="00DE6F5D" w:rsidRDefault="00DE6F5D" w:rsidP="00E677ED">
      <w:pPr>
        <w:ind w:firstLine="720"/>
        <w:rPr>
          <w:rFonts w:eastAsiaTheme="minorEastAsia"/>
        </w:rPr>
      </w:pPr>
    </w:p>
    <w:p w:rsidR="00CF4FEF" w:rsidRDefault="00DE6F5D" w:rsidP="00CF4FEF">
      <w:pPr>
        <w:ind w:firstLine="720"/>
        <w:rPr>
          <w:rFonts w:eastAsiaTheme="minorEastAsia"/>
        </w:rPr>
      </w:pPr>
      <w:r>
        <w:rPr>
          <w:rFonts w:eastAsiaTheme="minorEastAsia"/>
        </w:rPr>
        <w:t xml:space="preserve">Now, two types of model realizations can be computed: one with the bifurcation event described and eventual competitive exclusion of the endemic species by the invasive species </w:t>
      </w:r>
      <w:r>
        <w:rPr>
          <w:rFonts w:eastAsiaTheme="minorEastAsia"/>
        </w:rPr>
        <w:lastRenderedPageBreak/>
        <w:t xml:space="preserve">and one with a constant, low ratio of interspecific competition factors </w:t>
      </w:r>
      <w:r w:rsidR="00CF4FEF">
        <w:rPr>
          <w:rFonts w:eastAsiaTheme="minorEastAsia"/>
        </w:rPr>
        <w:t>such that immigrating individuals never establish a persistent population of invaders.</w:t>
      </w:r>
    </w:p>
    <w:p w:rsidR="00CF4FEF" w:rsidRDefault="00CF4FEF" w:rsidP="00CF4FEF">
      <w:pPr>
        <w:ind w:firstLine="720"/>
        <w:jc w:val="center"/>
        <w:rPr>
          <w:rFonts w:eastAsiaTheme="minorEastAsia"/>
        </w:rPr>
      </w:pPr>
    </w:p>
    <w:p w:rsidR="00CF4FEF" w:rsidRDefault="00CF4FEF" w:rsidP="00CF4FEF">
      <w:pPr>
        <w:keepNext/>
        <w:ind w:firstLine="720"/>
        <w:jc w:val="center"/>
      </w:pPr>
      <w:r>
        <w:rPr>
          <w:rFonts w:eastAsiaTheme="minorEastAsia"/>
          <w:noProof/>
        </w:rPr>
        <w:drawing>
          <wp:inline distT="0" distB="0" distL="0" distR="0">
            <wp:extent cx="5041900" cy="3116174"/>
            <wp:effectExtent l="0" t="0" r="0" b="0"/>
            <wp:docPr id="734280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80487" name="Picture 734280487"/>
                    <pic:cNvPicPr/>
                  </pic:nvPicPr>
                  <pic:blipFill>
                    <a:blip r:embed="rId6">
                      <a:extLst>
                        <a:ext uri="{28A0092B-C50C-407E-A947-70E740481C1C}">
                          <a14:useLocalDpi xmlns:a14="http://schemas.microsoft.com/office/drawing/2010/main" val="0"/>
                        </a:ext>
                      </a:extLst>
                    </a:blip>
                    <a:stretch>
                      <a:fillRect/>
                    </a:stretch>
                  </pic:blipFill>
                  <pic:spPr>
                    <a:xfrm>
                      <a:off x="0" y="0"/>
                      <a:ext cx="5049842" cy="3121082"/>
                    </a:xfrm>
                    <a:prstGeom prst="rect">
                      <a:avLst/>
                    </a:prstGeom>
                  </pic:spPr>
                </pic:pic>
              </a:graphicData>
            </a:graphic>
          </wp:inline>
        </w:drawing>
      </w:r>
    </w:p>
    <w:p w:rsidR="00735AAB" w:rsidRDefault="00CF4FEF" w:rsidP="00CF4FEF">
      <w:pPr>
        <w:pStyle w:val="Caption"/>
        <w:jc w:val="center"/>
        <w:rPr>
          <w:i w:val="0"/>
          <w:iCs w:val="0"/>
        </w:rPr>
      </w:pPr>
      <w:r>
        <w:t xml:space="preserve">Figure </w:t>
      </w:r>
      <w:fldSimple w:instr=" SEQ Figure \* ARABIC ">
        <w:r w:rsidR="002D25C9">
          <w:rPr>
            <w:noProof/>
          </w:rPr>
          <w:t>2</w:t>
        </w:r>
      </w:fldSimple>
      <w:r>
        <w:t xml:space="preserve">. </w:t>
      </w:r>
      <w:r>
        <w:rPr>
          <w:i w:val="0"/>
          <w:iCs w:val="0"/>
        </w:rPr>
        <w:t>50 realizations of the model with constant and increasing ratios of interspecific competition factors.</w:t>
      </w:r>
    </w:p>
    <w:p w:rsidR="00121BDA" w:rsidRDefault="00CF4FEF" w:rsidP="00121BDA">
      <w:pPr>
        <w:ind w:firstLine="720"/>
      </w:pPr>
      <w:r>
        <w:t>In determining</w:t>
      </w:r>
      <w:r w:rsidR="00121BDA">
        <w:t xml:space="preserve"> candidate</w:t>
      </w:r>
      <w:r>
        <w:t xml:space="preserve"> EWSs from these realizations above, we select a subset of time-series data </w:t>
      </w:r>
      <m:oMath>
        <m:r>
          <w:rPr>
            <w:rFonts w:ascii="Cambria Math" w:hAnsi="Cambria Math"/>
          </w:rPr>
          <m:t xml:space="preserve">D </m:t>
        </m:r>
      </m:oMath>
      <w:r>
        <w:t xml:space="preserve">before our bifurcation event </w:t>
      </w:r>
      <w:r w:rsidR="00121BDA">
        <w:t xml:space="preserve">in both realization types </w:t>
      </w:r>
      <w:r>
        <w:t>and compute a given statistic</w:t>
      </w:r>
      <w:r w:rsidR="00121BDA">
        <w:t xml:space="preserve"> </w:t>
      </w:r>
      <m:oMath>
        <m:r>
          <w:rPr>
            <w:rFonts w:ascii="Cambria Math" w:hAnsi="Cambria Math"/>
          </w:rPr>
          <m:t>s</m:t>
        </m:r>
      </m:oMath>
      <w:r>
        <w:t>.</w:t>
      </w:r>
      <w:r w:rsidR="00121BDA">
        <w:t xml:space="preserve"> These statistics are compared with a set of thresholds </w:t>
      </w:r>
    </w:p>
    <w:p w:rsidR="00B33736" w:rsidRDefault="00B33736" w:rsidP="00121BDA">
      <w:pPr>
        <w:ind w:firstLine="720"/>
      </w:pPr>
    </w:p>
    <w:p w:rsidR="00121BDA" w:rsidRPr="00B33736" w:rsidRDefault="00121BDA" w:rsidP="00121BDA">
      <w:pPr>
        <w:ind w:firstLine="720"/>
        <w:rPr>
          <w:rFonts w:eastAsiaTheme="minorEastAsia"/>
        </w:rPr>
      </w:pPr>
      <m:oMathPara>
        <m:oMath>
          <m:r>
            <w:rPr>
              <w:rFonts w:ascii="Cambria Math" w:hAnsi="Cambria Math"/>
            </w:rPr>
            <m:t>C=</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&lt;</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D</m:t>
                      </m:r>
                    </m:e>
                  </m:d>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D</m:t>
                      </m:r>
                    </m:e>
                  </m:d>
                </m:e>
              </m:d>
            </m:e>
          </m:func>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 xml:space="preserve"> }</m:t>
          </m:r>
        </m:oMath>
      </m:oMathPara>
    </w:p>
    <w:p w:rsidR="00B33736" w:rsidRPr="00BF4F40" w:rsidRDefault="00B33736" w:rsidP="00121BDA">
      <w:pPr>
        <w:ind w:firstLine="720"/>
        <w:rPr>
          <w:rFonts w:eastAsiaTheme="minorEastAsia"/>
        </w:rPr>
      </w:pPr>
    </w:p>
    <w:p w:rsidR="00BF4F40" w:rsidRDefault="00B33736" w:rsidP="00BF4F40">
      <w:pPr>
        <w:rPr>
          <w:rFonts w:eastAsiaTheme="minorEastAsia"/>
        </w:rPr>
      </w:pPr>
      <w:r>
        <w:rPr>
          <w:rFonts w:eastAsiaTheme="minorEastAsia"/>
        </w:rPr>
        <w:t xml:space="preserve">Given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or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we predict the type of model realization and compare with the true model realization. True and false positive rates then follow for each element of </w:t>
      </w:r>
      <m:oMath>
        <m:r>
          <w:rPr>
            <w:rFonts w:ascii="Cambria Math" w:eastAsiaTheme="minorEastAsia" w:hAnsi="Cambria Math"/>
          </w:rPr>
          <m:t>C</m:t>
        </m:r>
      </m:oMath>
      <w:r>
        <w:rPr>
          <w:rFonts w:eastAsiaTheme="minorEastAsia"/>
        </w:rPr>
        <w:t xml:space="preserve"> and we plot a receiver-operating characteristic (ROC) curve that visualizes the effectiveness of a statistic as an EWS.</w:t>
      </w:r>
    </w:p>
    <w:p w:rsidR="00B33736" w:rsidRDefault="00B33736" w:rsidP="00B33736">
      <w:pPr>
        <w:rPr>
          <w:rFonts w:eastAsiaTheme="minorEastAsia"/>
        </w:rPr>
      </w:pPr>
    </w:p>
    <w:p w:rsidR="00FF7CA1" w:rsidRDefault="00EB6A3F" w:rsidP="00FF7CA1">
      <w:pPr>
        <w:pStyle w:val="Heading1"/>
      </w:pPr>
      <w:r>
        <w:lastRenderedPageBreak/>
        <w:t>Results</w:t>
      </w:r>
    </w:p>
    <w:p w:rsidR="00FF7CA1" w:rsidRPr="00FF7CA1" w:rsidRDefault="00FF7CA1" w:rsidP="00FF7CA1">
      <w:pPr>
        <w:pStyle w:val="Heading1"/>
      </w:pPr>
      <w:r>
        <w:rPr>
          <w:noProof/>
        </w:rPr>
        <w:drawing>
          <wp:inline distT="0" distB="0" distL="0" distR="0">
            <wp:extent cx="5003800" cy="7800946"/>
            <wp:effectExtent l="0" t="0" r="0" b="0"/>
            <wp:docPr id="728389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89392" name="Picture 728389392"/>
                    <pic:cNvPicPr/>
                  </pic:nvPicPr>
                  <pic:blipFill>
                    <a:blip r:embed="rId7">
                      <a:extLst>
                        <a:ext uri="{28A0092B-C50C-407E-A947-70E740481C1C}">
                          <a14:useLocalDpi xmlns:a14="http://schemas.microsoft.com/office/drawing/2010/main" val="0"/>
                        </a:ext>
                      </a:extLst>
                    </a:blip>
                    <a:stretch>
                      <a:fillRect/>
                    </a:stretch>
                  </pic:blipFill>
                  <pic:spPr>
                    <a:xfrm>
                      <a:off x="0" y="0"/>
                      <a:ext cx="5032278" cy="7845343"/>
                    </a:xfrm>
                    <a:prstGeom prst="rect">
                      <a:avLst/>
                    </a:prstGeom>
                  </pic:spPr>
                </pic:pic>
              </a:graphicData>
            </a:graphic>
          </wp:inline>
        </w:drawing>
      </w:r>
    </w:p>
    <w:p w:rsidR="00FF7CA1" w:rsidRPr="00EB6A3F" w:rsidRDefault="00FF7CA1" w:rsidP="00EB6A3F">
      <w:pPr>
        <w:sectPr w:rsidR="00FF7CA1" w:rsidRPr="00EB6A3F" w:rsidSect="00EB6A3F">
          <w:pgSz w:w="12240" w:h="15840"/>
          <w:pgMar w:top="1440" w:right="1440" w:bottom="1440" w:left="1440" w:header="720" w:footer="720" w:gutter="0"/>
          <w:lnNumType w:countBy="1" w:restart="continuous"/>
          <w:cols w:space="720"/>
          <w:docGrid w:linePitch="360"/>
        </w:sectPr>
      </w:pPr>
    </w:p>
    <w:p w:rsidR="00EB6A3F" w:rsidRDefault="00EB6A3F" w:rsidP="00EB6A3F">
      <w:pPr>
        <w:pStyle w:val="Heading1"/>
      </w:pPr>
      <w:r>
        <w:lastRenderedPageBreak/>
        <w:t>Discussion</w:t>
      </w:r>
    </w:p>
    <w:p w:rsidR="00735AAB" w:rsidRDefault="00735AAB" w:rsidP="00735AAB"/>
    <w:p w:rsidR="00735AAB" w:rsidRPr="00735AAB" w:rsidRDefault="00735AAB" w:rsidP="00735AAB"/>
    <w:sectPr w:rsidR="00735AAB" w:rsidRPr="00735AAB" w:rsidSect="00EB6A3F">
      <w:type w:val="continuous"/>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A3F"/>
    <w:rsid w:val="00121BDA"/>
    <w:rsid w:val="001F6A7B"/>
    <w:rsid w:val="002375C2"/>
    <w:rsid w:val="002D25C9"/>
    <w:rsid w:val="00475623"/>
    <w:rsid w:val="00502C61"/>
    <w:rsid w:val="00661298"/>
    <w:rsid w:val="00735AAB"/>
    <w:rsid w:val="00983B2F"/>
    <w:rsid w:val="00B33736"/>
    <w:rsid w:val="00BF4F40"/>
    <w:rsid w:val="00C9126A"/>
    <w:rsid w:val="00CF4FEF"/>
    <w:rsid w:val="00DE6F5D"/>
    <w:rsid w:val="00E44034"/>
    <w:rsid w:val="00E677ED"/>
    <w:rsid w:val="00EB6A3F"/>
    <w:rsid w:val="00FF7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D2F9C"/>
  <w15:chartTrackingRefBased/>
  <w15:docId w15:val="{6ADC92AD-9318-9E45-B4A7-F6E23253F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6A3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EB6A3F"/>
  </w:style>
  <w:style w:type="character" w:customStyle="1" w:styleId="Heading1Char">
    <w:name w:val="Heading 1 Char"/>
    <w:basedOn w:val="DefaultParagraphFont"/>
    <w:link w:val="Heading1"/>
    <w:uiPriority w:val="9"/>
    <w:rsid w:val="00EB6A3F"/>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semiHidden/>
    <w:unhideWhenUsed/>
    <w:rsid w:val="00735AAB"/>
    <w:pPr>
      <w:tabs>
        <w:tab w:val="left" w:pos="380"/>
      </w:tabs>
      <w:ind w:left="384" w:hanging="384"/>
    </w:pPr>
  </w:style>
  <w:style w:type="character" w:styleId="PlaceholderText">
    <w:name w:val="Placeholder Text"/>
    <w:basedOn w:val="DefaultParagraphFont"/>
    <w:uiPriority w:val="99"/>
    <w:semiHidden/>
    <w:rsid w:val="00735AAB"/>
    <w:rPr>
      <w:color w:val="808080"/>
    </w:rPr>
  </w:style>
  <w:style w:type="paragraph" w:styleId="Caption">
    <w:name w:val="caption"/>
    <w:basedOn w:val="Normal"/>
    <w:next w:val="Normal"/>
    <w:uiPriority w:val="35"/>
    <w:unhideWhenUsed/>
    <w:qFormat/>
    <w:rsid w:val="00475623"/>
    <w:pPr>
      <w:spacing w:after="200"/>
    </w:pPr>
    <w:rPr>
      <w:i/>
      <w:iCs/>
      <w:color w:val="44546A" w:themeColor="text2"/>
      <w:sz w:val="18"/>
      <w:szCs w:val="18"/>
    </w:rPr>
  </w:style>
  <w:style w:type="table" w:styleId="TableGrid">
    <w:name w:val="Table Grid"/>
    <w:basedOn w:val="TableNormal"/>
    <w:uiPriority w:val="39"/>
    <w:rsid w:val="00502C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emf"/><Relationship Id="rId5"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10F05-FA78-974D-8517-A7FEE49AA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5</Pages>
  <Words>1281</Words>
  <Characters>7304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Traynor</dc:creator>
  <cp:keywords/>
  <dc:description/>
  <cp:lastModifiedBy>Henry Traynor</cp:lastModifiedBy>
  <cp:revision>4</cp:revision>
  <dcterms:created xsi:type="dcterms:W3CDTF">2024-04-18T22:45:00Z</dcterms:created>
  <dcterms:modified xsi:type="dcterms:W3CDTF">2024-04-19T15:54:00Z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id="z3fpyVg3"/&gt;&lt;style id="http://www.zotero.org/styles/ieee" locale="en-US" hasBibliography="1" bibliographyStyleHasBeenSet="0"/&gt;&lt;prefs&gt;&lt;pref name="fieldType" value="Field"/&gt;&lt;pref name="automaticJour</vt:lpwstr>
  </property>
  <property fmtid="{D5CDD505-2E9C-101B-9397-08002B2CF9AE}" pid="3" name="ZOTERO_PREF_2">
    <vt:lpwstr>nalAbbreviations" value="true"/&gt;&lt;/prefs&gt;&lt;/data&gt;</vt:lpwstr>
  </property>
</Properties>
</file>