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ENGINEERING STANDARD</w:t>
      </w:r>
    </w:p>
    <w:p>
      <w:pPr>
        <w:jc w:val="center"/>
      </w:pPr>
      <w:r>
        <w:rPr>
          <w:color w:val="595959"/>
          <w:sz w:val="24"/>
        </w:rPr>
        <w:t>Robot Software Development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ES-00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English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document standardizes architecture, development workflow, coding rules, and verification for the entire FRC Java Coding Lab 7.0.</w:t>
      </w:r>
    </w:p>
    <w:p>
      <w:pPr>
        <w:pStyle w:val="Heading1"/>
      </w:pPr>
      <w:r>
        <w:t>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</w:rPr>
              <w:t>Role</w:t>
            </w:r>
          </w:p>
        </w:tc>
      </w:tr>
      <w:tr>
        <w:tc>
          <w:tcPr>
            <w:tcW w:type="dxa" w:w="5040"/>
          </w:tcPr>
          <w:p>
            <w:r>
              <w:t>ES-01 - Frozen Development Workflow</w:t>
            </w:r>
          </w:p>
        </w:tc>
        <w:tc>
          <w:tcPr>
            <w:tcW w:type="dxa" w:w="5040"/>
          </w:tcPr>
          <w:p>
            <w:r>
              <w:t>Mandatory workflow for every module.</w:t>
            </w:r>
          </w:p>
        </w:tc>
      </w:tr>
      <w:tr>
        <w:tc>
          <w:tcPr>
            <w:tcW w:type="dxa" w:w="5040"/>
          </w:tcPr>
          <w:p>
            <w:r>
              <w:t>ES-02 - Coding Standard</w:t>
            </w:r>
          </w:p>
        </w:tc>
        <w:tc>
          <w:tcPr>
            <w:tcW w:type="dxa" w:w="5040"/>
          </w:tcPr>
          <w:p>
            <w:r>
              <w:t>Rules for writing and delivering Java code.</w:t>
            </w:r>
          </w:p>
        </w:tc>
      </w:tr>
      <w:tr>
        <w:tc>
          <w:tcPr>
            <w:tcW w:type="dxa" w:w="5040"/>
          </w:tcPr>
          <w:p>
            <w:r>
              <w:t>ES-03 - Architecture Review Checklist</w:t>
            </w:r>
          </w:p>
        </w:tc>
        <w:tc>
          <w:tcPr>
            <w:tcW w:type="dxa" w:w="5040"/>
          </w:tcPr>
          <w:p>
            <w:r>
              <w:t>Pre-implementation architecture checklist.</w:t>
            </w:r>
          </w:p>
        </w:tc>
      </w:tr>
      <w:tr>
        <w:tc>
          <w:tcPr>
            <w:tcW w:type="dxa" w:w="5040"/>
          </w:tcPr>
          <w:p>
            <w:r>
              <w:t>ES-04 - Lesson and Module Checklist</w:t>
            </w:r>
          </w:p>
        </w:tc>
        <w:tc>
          <w:tcPr>
            <w:tcW w:type="dxa" w:w="5040"/>
          </w:tcPr>
          <w:p>
            <w:r>
              <w:t>Implementation and completion checklist.</w:t>
            </w:r>
          </w:p>
        </w:tc>
      </w:tr>
    </w:tbl>
    <w:p>
      <w:pPr>
        <w:pStyle w:val="Heading1"/>
      </w:pPr>
      <w:r>
        <w:t>Frozen Principle</w:t>
      </w:r>
    </w:p>
    <w:p>
      <w:pPr>
        <w:pStyle w:val="ListBullet"/>
      </w:pPr>
      <w:r>
        <w:t>The Frozen Backbone defines package responsibilities and dependency direction.</w:t>
      </w:r>
    </w:p>
    <w:p>
      <w:pPr>
        <w:pStyle w:val="ListBullet"/>
      </w:pPr>
      <w:r>
        <w:t>The Frozen Development Workflow defines how every module is developed.</w:t>
      </w:r>
    </w:p>
    <w:p>
      <w:pPr>
        <w:pStyle w:val="ListBullet"/>
      </w:pPr>
      <w:r>
        <w:t>Do not change the standard during a lesson without a formal architecture review.</w:t>
      </w:r>
    </w:p>
    <w:p>
      <w:pPr>
        <w:pStyle w:val="ListBullet"/>
      </w:pPr>
      <w:r>
        <w:t>RobotContainer is the composition root and must remain concise.</w:t>
      </w:r>
    </w:p>
    <w:p>
      <w:pPr>
        <w:pStyle w:val="Heading1"/>
      </w:pPr>
      <w:r>
        <w:t>Standard Flow</w:t>
      </w:r>
    </w:p>
    <w:p>
      <w:pPr>
        <w:jc w:val="center"/>
      </w:pPr>
      <w:r>
        <w:rPr>
          <w:b/>
          <w:color w:val="1F4E79"/>
          <w:sz w:val="26"/>
        </w:rPr>
        <w:t>Frozen Backbone → Contract Design → Architecture Review → Full Implementation → BUILD SUCCESSFUL → Simulation → Real Robot → Git Commit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Initial release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ES-00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