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F8BFD" w14:textId="5B4E2669" w:rsidR="00BF3F2D" w:rsidRDefault="00997B23" w:rsidP="00BF3F2D">
      <w:pPr>
        <w:spacing w:line="480" w:lineRule="auto"/>
        <w:rPr>
          <w:rFonts w:ascii="Times New Roman" w:hAnsi="Times New Roman" w:cs="Times New Roman"/>
        </w:rPr>
      </w:pPr>
      <w:r w:rsidRPr="00BF3F2D">
        <w:rPr>
          <w:rFonts w:ascii="Times New Roman" w:hAnsi="Times New Roman" w:cs="Times New Roman"/>
        </w:rPr>
        <w:t xml:space="preserve">The level of risk premium is measured by credit spreads – the difference in yields between various private debt instruments and government securities of comparable maturity. Gilchrist and </w:t>
      </w:r>
      <w:proofErr w:type="spellStart"/>
      <w:r w:rsidRPr="00BF3F2D">
        <w:rPr>
          <w:rFonts w:ascii="Times New Roman" w:hAnsi="Times New Roman" w:cs="Times New Roman"/>
        </w:rPr>
        <w:t>Zakrajsek</w:t>
      </w:r>
      <w:proofErr w:type="spellEnd"/>
      <w:r w:rsidRPr="00BF3F2D">
        <w:rPr>
          <w:rFonts w:ascii="Times New Roman" w:hAnsi="Times New Roman" w:cs="Times New Roman"/>
        </w:rPr>
        <w:t xml:space="preserve"> (2012) construct</w:t>
      </w:r>
      <w:r w:rsidR="00CB115A" w:rsidRPr="00BF3F2D">
        <w:rPr>
          <w:rFonts w:ascii="Times New Roman" w:hAnsi="Times New Roman" w:cs="Times New Roman"/>
        </w:rPr>
        <w:t xml:space="preserve">ed a new credit spread index called “GZ credit spread” </w:t>
      </w:r>
      <w:r w:rsidR="00BF3F2D" w:rsidRPr="00BF3F2D">
        <w:rPr>
          <w:rFonts w:ascii="Times New Roman" w:hAnsi="Times New Roman" w:cs="Times New Roman"/>
        </w:rPr>
        <w:t xml:space="preserve">employing secondary market prices of outstanding senior unsecured bonds issued by a large panel of US nonfinancial corporations. They </w:t>
      </w:r>
      <w:r w:rsidR="00CB115A" w:rsidRPr="00BF3F2D">
        <w:rPr>
          <w:rFonts w:ascii="Times New Roman" w:hAnsi="Times New Roman" w:cs="Times New Roman"/>
        </w:rPr>
        <w:t>showed that it has considerable predictive power for economic activity over 1973 to 2010 period</w:t>
      </w:r>
      <w:r w:rsidR="00BF3F2D">
        <w:rPr>
          <w:rFonts w:ascii="Times New Roman" w:hAnsi="Times New Roman" w:cs="Times New Roman"/>
        </w:rPr>
        <w:t>, compared with other popular default-risk indicators like Baa-</w:t>
      </w:r>
      <w:proofErr w:type="spellStart"/>
      <w:r w:rsidR="00BF3F2D">
        <w:rPr>
          <w:rFonts w:ascii="Times New Roman" w:hAnsi="Times New Roman" w:cs="Times New Roman"/>
        </w:rPr>
        <w:t>Aaa</w:t>
      </w:r>
      <w:proofErr w:type="spellEnd"/>
      <w:r w:rsidR="00BF3F2D">
        <w:rPr>
          <w:rFonts w:ascii="Times New Roman" w:hAnsi="Times New Roman" w:cs="Times New Roman"/>
        </w:rPr>
        <w:t xml:space="preserve"> spread (the spread between the yields on Baa- and </w:t>
      </w:r>
      <w:proofErr w:type="spellStart"/>
      <w:r w:rsidR="00BF3F2D">
        <w:rPr>
          <w:rFonts w:ascii="Times New Roman" w:hAnsi="Times New Roman" w:cs="Times New Roman"/>
        </w:rPr>
        <w:t>Aaa</w:t>
      </w:r>
      <w:proofErr w:type="spellEnd"/>
      <w:r w:rsidR="00BF3F2D">
        <w:rPr>
          <w:rFonts w:ascii="Times New Roman" w:hAnsi="Times New Roman" w:cs="Times New Roman"/>
        </w:rPr>
        <w:t xml:space="preserve">-rated long-term industrial corporate bonds) and CP-Bill spread (the spread between the yield on one-month A1/P1 nonfinancial commercial paper and the one-month US Treasury yield). See Figure 1. </w:t>
      </w:r>
    </w:p>
    <w:p w14:paraId="629DEC79" w14:textId="44BFCDE0" w:rsidR="00BF3F2D" w:rsidRDefault="00BF3F2D" w:rsidP="00BF3F2D">
      <w:pPr>
        <w:spacing w:line="480" w:lineRule="auto"/>
        <w:jc w:val="center"/>
        <w:rPr>
          <w:rFonts w:ascii="Times New Roman" w:hAnsi="Times New Roman" w:cs="Times New Roman"/>
        </w:rPr>
      </w:pPr>
      <w:r w:rsidRPr="00BF3F2D">
        <w:rPr>
          <w:rFonts w:ascii="Times New Roman" w:hAnsi="Times New Roman" w:cs="Times New Roman"/>
        </w:rPr>
        <w:drawing>
          <wp:inline distT="0" distB="0" distL="0" distR="0" wp14:anchorId="775DDBF3" wp14:editId="32A02532">
            <wp:extent cx="5943600" cy="3459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D4A2" w14:textId="28CFEF13" w:rsidR="00BF3F2D" w:rsidRDefault="00BF3F2D" w:rsidP="00BF3F2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1. Selected Corporate Credit Spreads. The shaded vertical bars represent the NBER-dated recessions. </w:t>
      </w:r>
    </w:p>
    <w:p w14:paraId="4C13800C" w14:textId="77777777" w:rsidR="00BF3F2D" w:rsidRDefault="00BF3F2D" w:rsidP="00BF3F2D">
      <w:pPr>
        <w:spacing w:line="480" w:lineRule="auto"/>
        <w:rPr>
          <w:rFonts w:ascii="Times New Roman" w:hAnsi="Times New Roman" w:cs="Times New Roman"/>
        </w:rPr>
      </w:pPr>
    </w:p>
    <w:p w14:paraId="2CB167B1" w14:textId="1DD2D5DE" w:rsidR="00BF3F2D" w:rsidRPr="00BF3F2D" w:rsidRDefault="00BF3F2D" w:rsidP="00BF3F2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Additionally, </w:t>
      </w:r>
      <w:r w:rsidRPr="00BF3F2D">
        <w:rPr>
          <w:rFonts w:ascii="Times New Roman" w:hAnsi="Times New Roman" w:cs="Times New Roman"/>
        </w:rPr>
        <w:t xml:space="preserve">Gilchrist and </w:t>
      </w:r>
      <w:proofErr w:type="spellStart"/>
      <w:r w:rsidRPr="00BF3F2D">
        <w:rPr>
          <w:rFonts w:ascii="Times New Roman" w:hAnsi="Times New Roman" w:cs="Times New Roman"/>
        </w:rPr>
        <w:t>Zakrajsek</w:t>
      </w:r>
      <w:proofErr w:type="spellEnd"/>
      <w:r w:rsidRPr="00BF3F2D">
        <w:rPr>
          <w:rFonts w:ascii="Times New Roman" w:hAnsi="Times New Roman" w:cs="Times New Roman"/>
        </w:rPr>
        <w:t xml:space="preserve"> (2012)</w:t>
      </w:r>
      <w:r>
        <w:rPr>
          <w:rFonts w:ascii="Times New Roman" w:hAnsi="Times New Roman" w:cs="Times New Roman"/>
        </w:rPr>
        <w:t xml:space="preserve"> decomposed GZ credit spread into a component reflecting firm-specific default risk and a residual component they called “the excess bond premium”. Over the 1985-2010 period, the excess bond premium accounts for most of the predictive power of the GZ credit spread on economic output growth. </w:t>
      </w:r>
    </w:p>
    <w:p w14:paraId="23296910" w14:textId="1DC6B306" w:rsidR="00997B23" w:rsidRPr="00BF3F2D" w:rsidRDefault="00BF3F2D" w:rsidP="00BF3F2D">
      <w:pPr>
        <w:spacing w:line="480" w:lineRule="auto"/>
        <w:rPr>
          <w:rFonts w:ascii="Times New Roman" w:hAnsi="Times New Roman" w:cs="Times New Roman"/>
        </w:rPr>
      </w:pPr>
      <w:r w:rsidRPr="00BF3F2D">
        <w:rPr>
          <w:rFonts w:ascii="Times New Roman" w:hAnsi="Times New Roman" w:cs="Times New Roman"/>
        </w:rPr>
        <w:drawing>
          <wp:inline distT="0" distB="0" distL="0" distR="0" wp14:anchorId="6ACE9F3B" wp14:editId="0FEE8FED">
            <wp:extent cx="5943600" cy="348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55C8" w14:textId="3542049C" w:rsidR="00997B23" w:rsidRDefault="00BF3F2D" w:rsidP="00BF3F2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The Excess Bond Premium. The shaded vertical bars represent the NBER-dated recessions. </w:t>
      </w:r>
    </w:p>
    <w:p w14:paraId="40B79915" w14:textId="5E788E3F" w:rsidR="00BF3F2D" w:rsidRDefault="00BF3F2D" w:rsidP="00BF3F2D">
      <w:pPr>
        <w:spacing w:line="480" w:lineRule="auto"/>
        <w:rPr>
          <w:rFonts w:ascii="Times New Roman" w:hAnsi="Times New Roman" w:cs="Times New Roman"/>
        </w:rPr>
      </w:pPr>
    </w:p>
    <w:p w14:paraId="51F5FC00" w14:textId="64D1622A" w:rsidR="00BF3F2D" w:rsidRDefault="00BF3F2D" w:rsidP="00BF3F2D">
      <w:pPr>
        <w:spacing w:line="480" w:lineRule="auto"/>
        <w:rPr>
          <w:rFonts w:ascii="Times New Roman" w:hAnsi="Times New Roman" w:cs="Times New Roman"/>
        </w:rPr>
      </w:pPr>
    </w:p>
    <w:p w14:paraId="4FAFE11D" w14:textId="77777777" w:rsidR="00BF3F2D" w:rsidRPr="00BF3F2D" w:rsidRDefault="00BF3F2D" w:rsidP="00BF3F2D">
      <w:pPr>
        <w:spacing w:line="480" w:lineRule="auto"/>
        <w:rPr>
          <w:rFonts w:ascii="Times New Roman" w:hAnsi="Times New Roman" w:cs="Times New Roman"/>
        </w:rPr>
      </w:pPr>
    </w:p>
    <w:p w14:paraId="018BBE42" w14:textId="3C637752" w:rsidR="003B48BF" w:rsidRPr="00BF3F2D" w:rsidRDefault="00997B23" w:rsidP="00BF3F2D">
      <w:pPr>
        <w:spacing w:line="480" w:lineRule="auto"/>
        <w:rPr>
          <w:rFonts w:ascii="Times New Roman" w:hAnsi="Times New Roman" w:cs="Times New Roman"/>
        </w:rPr>
      </w:pPr>
      <w:r w:rsidRPr="00BF3F2D">
        <w:rPr>
          <w:rFonts w:ascii="Times New Roman" w:hAnsi="Times New Roman" w:cs="Times New Roman"/>
        </w:rPr>
        <w:t xml:space="preserve"> </w:t>
      </w:r>
    </w:p>
    <w:sectPr w:rsidR="003B48BF" w:rsidRPr="00BF3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8BF"/>
    <w:rsid w:val="003B48BF"/>
    <w:rsid w:val="00997B23"/>
    <w:rsid w:val="00BF3F2D"/>
    <w:rsid w:val="00CB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3C177"/>
  <w15:chartTrackingRefBased/>
  <w15:docId w15:val="{25CA3B45-9880-1B49-86CD-22EA47BF3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Chenjian Wang</dc:creator>
  <cp:keywords/>
  <dc:description/>
  <cp:lastModifiedBy>Chenjian Wang</cp:lastModifiedBy>
  <cp:revision>2</cp:revision>
  <dcterms:created xsi:type="dcterms:W3CDTF">2020-12-10T19:11:00Z</dcterms:created>
  <dcterms:modified xsi:type="dcterms:W3CDTF">2020-12-10T19:57:00Z</dcterms:modified>
</cp:coreProperties>
</file>