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6E09" w14:textId="3BD1EFC8" w:rsidR="00A8582D" w:rsidRDefault="00CE6AA1" w:rsidP="00A8582D">
      <w:pPr>
        <w:pStyle w:val="ListParagraph"/>
        <w:numPr>
          <w:ilvl w:val="0"/>
          <w:numId w:val="1"/>
        </w:numPr>
        <w:spacing w:line="480" w:lineRule="auto"/>
        <w:rPr>
          <w:sz w:val="24"/>
          <w:szCs w:val="24"/>
        </w:rPr>
      </w:pPr>
      <w:r>
        <w:rPr>
          <w:sz w:val="24"/>
          <w:szCs w:val="24"/>
        </w:rPr>
        <w:t>Risk Structure</w:t>
      </w:r>
      <w:r w:rsidR="007D285A" w:rsidRPr="008F2B72">
        <w:rPr>
          <w:sz w:val="24"/>
          <w:szCs w:val="24"/>
        </w:rPr>
        <w:t xml:space="preserve"> of Interest Rat</w:t>
      </w:r>
      <w:r w:rsidR="0027785B">
        <w:rPr>
          <w:sz w:val="24"/>
          <w:szCs w:val="24"/>
        </w:rPr>
        <w:t>es</w:t>
      </w:r>
    </w:p>
    <w:p w14:paraId="60270EB6" w14:textId="77777777" w:rsidR="0027785B" w:rsidRDefault="0027785B" w:rsidP="0079209D">
      <w:pPr>
        <w:pStyle w:val="ListParagraph"/>
        <w:spacing w:line="480" w:lineRule="auto"/>
        <w:ind w:left="0" w:firstLine="360"/>
        <w:rPr>
          <w:sz w:val="24"/>
          <w:szCs w:val="24"/>
        </w:rPr>
      </w:pPr>
      <w:r>
        <w:rPr>
          <w:sz w:val="24"/>
          <w:szCs w:val="24"/>
        </w:rPr>
        <w:t xml:space="preserve">Financial assets of same maturities can have different interest rates due to their different risk exposures. This risk-driven interest rate difference is called the risk structure of interest rates. </w:t>
      </w:r>
    </w:p>
    <w:p w14:paraId="15F1BAAF" w14:textId="50E0D4B7" w:rsidR="007E2C6B" w:rsidRDefault="0027785B" w:rsidP="0079209D">
      <w:pPr>
        <w:pStyle w:val="ListParagraph"/>
        <w:spacing w:line="480" w:lineRule="auto"/>
        <w:ind w:left="0" w:firstLine="360"/>
        <w:rPr>
          <w:sz w:val="24"/>
          <w:szCs w:val="24"/>
        </w:rPr>
      </w:pPr>
      <w:r>
        <w:rPr>
          <w:sz w:val="24"/>
          <w:szCs w:val="24"/>
        </w:rPr>
        <w:t xml:space="preserve">For assets like bonds, one of the most common risk is default risk, which is the likelihood that bond issuers will not be able or willing to pay off their debt at maturity. This means issuers with higher default risk must pay </w:t>
      </w:r>
      <w:r w:rsidR="007E2C6B">
        <w:rPr>
          <w:sz w:val="24"/>
          <w:szCs w:val="24"/>
        </w:rPr>
        <w:t>more</w:t>
      </w:r>
      <w:r>
        <w:rPr>
          <w:sz w:val="24"/>
          <w:szCs w:val="24"/>
        </w:rPr>
        <w:t xml:space="preserve"> interest to attract investors to buy their bonds. The interest</w:t>
      </w:r>
      <w:r w:rsidR="007E2C6B">
        <w:rPr>
          <w:sz w:val="24"/>
          <w:szCs w:val="24"/>
        </w:rPr>
        <w:t xml:space="preserve"> rate</w:t>
      </w:r>
      <w:r>
        <w:rPr>
          <w:sz w:val="24"/>
          <w:szCs w:val="24"/>
        </w:rPr>
        <w:t xml:space="preserve"> difference between </w:t>
      </w:r>
      <w:r w:rsidR="007E2C6B">
        <w:rPr>
          <w:sz w:val="24"/>
          <w:szCs w:val="24"/>
        </w:rPr>
        <w:t xml:space="preserve">bonds with default risk and risk-free bonds such as treasury bonds is </w:t>
      </w:r>
      <w:r w:rsidR="00932B85">
        <w:rPr>
          <w:sz w:val="24"/>
          <w:szCs w:val="24"/>
        </w:rPr>
        <w:t>defined as</w:t>
      </w:r>
      <w:r w:rsidR="007E2C6B">
        <w:rPr>
          <w:sz w:val="24"/>
          <w:szCs w:val="24"/>
        </w:rPr>
        <w:t xml:space="preserve"> risk premium. In general, defaultable bonds have positive risk premium and it will increase with default risk. The idea of risk premium can also be explained by the loanable </w:t>
      </w:r>
      <w:proofErr w:type="gramStart"/>
      <w:r w:rsidR="007E2C6B">
        <w:rPr>
          <w:sz w:val="24"/>
          <w:szCs w:val="24"/>
        </w:rPr>
        <w:t>funds</w:t>
      </w:r>
      <w:proofErr w:type="gramEnd"/>
      <w:r w:rsidR="007E2C6B">
        <w:rPr>
          <w:sz w:val="24"/>
          <w:szCs w:val="24"/>
        </w:rPr>
        <w:t xml:space="preserve"> theory.</w:t>
      </w:r>
      <w:r w:rsidR="00932B85">
        <w:rPr>
          <w:sz w:val="24"/>
          <w:szCs w:val="24"/>
        </w:rPr>
        <w:t xml:space="preserve"> Interest rates for corporate and government bonds of the same maturity should be the same if they have the same level of risk. When their risk difference is considered, part of the loanable funds supply for risky corporate bonds will transfer to the riskless government bonds due to investors’ lower risk tolerance. Therefore, the equilibrium interest rate of corporate bonds will be higher than government bonds.</w:t>
      </w:r>
    </w:p>
    <w:p w14:paraId="4CD7CA7A" w14:textId="2A904016" w:rsidR="007E2C6B" w:rsidRDefault="00932B85" w:rsidP="00932B85">
      <w:pPr>
        <w:pStyle w:val="ListParagraph"/>
        <w:spacing w:line="480" w:lineRule="auto"/>
        <w:ind w:left="0" w:firstLine="360"/>
        <w:jc w:val="center"/>
        <w:rPr>
          <w:sz w:val="24"/>
          <w:szCs w:val="24"/>
        </w:rPr>
      </w:pPr>
      <w:r>
        <w:rPr>
          <w:noProof/>
          <w:sz w:val="24"/>
          <w:szCs w:val="24"/>
        </w:rPr>
        <w:drawing>
          <wp:inline distT="0" distB="0" distL="0" distR="0" wp14:anchorId="7AF75EDC" wp14:editId="54F6A276">
            <wp:extent cx="4580263" cy="226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0263" cy="2263140"/>
                    </a:xfrm>
                    <a:prstGeom prst="rect">
                      <a:avLst/>
                    </a:prstGeom>
                  </pic:spPr>
                </pic:pic>
              </a:graphicData>
            </a:graphic>
          </wp:inline>
        </w:drawing>
      </w:r>
    </w:p>
    <w:p w14:paraId="27C5527B" w14:textId="2E85FCA3" w:rsidR="009832F7" w:rsidRDefault="007E2C6B" w:rsidP="0079209D">
      <w:pPr>
        <w:pStyle w:val="ListParagraph"/>
        <w:spacing w:line="480" w:lineRule="auto"/>
        <w:ind w:left="0" w:firstLine="360"/>
        <w:rPr>
          <w:sz w:val="24"/>
          <w:szCs w:val="24"/>
        </w:rPr>
      </w:pPr>
      <w:r>
        <w:rPr>
          <w:sz w:val="24"/>
          <w:szCs w:val="24"/>
        </w:rPr>
        <w:lastRenderedPageBreak/>
        <w:t xml:space="preserve">The level of risk premium </w:t>
      </w:r>
      <w:r w:rsidR="0075065E">
        <w:rPr>
          <w:sz w:val="24"/>
          <w:szCs w:val="24"/>
        </w:rPr>
        <w:t>changes inversely proportional to business cycles. When the economy is booming, the investors’ risk appetite will increase, and the likelihood of default will decrease. Both forces will hinder the transfer of loanable funds from corporate bonds to government bonds so risk premium will drop. Similarly, in a recession, investors are generally more conservative, and risk of default will soar. The aggregate result is a higher risk premium.</w:t>
      </w:r>
    </w:p>
    <w:p w14:paraId="6539D0CE" w14:textId="77777777" w:rsidR="0075065E" w:rsidRDefault="0075065E" w:rsidP="0079209D">
      <w:pPr>
        <w:pStyle w:val="ListParagraph"/>
        <w:spacing w:line="480" w:lineRule="auto"/>
        <w:ind w:left="0" w:firstLine="360"/>
        <w:rPr>
          <w:sz w:val="24"/>
          <w:szCs w:val="24"/>
        </w:rPr>
      </w:pPr>
    </w:p>
    <w:p w14:paraId="3EC3613D" w14:textId="4935C2FB" w:rsidR="0075065E" w:rsidRDefault="0075065E" w:rsidP="0075065E">
      <w:pPr>
        <w:pStyle w:val="ListParagraph"/>
        <w:numPr>
          <w:ilvl w:val="0"/>
          <w:numId w:val="1"/>
        </w:numPr>
        <w:spacing w:line="480" w:lineRule="auto"/>
        <w:rPr>
          <w:sz w:val="24"/>
          <w:szCs w:val="24"/>
        </w:rPr>
      </w:pPr>
      <w:r>
        <w:rPr>
          <w:sz w:val="24"/>
          <w:szCs w:val="24"/>
        </w:rPr>
        <w:t>Term</w:t>
      </w:r>
      <w:r>
        <w:rPr>
          <w:sz w:val="24"/>
          <w:szCs w:val="24"/>
        </w:rPr>
        <w:t xml:space="preserve"> Structure</w:t>
      </w:r>
      <w:r w:rsidRPr="008F2B72">
        <w:rPr>
          <w:sz w:val="24"/>
          <w:szCs w:val="24"/>
        </w:rPr>
        <w:t xml:space="preserve"> of Interest Rat</w:t>
      </w:r>
      <w:r>
        <w:rPr>
          <w:sz w:val="24"/>
          <w:szCs w:val="24"/>
        </w:rPr>
        <w:t>es</w:t>
      </w:r>
    </w:p>
    <w:p w14:paraId="6957B456" w14:textId="6D0968FF" w:rsidR="0075065E" w:rsidRDefault="00C97A5C" w:rsidP="0079209D">
      <w:pPr>
        <w:pStyle w:val="ListParagraph"/>
        <w:spacing w:line="480" w:lineRule="auto"/>
        <w:ind w:left="0" w:firstLine="360"/>
        <w:rPr>
          <w:sz w:val="24"/>
          <w:szCs w:val="24"/>
        </w:rPr>
      </w:pPr>
      <w:r>
        <w:rPr>
          <w:sz w:val="24"/>
          <w:szCs w:val="24"/>
        </w:rPr>
        <w:t>The relationship between maturity and interest rate for bonds of the same risk structure is known as the term structure of interest rates. The graph plotting maturities and interest rates together is called the yield curve. There are three typical shapes: positive</w:t>
      </w:r>
      <w:r w:rsidR="00BA5483">
        <w:rPr>
          <w:sz w:val="24"/>
          <w:szCs w:val="24"/>
        </w:rPr>
        <w:t>ly</w:t>
      </w:r>
      <w:r>
        <w:rPr>
          <w:sz w:val="24"/>
          <w:szCs w:val="24"/>
        </w:rPr>
        <w:t xml:space="preserve"> slope</w:t>
      </w:r>
      <w:r w:rsidR="00BA5483">
        <w:rPr>
          <w:sz w:val="24"/>
          <w:szCs w:val="24"/>
        </w:rPr>
        <w:t>d</w:t>
      </w:r>
      <w:r>
        <w:rPr>
          <w:sz w:val="24"/>
          <w:szCs w:val="24"/>
        </w:rPr>
        <w:t>, inverted and flat. Theories explaining the specific shape of yield curves include pure expectations theory, market segmentation theory, liquidity premium theory and preferred habitat theory.</w:t>
      </w:r>
    </w:p>
    <w:p w14:paraId="2EC1A4D1" w14:textId="04AAB3B1" w:rsidR="00C97A5C" w:rsidRDefault="009154B6" w:rsidP="009154B6">
      <w:pPr>
        <w:pStyle w:val="ListParagraph"/>
        <w:spacing w:line="480" w:lineRule="auto"/>
        <w:ind w:left="0" w:firstLine="360"/>
        <w:jc w:val="center"/>
        <w:rPr>
          <w:sz w:val="24"/>
          <w:szCs w:val="24"/>
        </w:rPr>
      </w:pPr>
      <w:r>
        <w:rPr>
          <w:noProof/>
          <w:sz w:val="24"/>
          <w:szCs w:val="24"/>
        </w:rPr>
        <w:drawing>
          <wp:inline distT="0" distB="0" distL="0" distR="0" wp14:anchorId="23BC3384" wp14:editId="3A21F071">
            <wp:extent cx="3837321" cy="1910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321" cy="1910548"/>
                    </a:xfrm>
                    <a:prstGeom prst="rect">
                      <a:avLst/>
                    </a:prstGeom>
                  </pic:spPr>
                </pic:pic>
              </a:graphicData>
            </a:graphic>
          </wp:inline>
        </w:drawing>
      </w:r>
    </w:p>
    <w:p w14:paraId="2756BCD7" w14:textId="4975726F" w:rsidR="009154B6" w:rsidRDefault="009154B6" w:rsidP="009154B6">
      <w:pPr>
        <w:pStyle w:val="ListParagraph"/>
        <w:numPr>
          <w:ilvl w:val="0"/>
          <w:numId w:val="4"/>
        </w:numPr>
        <w:spacing w:line="480" w:lineRule="auto"/>
        <w:rPr>
          <w:sz w:val="24"/>
          <w:szCs w:val="24"/>
        </w:rPr>
      </w:pPr>
      <w:r>
        <w:rPr>
          <w:sz w:val="24"/>
          <w:szCs w:val="24"/>
        </w:rPr>
        <w:t>Pure Expectations Theory</w:t>
      </w:r>
    </w:p>
    <w:p w14:paraId="39B3DB86" w14:textId="3F203471" w:rsidR="009154B6" w:rsidRDefault="00981930" w:rsidP="00742500">
      <w:pPr>
        <w:spacing w:line="480" w:lineRule="auto"/>
        <w:ind w:firstLine="360"/>
        <w:rPr>
          <w:sz w:val="24"/>
          <w:szCs w:val="24"/>
        </w:rPr>
      </w:pPr>
      <w:r>
        <w:rPr>
          <w:sz w:val="24"/>
          <w:szCs w:val="24"/>
        </w:rPr>
        <w:t xml:space="preserve">The pure expectations theory </w:t>
      </w:r>
      <w:r>
        <w:rPr>
          <w:sz w:val="24"/>
          <w:szCs w:val="24"/>
        </w:rPr>
        <w:t>a</w:t>
      </w:r>
      <w:r w:rsidR="00742500">
        <w:rPr>
          <w:sz w:val="24"/>
          <w:szCs w:val="24"/>
        </w:rPr>
        <w:t>ssum</w:t>
      </w:r>
      <w:r>
        <w:rPr>
          <w:sz w:val="24"/>
          <w:szCs w:val="24"/>
        </w:rPr>
        <w:t>es</w:t>
      </w:r>
      <w:r w:rsidR="00742500">
        <w:rPr>
          <w:sz w:val="24"/>
          <w:szCs w:val="24"/>
        </w:rPr>
        <w:t xml:space="preserve"> individuals have no preference over different maturities</w:t>
      </w:r>
      <w:r>
        <w:rPr>
          <w:sz w:val="24"/>
          <w:szCs w:val="24"/>
        </w:rPr>
        <w:t>. These bonds are perfect substitutes to each other,</w:t>
      </w:r>
      <w:r w:rsidR="00742500">
        <w:rPr>
          <w:sz w:val="24"/>
          <w:szCs w:val="24"/>
        </w:rPr>
        <w:t xml:space="preserve"> and </w:t>
      </w:r>
      <w:r>
        <w:rPr>
          <w:sz w:val="24"/>
          <w:szCs w:val="24"/>
        </w:rPr>
        <w:t>individuals only</w:t>
      </w:r>
      <w:r w:rsidR="00742500">
        <w:rPr>
          <w:sz w:val="24"/>
          <w:szCs w:val="24"/>
        </w:rPr>
        <w:t xml:space="preserve"> try to </w:t>
      </w:r>
      <w:r w:rsidR="00742500">
        <w:rPr>
          <w:sz w:val="24"/>
          <w:szCs w:val="24"/>
        </w:rPr>
        <w:lastRenderedPageBreak/>
        <w:t>maximize expected returns in the efficient market</w:t>
      </w:r>
      <w:r>
        <w:rPr>
          <w:sz w:val="24"/>
          <w:szCs w:val="24"/>
        </w:rPr>
        <w:t>.</w:t>
      </w:r>
      <w:r w:rsidR="00742500">
        <w:rPr>
          <w:sz w:val="24"/>
          <w:szCs w:val="24"/>
        </w:rPr>
        <w:t xml:space="preserve"> </w:t>
      </w:r>
      <w:r>
        <w:rPr>
          <w:sz w:val="24"/>
          <w:szCs w:val="24"/>
        </w:rPr>
        <w:t xml:space="preserve">It </w:t>
      </w:r>
      <w:r w:rsidR="00742500">
        <w:rPr>
          <w:sz w:val="24"/>
          <w:szCs w:val="24"/>
        </w:rPr>
        <w:t>concludes that interest rate of longer-dated bond is equal to the average of expected future short-term rates.</w:t>
      </w:r>
    </w:p>
    <w:p w14:paraId="74CB5124" w14:textId="4A180A60" w:rsidR="00742500" w:rsidRDefault="00742500" w:rsidP="00742500">
      <w:pPr>
        <w:spacing w:line="480" w:lineRule="auto"/>
        <w:ind w:firstLine="360"/>
        <w:rPr>
          <w:sz w:val="24"/>
          <w:szCs w:val="24"/>
        </w:rPr>
      </w:pPr>
      <w:r>
        <w:rPr>
          <w:sz w:val="24"/>
          <w:szCs w:val="24"/>
        </w:rPr>
        <w:t>To illustrate this idea, consider two investment strateg</w:t>
      </w:r>
      <w:r w:rsidR="00C452B3">
        <w:rPr>
          <w:sz w:val="24"/>
          <w:szCs w:val="24"/>
        </w:rPr>
        <w:t xml:space="preserve">ies: invest in a two-year zero-coupon bond with face value $100; invest in a one-year zero-coupon bond, collect all the proceeds, and reinvest in a one-year zero-coupon bond one year later to have $100 at maturity. Denote the spot rate at time </w:t>
      </w:r>
      <w:proofErr w:type="spellStart"/>
      <w:r w:rsidR="00C452B3">
        <w:rPr>
          <w:sz w:val="24"/>
          <w:szCs w:val="24"/>
        </w:rPr>
        <w:t>i</w:t>
      </w:r>
      <w:proofErr w:type="spellEnd"/>
      <w:r w:rsidR="00C452B3">
        <w:rPr>
          <w:sz w:val="24"/>
          <w:szCs w:val="24"/>
        </w:rPr>
        <w:t xml:space="preserve"> for bonds maturing at time j as </w:t>
      </w:r>
      <w:proofErr w:type="spellStart"/>
      <w:r w:rsidR="00C452B3">
        <w:rPr>
          <w:sz w:val="24"/>
          <w:szCs w:val="24"/>
        </w:rPr>
        <w:t>r</w:t>
      </w:r>
      <w:r w:rsidR="00C452B3" w:rsidRPr="00C452B3">
        <w:rPr>
          <w:sz w:val="24"/>
          <w:szCs w:val="24"/>
          <w:vertAlign w:val="subscript"/>
        </w:rPr>
        <w:t>ij</w:t>
      </w:r>
      <w:proofErr w:type="spellEnd"/>
      <w:r w:rsidR="00C452B3">
        <w:rPr>
          <w:sz w:val="24"/>
          <w:szCs w:val="24"/>
        </w:rPr>
        <w:t>. The return of the first strategy is (1+</w:t>
      </w:r>
      <w:r w:rsidR="00C452B3" w:rsidRPr="00C452B3">
        <w:rPr>
          <w:sz w:val="24"/>
          <w:szCs w:val="24"/>
        </w:rPr>
        <w:t xml:space="preserve"> </w:t>
      </w:r>
      <w:r w:rsidR="00C452B3">
        <w:rPr>
          <w:sz w:val="24"/>
          <w:szCs w:val="24"/>
        </w:rPr>
        <w:t>r</w:t>
      </w:r>
      <w:r w:rsidR="00C452B3">
        <w:rPr>
          <w:sz w:val="24"/>
          <w:szCs w:val="24"/>
          <w:vertAlign w:val="subscript"/>
        </w:rPr>
        <w:t>02</w:t>
      </w:r>
      <w:r w:rsidR="00C452B3">
        <w:rPr>
          <w:sz w:val="24"/>
          <w:szCs w:val="24"/>
        </w:rPr>
        <w:t>)</w:t>
      </w:r>
      <w:r w:rsidR="00C452B3" w:rsidRPr="00C452B3">
        <w:rPr>
          <w:sz w:val="24"/>
          <w:szCs w:val="24"/>
          <w:vertAlign w:val="superscript"/>
        </w:rPr>
        <w:t>2</w:t>
      </w:r>
      <w:r w:rsidR="00C452B3">
        <w:rPr>
          <w:sz w:val="24"/>
          <w:szCs w:val="24"/>
        </w:rPr>
        <w:t xml:space="preserve"> and the return for the second strategy is (1+r</w:t>
      </w:r>
      <w:proofErr w:type="gramStart"/>
      <w:r w:rsidR="00C452B3" w:rsidRPr="00C452B3">
        <w:rPr>
          <w:sz w:val="24"/>
          <w:szCs w:val="24"/>
          <w:vertAlign w:val="subscript"/>
        </w:rPr>
        <w:t>01</w:t>
      </w:r>
      <w:r w:rsidR="00C452B3">
        <w:rPr>
          <w:sz w:val="24"/>
          <w:szCs w:val="24"/>
        </w:rPr>
        <w:t>)(</w:t>
      </w:r>
      <w:proofErr w:type="gramEnd"/>
      <w:r w:rsidR="00C452B3">
        <w:rPr>
          <w:sz w:val="24"/>
          <w:szCs w:val="24"/>
        </w:rPr>
        <w:t>1+r</w:t>
      </w:r>
      <w:r w:rsidR="00C452B3" w:rsidRPr="00C452B3">
        <w:rPr>
          <w:sz w:val="24"/>
          <w:szCs w:val="24"/>
          <w:vertAlign w:val="subscript"/>
        </w:rPr>
        <w:t>12</w:t>
      </w:r>
      <w:r w:rsidR="00C452B3">
        <w:rPr>
          <w:sz w:val="24"/>
          <w:szCs w:val="24"/>
        </w:rPr>
        <w:t xml:space="preserve">). These two returns should be the same to preclude arbitrage. Ignoring higher order terms, we will get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02</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num>
          <m:den>
            <m:r>
              <w:rPr>
                <w:rFonts w:ascii="Cambria Math" w:hAnsi="Cambria Math"/>
                <w:sz w:val="24"/>
                <w:szCs w:val="24"/>
              </w:rPr>
              <m:t>2</m:t>
            </m:r>
            <m:ctrlPr>
              <w:rPr>
                <w:rFonts w:ascii="Cambria Math" w:hAnsi="Cambria Math"/>
                <w:i/>
                <w:sz w:val="24"/>
                <w:szCs w:val="24"/>
              </w:rPr>
            </m:ctrlPr>
          </m:den>
        </m:f>
      </m:oMath>
      <w:r w:rsidR="00C452B3">
        <w:rPr>
          <w:sz w:val="24"/>
          <w:szCs w:val="24"/>
        </w:rPr>
        <w:t>.</w:t>
      </w:r>
      <w:r w:rsidR="00BA5483">
        <w:rPr>
          <w:sz w:val="24"/>
          <w:szCs w:val="24"/>
        </w:rPr>
        <w:t xml:space="preserve"> This equation shows that if the expected future rate r</w:t>
      </w:r>
      <w:r w:rsidR="00BA5483" w:rsidRPr="00BA5483">
        <w:rPr>
          <w:sz w:val="24"/>
          <w:szCs w:val="24"/>
          <w:vertAlign w:val="subscript"/>
        </w:rPr>
        <w:t>12</w:t>
      </w:r>
      <w:r w:rsidR="00BA5483">
        <w:rPr>
          <w:sz w:val="24"/>
          <w:szCs w:val="24"/>
        </w:rPr>
        <w:t xml:space="preserve"> is higher than r</w:t>
      </w:r>
      <w:r w:rsidR="00BA5483" w:rsidRPr="00BA5483">
        <w:rPr>
          <w:sz w:val="24"/>
          <w:szCs w:val="24"/>
          <w:vertAlign w:val="subscript"/>
        </w:rPr>
        <w:t>01</w:t>
      </w:r>
      <w:r w:rsidR="00BA5483">
        <w:rPr>
          <w:sz w:val="24"/>
          <w:szCs w:val="24"/>
        </w:rPr>
        <w:t>, r</w:t>
      </w:r>
      <w:r w:rsidR="00BA5483" w:rsidRPr="00BA5483">
        <w:rPr>
          <w:sz w:val="24"/>
          <w:szCs w:val="24"/>
          <w:vertAlign w:val="subscript"/>
        </w:rPr>
        <w:t>02</w:t>
      </w:r>
      <w:r w:rsidR="00BA5483">
        <w:rPr>
          <w:sz w:val="24"/>
          <w:szCs w:val="24"/>
        </w:rPr>
        <w:t xml:space="preserve"> will be higher than r</w:t>
      </w:r>
      <w:r w:rsidR="00BA5483" w:rsidRPr="00BA5483">
        <w:rPr>
          <w:sz w:val="24"/>
          <w:szCs w:val="24"/>
          <w:vertAlign w:val="subscript"/>
        </w:rPr>
        <w:t>01</w:t>
      </w:r>
      <w:r w:rsidR="00BA5483">
        <w:rPr>
          <w:sz w:val="24"/>
          <w:szCs w:val="24"/>
        </w:rPr>
        <w:t xml:space="preserve"> so the yield curve has a positive slope. The theory could be extended to n periods where we have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n-1,n</m:t>
                </m:r>
              </m:sub>
            </m:sSub>
          </m:num>
          <m:den>
            <m:r>
              <w:rPr>
                <w:rFonts w:ascii="Cambria Math" w:hAnsi="Cambria Math"/>
                <w:sz w:val="24"/>
                <w:szCs w:val="24"/>
              </w:rPr>
              <m:t>n</m:t>
            </m:r>
            <m:ctrlPr>
              <w:rPr>
                <w:rFonts w:ascii="Cambria Math" w:hAnsi="Cambria Math"/>
                <w:i/>
                <w:sz w:val="24"/>
                <w:szCs w:val="24"/>
              </w:rPr>
            </m:ctrlPr>
          </m:den>
        </m:f>
      </m:oMath>
      <w:r w:rsidR="00BA5483">
        <w:rPr>
          <w:sz w:val="24"/>
          <w:szCs w:val="24"/>
        </w:rPr>
        <w:t>.</w:t>
      </w:r>
    </w:p>
    <w:p w14:paraId="1752E95B" w14:textId="2F83F04A" w:rsidR="00173C23" w:rsidRDefault="00173C23" w:rsidP="00742500">
      <w:pPr>
        <w:spacing w:line="480" w:lineRule="auto"/>
        <w:ind w:firstLine="360"/>
        <w:rPr>
          <w:sz w:val="24"/>
          <w:szCs w:val="24"/>
        </w:rPr>
      </w:pPr>
      <w:r>
        <w:rPr>
          <w:sz w:val="24"/>
          <w:szCs w:val="24"/>
        </w:rPr>
        <w:t>A major disadvantage of pure expectations theory is that it contradicts an empirical fact: the yield curve is almost always positively sloped. According to the theory, when the slope of yield curve is positive, expected future short-term rates are higher than spot rates, which clearly does not always hold.</w:t>
      </w:r>
    </w:p>
    <w:p w14:paraId="7243D408" w14:textId="51E5868B" w:rsidR="00BA5483" w:rsidRDefault="00BA5483" w:rsidP="00BA5483">
      <w:pPr>
        <w:pStyle w:val="ListParagraph"/>
        <w:numPr>
          <w:ilvl w:val="0"/>
          <w:numId w:val="4"/>
        </w:numPr>
        <w:spacing w:line="480" w:lineRule="auto"/>
        <w:rPr>
          <w:sz w:val="24"/>
          <w:szCs w:val="24"/>
        </w:rPr>
      </w:pPr>
      <w:r>
        <w:rPr>
          <w:sz w:val="24"/>
          <w:szCs w:val="24"/>
        </w:rPr>
        <w:t>Liquidity Premium Theory</w:t>
      </w:r>
    </w:p>
    <w:p w14:paraId="5CC1C491" w14:textId="5D414672" w:rsidR="00C97A5C" w:rsidRDefault="00EB7FDF" w:rsidP="00981930">
      <w:pPr>
        <w:spacing w:line="480" w:lineRule="auto"/>
        <w:ind w:firstLine="360"/>
        <w:rPr>
          <w:sz w:val="24"/>
          <w:szCs w:val="24"/>
        </w:rPr>
      </w:pPr>
      <w:r>
        <w:rPr>
          <w:sz w:val="24"/>
          <w:szCs w:val="24"/>
        </w:rPr>
        <w:t>To fix the strong assumption that individuals do not have preference over different maturities</w:t>
      </w:r>
      <w:r w:rsidR="00173C23">
        <w:rPr>
          <w:sz w:val="24"/>
          <w:szCs w:val="24"/>
        </w:rPr>
        <w:t xml:space="preserve"> and its corresponding theoretical disadvantage</w:t>
      </w:r>
      <w:r>
        <w:rPr>
          <w:sz w:val="24"/>
          <w:szCs w:val="24"/>
        </w:rPr>
        <w:t xml:space="preserve">, John Hicks proposed the liquidity premium theory in his 1939 book </w:t>
      </w:r>
      <w:r w:rsidRPr="00EB7FDF">
        <w:rPr>
          <w:i/>
          <w:iCs/>
          <w:sz w:val="24"/>
          <w:szCs w:val="24"/>
        </w:rPr>
        <w:t>Value and Capital</w:t>
      </w:r>
      <w:r>
        <w:rPr>
          <w:sz w:val="24"/>
          <w:szCs w:val="24"/>
        </w:rPr>
        <w:t xml:space="preserve">. He argued that </w:t>
      </w:r>
      <w:r w:rsidR="00981930">
        <w:rPr>
          <w:sz w:val="24"/>
          <w:szCs w:val="24"/>
        </w:rPr>
        <w:t xml:space="preserve">bonds of different maturities can be substitutes to each other, but </w:t>
      </w:r>
      <w:r>
        <w:rPr>
          <w:sz w:val="24"/>
          <w:szCs w:val="24"/>
        </w:rPr>
        <w:t xml:space="preserve">individuals indeed prefer more liquid </w:t>
      </w:r>
      <w:r w:rsidR="00173C23">
        <w:rPr>
          <w:sz w:val="24"/>
          <w:szCs w:val="24"/>
        </w:rPr>
        <w:t>short-term</w:t>
      </w:r>
      <w:r>
        <w:rPr>
          <w:sz w:val="24"/>
          <w:szCs w:val="24"/>
        </w:rPr>
        <w:t xml:space="preserve"> bonds</w:t>
      </w:r>
      <w:r w:rsidR="00981930">
        <w:rPr>
          <w:sz w:val="24"/>
          <w:szCs w:val="24"/>
        </w:rPr>
        <w:t xml:space="preserve">. Therefore, </w:t>
      </w:r>
      <w:r w:rsidR="00943CC2">
        <w:rPr>
          <w:sz w:val="24"/>
          <w:szCs w:val="24"/>
        </w:rPr>
        <w:t>long-term</w:t>
      </w:r>
      <w:r>
        <w:rPr>
          <w:sz w:val="24"/>
          <w:szCs w:val="24"/>
        </w:rPr>
        <w:t xml:space="preserve"> interest rate should be the sum of average expected future </w:t>
      </w:r>
      <w:r w:rsidR="00981930">
        <w:rPr>
          <w:sz w:val="24"/>
          <w:szCs w:val="24"/>
        </w:rPr>
        <w:t>short-term</w:t>
      </w:r>
      <w:r>
        <w:rPr>
          <w:sz w:val="24"/>
          <w:szCs w:val="24"/>
        </w:rPr>
        <w:t xml:space="preserve"> rates </w:t>
      </w:r>
      <w:r w:rsidR="00981930">
        <w:rPr>
          <w:sz w:val="24"/>
          <w:szCs w:val="24"/>
        </w:rPr>
        <w:t>plus</w:t>
      </w:r>
      <w:r>
        <w:rPr>
          <w:sz w:val="24"/>
          <w:szCs w:val="24"/>
        </w:rPr>
        <w:t xml:space="preserve"> a liquidity premium. </w:t>
      </w:r>
      <w:r w:rsidR="00943CC2">
        <w:rPr>
          <w:sz w:val="24"/>
          <w:szCs w:val="24"/>
        </w:rPr>
        <w:t xml:space="preserve">That is,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n-1,n</m:t>
                </m:r>
              </m:sub>
            </m:sSub>
          </m:num>
          <m:den>
            <m:r>
              <w:rPr>
                <w:rFonts w:ascii="Cambria Math" w:hAnsi="Cambria Math"/>
                <w:sz w:val="24"/>
                <w:szCs w:val="24"/>
              </w:rPr>
              <m:t>n</m:t>
            </m:r>
            <m:ctrlPr>
              <w:rPr>
                <w:rFonts w:ascii="Cambria Math" w:hAnsi="Cambria Math"/>
                <w:i/>
                <w:sz w:val="24"/>
                <w:szCs w:val="24"/>
              </w:rPr>
            </m:ctrlP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lp</m:t>
            </m:r>
          </m:e>
          <m:sub>
            <m:r>
              <w:rPr>
                <w:rFonts w:ascii="Cambria Math" w:hAnsi="Cambria Math"/>
                <w:sz w:val="24"/>
                <w:szCs w:val="24"/>
              </w:rPr>
              <m:t>0n</m:t>
            </m:r>
          </m:sub>
        </m:sSub>
      </m:oMath>
      <w:r w:rsidR="00981930">
        <w:rPr>
          <w:sz w:val="24"/>
          <w:szCs w:val="24"/>
        </w:rPr>
        <w:t>. In general, liquidity premium increases with maturity but is ultimately determined by demand and supply.</w:t>
      </w:r>
    </w:p>
    <w:p w14:paraId="0D4E5AFD" w14:textId="0D168DB8" w:rsidR="00981930" w:rsidRPr="00981930" w:rsidRDefault="00981930" w:rsidP="00981930">
      <w:pPr>
        <w:spacing w:line="480" w:lineRule="auto"/>
        <w:ind w:firstLine="360"/>
        <w:rPr>
          <w:sz w:val="24"/>
          <w:szCs w:val="24"/>
        </w:rPr>
      </w:pPr>
      <w:r>
        <w:rPr>
          <w:sz w:val="24"/>
          <w:szCs w:val="24"/>
        </w:rPr>
        <w:t xml:space="preserve">Within this framework, the shape of yield curve does not necessarily reflect public’s expectation of future short-term rates. </w:t>
      </w:r>
      <w:r w:rsidR="00F021AC">
        <w:rPr>
          <w:sz w:val="24"/>
          <w:szCs w:val="24"/>
        </w:rPr>
        <w:t>Specifically</w:t>
      </w:r>
      <w:r>
        <w:rPr>
          <w:sz w:val="24"/>
          <w:szCs w:val="24"/>
        </w:rPr>
        <w:t xml:space="preserve">, </w:t>
      </w:r>
      <w:r w:rsidR="00FB2DFD">
        <w:rPr>
          <w:sz w:val="24"/>
          <w:szCs w:val="24"/>
        </w:rPr>
        <w:t>the yield curve could be positively sloped even if expected future rates are the same as spot rates. In addition, expected future rates could decline even if the yield curve is flat.</w:t>
      </w:r>
    </w:p>
    <w:p w14:paraId="36BE7EC8" w14:textId="2C23B1FF" w:rsidR="00C97A5C" w:rsidRDefault="00F021AC" w:rsidP="00F021AC">
      <w:pPr>
        <w:pStyle w:val="ListParagraph"/>
        <w:numPr>
          <w:ilvl w:val="0"/>
          <w:numId w:val="4"/>
        </w:numPr>
        <w:spacing w:line="480" w:lineRule="auto"/>
        <w:rPr>
          <w:sz w:val="24"/>
          <w:szCs w:val="24"/>
        </w:rPr>
      </w:pPr>
      <w:r>
        <w:rPr>
          <w:sz w:val="24"/>
          <w:szCs w:val="24"/>
        </w:rPr>
        <w:t>Market Segmentation Theory</w:t>
      </w:r>
    </w:p>
    <w:p w14:paraId="62F403A6" w14:textId="76755D1A" w:rsidR="007150B2" w:rsidRPr="00F021AC" w:rsidRDefault="00F021AC" w:rsidP="007150B2">
      <w:pPr>
        <w:spacing w:line="480" w:lineRule="auto"/>
        <w:ind w:firstLine="360"/>
        <w:rPr>
          <w:sz w:val="24"/>
          <w:szCs w:val="24"/>
        </w:rPr>
      </w:pPr>
      <w:r>
        <w:rPr>
          <w:sz w:val="24"/>
          <w:szCs w:val="24"/>
        </w:rPr>
        <w:t xml:space="preserve">Culbertson (1957) claimed that individuals have special preferences over bonds of different maturities so that these bonds cannot substitute each other at all. </w:t>
      </w:r>
      <w:r w:rsidR="007150B2">
        <w:rPr>
          <w:sz w:val="24"/>
          <w:szCs w:val="24"/>
        </w:rPr>
        <w:t>This leads to the market segmentation theory where interest rates of different maturities are independently determined by their own demand and supply.</w:t>
      </w:r>
    </w:p>
    <w:p w14:paraId="6754C497" w14:textId="2B041B96" w:rsidR="00C97A5C" w:rsidRDefault="007150B2" w:rsidP="0079209D">
      <w:pPr>
        <w:pStyle w:val="ListParagraph"/>
        <w:spacing w:line="480" w:lineRule="auto"/>
        <w:ind w:left="0" w:firstLine="360"/>
        <w:rPr>
          <w:sz w:val="24"/>
          <w:szCs w:val="24"/>
        </w:rPr>
      </w:pPr>
      <w:r>
        <w:rPr>
          <w:sz w:val="24"/>
          <w:szCs w:val="24"/>
        </w:rPr>
        <w:t xml:space="preserve">Imagine the scenario when an individual has a payment due in 5 years. If he is extremely risk adverse, he would be unwilling to buy a 10-year bond, which requires selling in 5 years, or a one-year bond that involves rolling the bond position each year and creates risk exposure for uncertain future interest rates. Then the only smart choice would be a 5-year bond. In this regard, the market segmentation theory would be applicable when interest rates are highly </w:t>
      </w:r>
      <w:r w:rsidR="00901E3C">
        <w:rPr>
          <w:sz w:val="24"/>
          <w:szCs w:val="24"/>
        </w:rPr>
        <w:t>volatile,</w:t>
      </w:r>
      <w:r>
        <w:rPr>
          <w:sz w:val="24"/>
          <w:szCs w:val="24"/>
        </w:rPr>
        <w:t xml:space="preserve"> and individuals do not want to take extra risk to make financial plans.</w:t>
      </w:r>
    </w:p>
    <w:p w14:paraId="07CCB5A1" w14:textId="7E61B8F0" w:rsidR="0075065E" w:rsidRDefault="00901E3C" w:rsidP="0079209D">
      <w:pPr>
        <w:pStyle w:val="ListParagraph"/>
        <w:spacing w:line="480" w:lineRule="auto"/>
        <w:ind w:left="0" w:firstLine="360"/>
        <w:rPr>
          <w:sz w:val="24"/>
          <w:szCs w:val="24"/>
        </w:rPr>
      </w:pPr>
      <w:r>
        <w:rPr>
          <w:sz w:val="24"/>
          <w:szCs w:val="24"/>
        </w:rPr>
        <w:t xml:space="preserve">There is also reasonable explanation for the generally upward sloping yield curve. In the short-term bond market, there is higher demand and lower supply due to liquidity preference. Therefore, even if bond issuers provide very low interest rates, the market would still reach equilibrium. This is not the case for long-term bond market, where </w:t>
      </w:r>
      <w:r>
        <w:rPr>
          <w:sz w:val="24"/>
          <w:szCs w:val="24"/>
        </w:rPr>
        <w:lastRenderedPageBreak/>
        <w:t xml:space="preserve">issuers </w:t>
      </w:r>
      <w:r w:rsidR="0080302F">
        <w:rPr>
          <w:sz w:val="24"/>
          <w:szCs w:val="24"/>
        </w:rPr>
        <w:t>must</w:t>
      </w:r>
      <w:r>
        <w:rPr>
          <w:sz w:val="24"/>
          <w:szCs w:val="24"/>
        </w:rPr>
        <w:t xml:space="preserve"> provide high interest rates to attract investors when demand is generally lower and supply is higher.</w:t>
      </w:r>
    </w:p>
    <w:p w14:paraId="3DFA19FA" w14:textId="0FAFD938" w:rsidR="0075065E" w:rsidRDefault="007150B2" w:rsidP="00901E3C">
      <w:pPr>
        <w:pStyle w:val="ListParagraph"/>
        <w:spacing w:line="480" w:lineRule="auto"/>
        <w:ind w:left="0" w:firstLine="360"/>
        <w:jc w:val="center"/>
        <w:rPr>
          <w:sz w:val="24"/>
          <w:szCs w:val="24"/>
        </w:rPr>
      </w:pPr>
      <w:r>
        <w:rPr>
          <w:noProof/>
          <w:sz w:val="24"/>
          <w:szCs w:val="24"/>
        </w:rPr>
        <w:drawing>
          <wp:inline distT="0" distB="0" distL="0" distR="0" wp14:anchorId="28E89332" wp14:editId="7D63BDCD">
            <wp:extent cx="4806950" cy="217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4558" cy="2179925"/>
                    </a:xfrm>
                    <a:prstGeom prst="rect">
                      <a:avLst/>
                    </a:prstGeom>
                  </pic:spPr>
                </pic:pic>
              </a:graphicData>
            </a:graphic>
          </wp:inline>
        </w:drawing>
      </w:r>
    </w:p>
    <w:p w14:paraId="682CF4C2" w14:textId="390C4295" w:rsidR="00901E3C" w:rsidRDefault="0080302F" w:rsidP="0080302F">
      <w:pPr>
        <w:pStyle w:val="ListParagraph"/>
        <w:numPr>
          <w:ilvl w:val="0"/>
          <w:numId w:val="4"/>
        </w:numPr>
        <w:spacing w:line="480" w:lineRule="auto"/>
        <w:rPr>
          <w:sz w:val="24"/>
          <w:szCs w:val="24"/>
        </w:rPr>
      </w:pPr>
      <w:r>
        <w:rPr>
          <w:sz w:val="24"/>
          <w:szCs w:val="24"/>
        </w:rPr>
        <w:t>Preferred Habitat Theory</w:t>
      </w:r>
    </w:p>
    <w:p w14:paraId="26632460" w14:textId="32FD91F1" w:rsidR="0080302F" w:rsidRDefault="0080302F" w:rsidP="0080302F">
      <w:pPr>
        <w:spacing w:line="480" w:lineRule="auto"/>
        <w:ind w:firstLine="360"/>
        <w:rPr>
          <w:sz w:val="24"/>
          <w:szCs w:val="24"/>
        </w:rPr>
      </w:pPr>
      <w:r>
        <w:rPr>
          <w:sz w:val="24"/>
          <w:szCs w:val="24"/>
        </w:rPr>
        <w:t xml:space="preserve">The most widely recognized attempt to combine all the theories above is the preferred habitat theory by Modigliani and </w:t>
      </w:r>
      <w:proofErr w:type="spellStart"/>
      <w:r>
        <w:rPr>
          <w:sz w:val="24"/>
          <w:szCs w:val="24"/>
        </w:rPr>
        <w:t>Sutch</w:t>
      </w:r>
      <w:proofErr w:type="spellEnd"/>
      <w:r>
        <w:rPr>
          <w:sz w:val="24"/>
          <w:szCs w:val="24"/>
        </w:rPr>
        <w:t xml:space="preserve"> (1966).</w:t>
      </w:r>
      <w:r w:rsidR="009E3FC9">
        <w:rPr>
          <w:sz w:val="24"/>
          <w:szCs w:val="24"/>
        </w:rPr>
        <w:t xml:space="preserve"> They defined the concept preferred habitat as individuals’ preference for bonds of certain maturities. However, this preference could be deviated if there is high enough yield on bonds of other maturities.</w:t>
      </w:r>
    </w:p>
    <w:p w14:paraId="595D4B98" w14:textId="0ADAF6A3" w:rsidR="009E3FC9" w:rsidRPr="009E3FC9" w:rsidRDefault="009E3FC9" w:rsidP="00E1725A">
      <w:pPr>
        <w:spacing w:line="480" w:lineRule="auto"/>
        <w:ind w:firstLine="360"/>
        <w:rPr>
          <w:sz w:val="24"/>
          <w:szCs w:val="24"/>
        </w:rPr>
      </w:pPr>
      <w:r>
        <w:rPr>
          <w:sz w:val="24"/>
          <w:szCs w:val="24"/>
        </w:rPr>
        <w:t xml:space="preserve">In the two-year investment scenario, if the preferred habitat is two-year bond, </w:t>
      </w:r>
      <w:r w:rsidR="00E1725A">
        <w:rPr>
          <w:sz w:val="24"/>
          <w:szCs w:val="24"/>
        </w:rPr>
        <w:t>for</w:t>
      </w:r>
      <w:r>
        <w:rPr>
          <w:sz w:val="24"/>
          <w:szCs w:val="24"/>
        </w:rPr>
        <w:t xml:space="preserve"> the individual to choose the rolling one-year investment, the difference between the return from the rolling investment and that of the two-year investment should be above a threshold. That is, we need </w:t>
      </w:r>
      <m:oMath>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m:t>
                </m:r>
              </m:sub>
            </m:sSub>
          </m:e>
        </m:d>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02</m:t>
                    </m:r>
                  </m:sub>
                </m:sSub>
              </m:e>
            </m:d>
          </m:e>
          <m:sup>
            <m:r>
              <w:rPr>
                <w:rFonts w:ascii="Cambria Math" w:hAnsi="Cambria Math"/>
                <w:sz w:val="24"/>
                <w:szCs w:val="24"/>
              </w:rPr>
              <m:t>2</m:t>
            </m:r>
          </m:sup>
        </m:sSup>
        <m: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R</m:t>
        </m:r>
      </m:oMath>
      <w:r>
        <w:rPr>
          <w:sz w:val="24"/>
          <w:szCs w:val="24"/>
        </w:rPr>
        <w:t xml:space="preserve">, where </w:t>
      </w:r>
      <m:oMath>
        <m:r>
          <m:rPr>
            <m:sty m:val="p"/>
          </m:rPr>
          <w:rPr>
            <w:rFonts w:ascii="Cambria Math" w:hAnsi="Cambria Math"/>
            <w:sz w:val="24"/>
            <w:szCs w:val="24"/>
          </w:rPr>
          <m:t>∆</m:t>
        </m:r>
        <m:r>
          <w:rPr>
            <w:rFonts w:ascii="Cambria Math" w:hAnsi="Cambria Math"/>
            <w:sz w:val="24"/>
            <w:szCs w:val="24"/>
          </w:rPr>
          <m:t>R</m:t>
        </m:r>
      </m:oMath>
      <w:r w:rsidR="005F0576">
        <w:rPr>
          <w:sz w:val="24"/>
          <w:szCs w:val="24"/>
        </w:rPr>
        <w:t xml:space="preserve"> is the proxy of individual’s maturity preference.</w:t>
      </w:r>
      <w:r w:rsidR="00E1725A">
        <w:rPr>
          <w:sz w:val="24"/>
          <w:szCs w:val="24"/>
        </w:rPr>
        <w:t xml:space="preserve"> Therefore, the equilibrium rate observable in the market is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02</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R</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oMath>
      <w:r w:rsidR="00E1725A">
        <w:rPr>
          <w:sz w:val="24"/>
          <w:szCs w:val="24"/>
        </w:rPr>
        <w:t>.</w:t>
      </w:r>
    </w:p>
    <w:p w14:paraId="3FC7602B" w14:textId="42244D0D" w:rsidR="00901E3C" w:rsidRDefault="00E1725A" w:rsidP="0079209D">
      <w:pPr>
        <w:pStyle w:val="ListParagraph"/>
        <w:spacing w:line="480" w:lineRule="auto"/>
        <w:ind w:left="0" w:firstLine="360"/>
        <w:rPr>
          <w:sz w:val="24"/>
          <w:szCs w:val="24"/>
        </w:rPr>
      </w:pPr>
      <w:r>
        <w:rPr>
          <w:sz w:val="24"/>
          <w:szCs w:val="24"/>
        </w:rPr>
        <w:t xml:space="preserve">The preferred habitat theory is very similar to the liquidity premium theory in that they have similar conclusion about long-term rates. The major difference is that the latter </w:t>
      </w:r>
      <w:r>
        <w:rPr>
          <w:sz w:val="24"/>
          <w:szCs w:val="24"/>
        </w:rPr>
        <w:lastRenderedPageBreak/>
        <w:t>only considers individuals’ liquidity preference while preferred habitat theory is more general and has a</w:t>
      </w:r>
      <w:r w:rsidR="00795DE2">
        <w:rPr>
          <w:sz w:val="24"/>
          <w:szCs w:val="24"/>
        </w:rPr>
        <w:t>n</w:t>
      </w:r>
      <w:r>
        <w:rPr>
          <w:sz w:val="24"/>
          <w:szCs w:val="24"/>
        </w:rPr>
        <w:t xml:space="preserve"> indirect approach</w:t>
      </w:r>
      <w:r w:rsidR="00795DE2">
        <w:rPr>
          <w:sz w:val="24"/>
          <w:szCs w:val="24"/>
        </w:rPr>
        <w:t xml:space="preserve"> in deriving long-term rates</w:t>
      </w:r>
      <w:r>
        <w:rPr>
          <w:sz w:val="24"/>
          <w:szCs w:val="24"/>
        </w:rPr>
        <w:t>.</w:t>
      </w:r>
    </w:p>
    <w:p w14:paraId="32235142" w14:textId="0FF11F81" w:rsidR="00901E3C" w:rsidRDefault="00901E3C" w:rsidP="0079209D">
      <w:pPr>
        <w:pStyle w:val="ListParagraph"/>
        <w:spacing w:line="480" w:lineRule="auto"/>
        <w:ind w:left="0" w:firstLine="360"/>
        <w:rPr>
          <w:sz w:val="24"/>
          <w:szCs w:val="24"/>
        </w:rPr>
      </w:pPr>
    </w:p>
    <w:p w14:paraId="30525921" w14:textId="77777777" w:rsidR="00901E3C" w:rsidRPr="00A8582D" w:rsidRDefault="00901E3C" w:rsidP="0079209D">
      <w:pPr>
        <w:pStyle w:val="ListParagraph"/>
        <w:spacing w:line="480" w:lineRule="auto"/>
        <w:ind w:left="0" w:firstLine="360"/>
        <w:rPr>
          <w:sz w:val="24"/>
          <w:szCs w:val="24"/>
        </w:rPr>
      </w:pPr>
    </w:p>
    <w:sectPr w:rsidR="00901E3C" w:rsidRPr="00A85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AFF"/>
    <w:multiLevelType w:val="hybridMultilevel"/>
    <w:tmpl w:val="225A2DFA"/>
    <w:lvl w:ilvl="0" w:tplc="2F8C883C">
      <w:start w:val="1"/>
      <w:numFmt w:val="bullet"/>
      <w:lvlText w:val=""/>
      <w:lvlJc w:val="left"/>
      <w:pPr>
        <w:tabs>
          <w:tab w:val="num" w:pos="720"/>
        </w:tabs>
        <w:ind w:left="720" w:hanging="360"/>
      </w:pPr>
      <w:rPr>
        <w:rFonts w:ascii="Wingdings" w:hAnsi="Wingdings" w:hint="default"/>
      </w:rPr>
    </w:lvl>
    <w:lvl w:ilvl="1" w:tplc="E1D0887C">
      <w:start w:val="1"/>
      <w:numFmt w:val="bullet"/>
      <w:lvlText w:val=""/>
      <w:lvlJc w:val="left"/>
      <w:pPr>
        <w:tabs>
          <w:tab w:val="num" w:pos="1440"/>
        </w:tabs>
        <w:ind w:left="1440" w:hanging="360"/>
      </w:pPr>
      <w:rPr>
        <w:rFonts w:ascii="Wingdings" w:hAnsi="Wingdings" w:hint="default"/>
      </w:rPr>
    </w:lvl>
    <w:lvl w:ilvl="2" w:tplc="A544A97A" w:tentative="1">
      <w:start w:val="1"/>
      <w:numFmt w:val="bullet"/>
      <w:lvlText w:val=""/>
      <w:lvlJc w:val="left"/>
      <w:pPr>
        <w:tabs>
          <w:tab w:val="num" w:pos="2160"/>
        </w:tabs>
        <w:ind w:left="2160" w:hanging="360"/>
      </w:pPr>
      <w:rPr>
        <w:rFonts w:ascii="Wingdings" w:hAnsi="Wingdings" w:hint="default"/>
      </w:rPr>
    </w:lvl>
    <w:lvl w:ilvl="3" w:tplc="62EA45F8" w:tentative="1">
      <w:start w:val="1"/>
      <w:numFmt w:val="bullet"/>
      <w:lvlText w:val=""/>
      <w:lvlJc w:val="left"/>
      <w:pPr>
        <w:tabs>
          <w:tab w:val="num" w:pos="2880"/>
        </w:tabs>
        <w:ind w:left="2880" w:hanging="360"/>
      </w:pPr>
      <w:rPr>
        <w:rFonts w:ascii="Wingdings" w:hAnsi="Wingdings" w:hint="default"/>
      </w:rPr>
    </w:lvl>
    <w:lvl w:ilvl="4" w:tplc="C3C4BB62" w:tentative="1">
      <w:start w:val="1"/>
      <w:numFmt w:val="bullet"/>
      <w:lvlText w:val=""/>
      <w:lvlJc w:val="left"/>
      <w:pPr>
        <w:tabs>
          <w:tab w:val="num" w:pos="3600"/>
        </w:tabs>
        <w:ind w:left="3600" w:hanging="360"/>
      </w:pPr>
      <w:rPr>
        <w:rFonts w:ascii="Wingdings" w:hAnsi="Wingdings" w:hint="default"/>
      </w:rPr>
    </w:lvl>
    <w:lvl w:ilvl="5" w:tplc="1144AEB8" w:tentative="1">
      <w:start w:val="1"/>
      <w:numFmt w:val="bullet"/>
      <w:lvlText w:val=""/>
      <w:lvlJc w:val="left"/>
      <w:pPr>
        <w:tabs>
          <w:tab w:val="num" w:pos="4320"/>
        </w:tabs>
        <w:ind w:left="4320" w:hanging="360"/>
      </w:pPr>
      <w:rPr>
        <w:rFonts w:ascii="Wingdings" w:hAnsi="Wingdings" w:hint="default"/>
      </w:rPr>
    </w:lvl>
    <w:lvl w:ilvl="6" w:tplc="3F8405FC" w:tentative="1">
      <w:start w:val="1"/>
      <w:numFmt w:val="bullet"/>
      <w:lvlText w:val=""/>
      <w:lvlJc w:val="left"/>
      <w:pPr>
        <w:tabs>
          <w:tab w:val="num" w:pos="5040"/>
        </w:tabs>
        <w:ind w:left="5040" w:hanging="360"/>
      </w:pPr>
      <w:rPr>
        <w:rFonts w:ascii="Wingdings" w:hAnsi="Wingdings" w:hint="default"/>
      </w:rPr>
    </w:lvl>
    <w:lvl w:ilvl="7" w:tplc="120EF428" w:tentative="1">
      <w:start w:val="1"/>
      <w:numFmt w:val="bullet"/>
      <w:lvlText w:val=""/>
      <w:lvlJc w:val="left"/>
      <w:pPr>
        <w:tabs>
          <w:tab w:val="num" w:pos="5760"/>
        </w:tabs>
        <w:ind w:left="5760" w:hanging="360"/>
      </w:pPr>
      <w:rPr>
        <w:rFonts w:ascii="Wingdings" w:hAnsi="Wingdings" w:hint="default"/>
      </w:rPr>
    </w:lvl>
    <w:lvl w:ilvl="8" w:tplc="57E675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B0EE2"/>
    <w:multiLevelType w:val="hybridMultilevel"/>
    <w:tmpl w:val="13480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29479F"/>
    <w:multiLevelType w:val="hybridMultilevel"/>
    <w:tmpl w:val="D0CE137A"/>
    <w:lvl w:ilvl="0" w:tplc="733C39C2">
      <w:start w:val="1"/>
      <w:numFmt w:val="bullet"/>
      <w:lvlText w:val=""/>
      <w:lvlJc w:val="left"/>
      <w:pPr>
        <w:tabs>
          <w:tab w:val="num" w:pos="720"/>
        </w:tabs>
        <w:ind w:left="720" w:hanging="360"/>
      </w:pPr>
      <w:rPr>
        <w:rFonts w:ascii="Wingdings" w:hAnsi="Wingdings" w:hint="default"/>
      </w:rPr>
    </w:lvl>
    <w:lvl w:ilvl="1" w:tplc="1B6C7DD6">
      <w:start w:val="1"/>
      <w:numFmt w:val="bullet"/>
      <w:lvlText w:val=""/>
      <w:lvlJc w:val="left"/>
      <w:pPr>
        <w:tabs>
          <w:tab w:val="num" w:pos="1440"/>
        </w:tabs>
        <w:ind w:left="1440" w:hanging="360"/>
      </w:pPr>
      <w:rPr>
        <w:rFonts w:ascii="Wingdings" w:hAnsi="Wingdings" w:hint="default"/>
      </w:rPr>
    </w:lvl>
    <w:lvl w:ilvl="2" w:tplc="09A0A178" w:tentative="1">
      <w:start w:val="1"/>
      <w:numFmt w:val="bullet"/>
      <w:lvlText w:val=""/>
      <w:lvlJc w:val="left"/>
      <w:pPr>
        <w:tabs>
          <w:tab w:val="num" w:pos="2160"/>
        </w:tabs>
        <w:ind w:left="2160" w:hanging="360"/>
      </w:pPr>
      <w:rPr>
        <w:rFonts w:ascii="Wingdings" w:hAnsi="Wingdings" w:hint="default"/>
      </w:rPr>
    </w:lvl>
    <w:lvl w:ilvl="3" w:tplc="E1144260" w:tentative="1">
      <w:start w:val="1"/>
      <w:numFmt w:val="bullet"/>
      <w:lvlText w:val=""/>
      <w:lvlJc w:val="left"/>
      <w:pPr>
        <w:tabs>
          <w:tab w:val="num" w:pos="2880"/>
        </w:tabs>
        <w:ind w:left="2880" w:hanging="360"/>
      </w:pPr>
      <w:rPr>
        <w:rFonts w:ascii="Wingdings" w:hAnsi="Wingdings" w:hint="default"/>
      </w:rPr>
    </w:lvl>
    <w:lvl w:ilvl="4" w:tplc="D5A60312" w:tentative="1">
      <w:start w:val="1"/>
      <w:numFmt w:val="bullet"/>
      <w:lvlText w:val=""/>
      <w:lvlJc w:val="left"/>
      <w:pPr>
        <w:tabs>
          <w:tab w:val="num" w:pos="3600"/>
        </w:tabs>
        <w:ind w:left="3600" w:hanging="360"/>
      </w:pPr>
      <w:rPr>
        <w:rFonts w:ascii="Wingdings" w:hAnsi="Wingdings" w:hint="default"/>
      </w:rPr>
    </w:lvl>
    <w:lvl w:ilvl="5" w:tplc="18BAF84E" w:tentative="1">
      <w:start w:val="1"/>
      <w:numFmt w:val="bullet"/>
      <w:lvlText w:val=""/>
      <w:lvlJc w:val="left"/>
      <w:pPr>
        <w:tabs>
          <w:tab w:val="num" w:pos="4320"/>
        </w:tabs>
        <w:ind w:left="4320" w:hanging="360"/>
      </w:pPr>
      <w:rPr>
        <w:rFonts w:ascii="Wingdings" w:hAnsi="Wingdings" w:hint="default"/>
      </w:rPr>
    </w:lvl>
    <w:lvl w:ilvl="6" w:tplc="703061C2" w:tentative="1">
      <w:start w:val="1"/>
      <w:numFmt w:val="bullet"/>
      <w:lvlText w:val=""/>
      <w:lvlJc w:val="left"/>
      <w:pPr>
        <w:tabs>
          <w:tab w:val="num" w:pos="5040"/>
        </w:tabs>
        <w:ind w:left="5040" w:hanging="360"/>
      </w:pPr>
      <w:rPr>
        <w:rFonts w:ascii="Wingdings" w:hAnsi="Wingdings" w:hint="default"/>
      </w:rPr>
    </w:lvl>
    <w:lvl w:ilvl="7" w:tplc="AD08B698" w:tentative="1">
      <w:start w:val="1"/>
      <w:numFmt w:val="bullet"/>
      <w:lvlText w:val=""/>
      <w:lvlJc w:val="left"/>
      <w:pPr>
        <w:tabs>
          <w:tab w:val="num" w:pos="5760"/>
        </w:tabs>
        <w:ind w:left="5760" w:hanging="360"/>
      </w:pPr>
      <w:rPr>
        <w:rFonts w:ascii="Wingdings" w:hAnsi="Wingdings" w:hint="default"/>
      </w:rPr>
    </w:lvl>
    <w:lvl w:ilvl="8" w:tplc="6ED8E7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86EB1"/>
    <w:multiLevelType w:val="hybridMultilevel"/>
    <w:tmpl w:val="0E121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4B"/>
    <w:rsid w:val="00081C15"/>
    <w:rsid w:val="000A1CB5"/>
    <w:rsid w:val="00153631"/>
    <w:rsid w:val="00173C23"/>
    <w:rsid w:val="0027785B"/>
    <w:rsid w:val="002C7C74"/>
    <w:rsid w:val="00395338"/>
    <w:rsid w:val="003968F6"/>
    <w:rsid w:val="003C34DC"/>
    <w:rsid w:val="00437B17"/>
    <w:rsid w:val="004E6A2C"/>
    <w:rsid w:val="0055796E"/>
    <w:rsid w:val="005F0576"/>
    <w:rsid w:val="007150B2"/>
    <w:rsid w:val="00722F11"/>
    <w:rsid w:val="00742500"/>
    <w:rsid w:val="0075065E"/>
    <w:rsid w:val="0079209D"/>
    <w:rsid w:val="00795DE2"/>
    <w:rsid w:val="007A1B32"/>
    <w:rsid w:val="007D285A"/>
    <w:rsid w:val="007E2C6B"/>
    <w:rsid w:val="0080302F"/>
    <w:rsid w:val="00865BC8"/>
    <w:rsid w:val="00867FD2"/>
    <w:rsid w:val="00882833"/>
    <w:rsid w:val="008E48D2"/>
    <w:rsid w:val="008F2B72"/>
    <w:rsid w:val="00901E3C"/>
    <w:rsid w:val="009154B6"/>
    <w:rsid w:val="00932B85"/>
    <w:rsid w:val="00943CC2"/>
    <w:rsid w:val="00981930"/>
    <w:rsid w:val="009832F7"/>
    <w:rsid w:val="009E3FC9"/>
    <w:rsid w:val="00A8582D"/>
    <w:rsid w:val="00AF6DA3"/>
    <w:rsid w:val="00B20F7C"/>
    <w:rsid w:val="00B71FEE"/>
    <w:rsid w:val="00BA5483"/>
    <w:rsid w:val="00BB077B"/>
    <w:rsid w:val="00BC73BD"/>
    <w:rsid w:val="00C0147C"/>
    <w:rsid w:val="00C12909"/>
    <w:rsid w:val="00C452B3"/>
    <w:rsid w:val="00C96647"/>
    <w:rsid w:val="00C97A5C"/>
    <w:rsid w:val="00CA4305"/>
    <w:rsid w:val="00CE6AA1"/>
    <w:rsid w:val="00E05489"/>
    <w:rsid w:val="00E1725A"/>
    <w:rsid w:val="00EA424B"/>
    <w:rsid w:val="00EB7FDF"/>
    <w:rsid w:val="00F021AC"/>
    <w:rsid w:val="00FB2DAF"/>
    <w:rsid w:val="00FB2DFD"/>
    <w:rsid w:val="00FE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A863"/>
  <w15:chartTrackingRefBased/>
  <w15:docId w15:val="{3E876D33-8CC5-473B-955D-4875481C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5A"/>
    <w:pPr>
      <w:ind w:left="720"/>
      <w:contextualSpacing/>
    </w:pPr>
  </w:style>
  <w:style w:type="table" w:styleId="TableGrid">
    <w:name w:val="Table Grid"/>
    <w:basedOn w:val="TableNormal"/>
    <w:uiPriority w:val="39"/>
    <w:rsid w:val="008828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5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02773">
      <w:bodyDiv w:val="1"/>
      <w:marLeft w:val="0"/>
      <w:marRight w:val="0"/>
      <w:marTop w:val="0"/>
      <w:marBottom w:val="0"/>
      <w:divBdr>
        <w:top w:val="none" w:sz="0" w:space="0" w:color="auto"/>
        <w:left w:val="none" w:sz="0" w:space="0" w:color="auto"/>
        <w:bottom w:val="none" w:sz="0" w:space="0" w:color="auto"/>
        <w:right w:val="none" w:sz="0" w:space="0" w:color="auto"/>
      </w:divBdr>
      <w:divsChild>
        <w:div w:id="997810737">
          <w:marLeft w:val="720"/>
          <w:marRight w:val="0"/>
          <w:marTop w:val="80"/>
          <w:marBottom w:val="40"/>
          <w:divBdr>
            <w:top w:val="none" w:sz="0" w:space="0" w:color="auto"/>
            <w:left w:val="none" w:sz="0" w:space="0" w:color="auto"/>
            <w:bottom w:val="none" w:sz="0" w:space="0" w:color="auto"/>
            <w:right w:val="none" w:sz="0" w:space="0" w:color="auto"/>
          </w:divBdr>
        </w:div>
      </w:divsChild>
    </w:div>
    <w:div w:id="556746258">
      <w:bodyDiv w:val="1"/>
      <w:marLeft w:val="0"/>
      <w:marRight w:val="0"/>
      <w:marTop w:val="0"/>
      <w:marBottom w:val="0"/>
      <w:divBdr>
        <w:top w:val="none" w:sz="0" w:space="0" w:color="auto"/>
        <w:left w:val="none" w:sz="0" w:space="0" w:color="auto"/>
        <w:bottom w:val="none" w:sz="0" w:space="0" w:color="auto"/>
        <w:right w:val="none" w:sz="0" w:space="0" w:color="auto"/>
      </w:divBdr>
      <w:divsChild>
        <w:div w:id="300890027">
          <w:marLeft w:val="720"/>
          <w:marRight w:val="0"/>
          <w:marTop w:val="80"/>
          <w:marBottom w:val="40"/>
          <w:divBdr>
            <w:top w:val="none" w:sz="0" w:space="0" w:color="auto"/>
            <w:left w:val="none" w:sz="0" w:space="0" w:color="auto"/>
            <w:bottom w:val="none" w:sz="0" w:space="0" w:color="auto"/>
            <w:right w:val="none" w:sz="0" w:space="0" w:color="auto"/>
          </w:divBdr>
        </w:div>
      </w:divsChild>
    </w:div>
    <w:div w:id="2137942143">
      <w:bodyDiv w:val="1"/>
      <w:marLeft w:val="0"/>
      <w:marRight w:val="0"/>
      <w:marTop w:val="0"/>
      <w:marBottom w:val="0"/>
      <w:divBdr>
        <w:top w:val="none" w:sz="0" w:space="0" w:color="auto"/>
        <w:left w:val="none" w:sz="0" w:space="0" w:color="auto"/>
        <w:bottom w:val="none" w:sz="0" w:space="0" w:color="auto"/>
        <w:right w:val="none" w:sz="0" w:space="0" w:color="auto"/>
      </w:divBdr>
      <w:divsChild>
        <w:div w:id="1335454507">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F25F-C452-41E4-B1C7-68DF2DBD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Hengwei Feng</dc:creator>
  <cp:keywords/>
  <dc:description/>
  <cp:lastModifiedBy>Hengwei Feng</cp:lastModifiedBy>
  <cp:revision>15</cp:revision>
  <dcterms:created xsi:type="dcterms:W3CDTF">2020-12-06T05:48:00Z</dcterms:created>
  <dcterms:modified xsi:type="dcterms:W3CDTF">2020-12-07T22:05:00Z</dcterms:modified>
</cp:coreProperties>
</file>