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Project Caspian — Phase 4 Master Scientific Report</w:t>
      </w:r>
    </w:p>
    <w:p>
      <w:r>
        <w:t>World Model Rollouts, Counterfactual Imagination &amp; Model-Based Planning</w:t>
        <w:br/>
      </w:r>
      <w:r>
        <w:t>Phase: Phase 4 — World Model | Layer B Permanent Scientific Record</w:t>
      </w:r>
    </w:p>
    <w:p>
      <w:r>
        <w:rPr>
          <w:b/>
          <w:color w:val="1B365D"/>
          <w:sz w:val="28"/>
        </w:rPr>
        <w:t>1. Executive Summary &amp; World Model Scope</w:t>
      </w:r>
    </w:p>
    <w:p>
      <w:r>
        <w:t>Phase 4 investigates whether Caspian transitions from purely reactive prediction to constructing an explicit internal world model. Using forward imagination rollouts (k in [1..5]) and model-based trajectory simulation, Caspian successfully plans optimal action sequences to maximize long-term environmental outcomes.</w:t>
      </w:r>
    </w:p>
    <w:p>
      <w:r>
        <w:rPr>
          <w:b/>
          <w:color w:val="1B365D"/>
          <w:sz w:val="28"/>
        </w:rPr>
        <w:t>2. Final Phase 4 Acceptance Criteria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Phase 4 Criterion Title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Empirical Result</w:t>
            </w:r>
          </w:p>
        </w:tc>
        <w:tc>
          <w:tcPr>
            <w:tcW w:type="dxa" w:w="1987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Multi-Step Forward Rollout Accuracy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World model outperforms persistence on rollouts k in [1..5].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Mean gap vs persistence: 2.56%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Model-Based Planning Advantage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Model-based planning agent outperforms reactive baseline policy.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Planning advantage: +75.0 reward delta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8-Seed Reproducibility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Consistent superiority across 8 independent random seeds.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Win rate: 8/8, consistent: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Episode Boundary Memory Isolation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cross-episode state or pending queue contamination.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100% reset: True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Semantic Firewall Compliance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Zero forbidden semantic tokens across all state vectors.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 violations across 100 audited transitions: True</w:t>
            </w:r>
          </w:p>
        </w:tc>
        <w:tc>
          <w:tcPr>
            <w:tcW w:type="dxa" w:w="198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/>
        <w:t>Final Scientific Conclusion: SUPPORTED — Phase 4 World Model &amp; Planning Fully Validated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