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B1156">
      <w:pPr>
        <w:spacing w:before="960"/>
        <w:jc w:val="center"/>
        <w:rPr>
          <w:rFonts w:ascii="Times New Roman" w:hAnsi="Times New Roman"/>
        </w:rPr>
      </w:pPr>
      <w:r>
        <w:rPr>
          <w:rFonts w:ascii="Times New Roman" w:hAnsi="Times New Roman" w:eastAsia="Noto Sans CJK SC"/>
          <w:b/>
          <w:color w:val="1F3763"/>
          <w:sz w:val="48"/>
        </w:rPr>
        <w:t>软件可行性分析报告</w:t>
      </w:r>
    </w:p>
    <w:p w14:paraId="7D6820FA">
      <w:pPr>
        <w:spacing w:before="360"/>
        <w:jc w:val="center"/>
        <w:rPr>
          <w:rFonts w:ascii="Times New Roman" w:hAnsi="Times New Roman"/>
        </w:rPr>
      </w:pPr>
      <w:r>
        <w:rPr>
          <w:rFonts w:ascii="Times New Roman" w:hAnsi="Times New Roman" w:eastAsia="Noto Sans CJK SC"/>
          <w:b/>
          <w:sz w:val="36"/>
        </w:rPr>
        <w:t>可视化校园自习室预约系统</w:t>
      </w:r>
    </w:p>
    <w:p w14:paraId="11F5FC93">
      <w:pPr>
        <w:spacing w:after="560"/>
        <w:jc w:val="center"/>
      </w:pPr>
      <w:r>
        <w:rPr>
          <w:rFonts w:ascii="Times New Roman" w:hAnsi="Times New Roman" w:eastAsia="Noto Sans CJK SC"/>
          <w:color w:val="666666"/>
          <w:sz w:val="24"/>
        </w:rPr>
        <w:t>参照 G</w:t>
      </w:r>
      <w:bookmarkStart w:id="0" w:name="_GoBack"/>
      <w:r>
        <w:rPr>
          <w:rFonts w:ascii="Times New Roman" w:hAnsi="Times New Roman" w:eastAsia="Noto Sans CJK SC"/>
          <w:color w:val="666666"/>
          <w:sz w:val="24"/>
        </w:rPr>
        <w:t>B/T 85</w:t>
      </w:r>
      <w:bookmarkEnd w:id="0"/>
      <w:r>
        <w:rPr>
          <w:rFonts w:ascii="Times New Roman" w:hAnsi="Times New Roman" w:eastAsia="Noto Sans CJK SC"/>
          <w:color w:val="666666"/>
          <w:sz w:val="24"/>
        </w:rPr>
        <w:t>67 附录A的软件项目可行性研究文档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519FB76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D9EAF7"/>
            <w:vAlign w:val="center"/>
          </w:tcPr>
          <w:p w14:paraId="27F1CAD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20"/>
              </w:rPr>
              <w:t>项目类型</w:t>
            </w:r>
          </w:p>
        </w:tc>
        <w:tc>
          <w:tcPr>
            <w:tcW w:w="4706" w:type="dxa"/>
            <w:vAlign w:val="center"/>
          </w:tcPr>
          <w:p w14:paraId="5FD43AD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20"/>
              </w:rPr>
              <w:t>校园信息化 / 预约管理 / 数据可视化</w:t>
            </w:r>
          </w:p>
        </w:tc>
      </w:tr>
      <w:tr w14:paraId="022FB6B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D9EAF7"/>
            <w:vAlign w:val="center"/>
          </w:tcPr>
          <w:p w14:paraId="310D45B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20"/>
              </w:rPr>
              <w:t>目标用户</w:t>
            </w:r>
          </w:p>
        </w:tc>
        <w:tc>
          <w:tcPr>
            <w:tcW w:w="4706" w:type="dxa"/>
            <w:vAlign w:val="center"/>
          </w:tcPr>
          <w:p w14:paraId="67EB44B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20"/>
              </w:rPr>
              <w:t>学生、教师、普通管理员、超级管理员、学院与图书馆管理部门</w:t>
            </w:r>
          </w:p>
        </w:tc>
      </w:tr>
      <w:tr w14:paraId="0A2EF0F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D9EAF7"/>
            <w:vAlign w:val="center"/>
          </w:tcPr>
          <w:p w14:paraId="17B98E1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20"/>
              </w:rPr>
              <w:t>修订依据</w:t>
            </w:r>
          </w:p>
        </w:tc>
        <w:tc>
          <w:tcPr>
            <w:tcW w:w="4706" w:type="dxa"/>
            <w:vAlign w:val="center"/>
          </w:tcPr>
          <w:p w14:paraId="268639B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20"/>
              </w:rPr>
              <w:t>用户指定栏目要求：项目背景、技术可行性、经济可行性、操作可行性、法律/社会可行性、风险分析、结论与建议</w:t>
            </w:r>
          </w:p>
        </w:tc>
      </w:tr>
      <w:tr w14:paraId="63E97C9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D9EAF7"/>
            <w:vAlign w:val="center"/>
          </w:tcPr>
          <w:p w14:paraId="1C0F511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20"/>
              </w:rPr>
              <w:t>文档版本</w:t>
            </w:r>
          </w:p>
        </w:tc>
        <w:tc>
          <w:tcPr>
            <w:tcW w:w="4706" w:type="dxa"/>
            <w:vAlign w:val="center"/>
          </w:tcPr>
          <w:p w14:paraId="7441194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20"/>
              </w:rPr>
              <w:t>V1.1（GB/T 8567 附录A修订版）</w:t>
            </w:r>
          </w:p>
        </w:tc>
      </w:tr>
      <w:tr w14:paraId="16AB196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D9EAF7"/>
            <w:vAlign w:val="center"/>
          </w:tcPr>
          <w:p w14:paraId="1CAD026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20"/>
              </w:rPr>
              <w:t>版本日期</w:t>
            </w:r>
          </w:p>
        </w:tc>
        <w:tc>
          <w:tcPr>
            <w:tcW w:w="4706" w:type="dxa"/>
            <w:vAlign w:val="center"/>
          </w:tcPr>
          <w:p w14:paraId="72299BE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20"/>
              </w:rPr>
              <w:t>2026 年 6 月 25 日</w:t>
            </w:r>
          </w:p>
        </w:tc>
      </w:tr>
      <w:tr w14:paraId="783058A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D9EAF7"/>
            <w:vAlign w:val="center"/>
          </w:tcPr>
          <w:p w14:paraId="527DBA1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20"/>
              </w:rPr>
              <w:t>结论摘要</w:t>
            </w:r>
          </w:p>
        </w:tc>
        <w:tc>
          <w:tcPr>
            <w:tcW w:w="4706" w:type="dxa"/>
            <w:vAlign w:val="center"/>
          </w:tcPr>
          <w:p w14:paraId="260031B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20"/>
              </w:rPr>
              <w:t>项目具备实施可行性，建议按最小可用产品优先建设，先试点后推广。</w:t>
            </w:r>
          </w:p>
        </w:tc>
      </w:tr>
    </w:tbl>
    <w:p w14:paraId="0C59A723"/>
    <w:tbl>
      <w:tblPr>
        <w:tblStyle w:val="33"/>
        <w:tblW w:w="0" w:type="auto"/>
        <w:jc w:val="center"/>
        <w:tblBorders>
          <w:top w:val="single" w:color="B4C6E7" w:sz="6" w:space="0"/>
          <w:left w:val="single" w:color="B4C6E7" w:sz="6" w:space="0"/>
          <w:bottom w:val="single" w:color="B4C6E7" w:sz="6" w:space="0"/>
          <w:right w:val="single" w:color="B4C6E7" w:sz="6" w:space="0"/>
          <w:insideH w:val="single" w:color="B4C6E7" w:sz="6" w:space="0"/>
          <w:insideV w:val="single" w:color="B4C6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560EB50">
        <w:tblPrEx>
          <w:tblBorders>
            <w:top w:val="single" w:color="B4C6E7" w:sz="6" w:space="0"/>
            <w:left w:val="single" w:color="B4C6E7" w:sz="6" w:space="0"/>
            <w:bottom w:val="single" w:color="B4C6E7" w:sz="6" w:space="0"/>
            <w:right w:val="single" w:color="B4C6E7" w:sz="6" w:space="0"/>
            <w:insideH w:val="single" w:color="B4C6E7" w:sz="6" w:space="0"/>
            <w:insideV w:val="single" w:color="B4C6E7" w:sz="6" w:space="0"/>
          </w:tblBorders>
        </w:tblPrEx>
        <w:trPr>
          <w:cantSplit/>
          <w:jc w:val="center"/>
        </w:trPr>
        <w:tc>
          <w:tcPr>
            <w:tcW w:w="9412" w:type="dxa"/>
            <w:shd w:val="clear" w:color="auto" w:fill="EAF2F8"/>
          </w:tcPr>
          <w:p w14:paraId="4AB94872">
            <w:pPr>
              <w:spacing w:after="40" w:line="264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Noto Sans CJK SC"/>
                <w:b/>
                <w:color w:val="1F3763"/>
                <w:sz w:val="20"/>
              </w:rPr>
              <w:t>总体判断</w:t>
            </w:r>
          </w:p>
          <w:p w14:paraId="34F6F346">
            <w:pPr>
              <w:spacing w:after="40" w:line="264" w:lineRule="auto"/>
            </w:pPr>
            <w:r>
              <w:rPr>
                <w:rFonts w:ascii="Times New Roman" w:hAnsi="Times New Roman" w:eastAsia="Noto Sans CJK SC"/>
                <w:sz w:val="19"/>
              </w:rPr>
              <w:t>本项目需求明确、技术路线成熟、建设成本可控，能够解决传统自习室排队占座、空座信息不透明、空间利用率低、违规占座难追踪和管理统计困难等问题。建议采用 Web + 移动端适配的 B/S 架构，首期上线座位可视化、在线预约、扫码签到、超时释放、违规规则与后台统计等核心能力。</w:t>
            </w:r>
          </w:p>
        </w:tc>
      </w:tr>
    </w:tbl>
    <w:p w14:paraId="30CEE4F7">
      <w:pPr>
        <w:rPr>
          <w:rFonts w:ascii="Times New Roman" w:hAnsi="Times New Roman"/>
        </w:rPr>
      </w:pPr>
    </w:p>
    <w:p w14:paraId="61BC38D6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06EA2F75">
      <w:pPr>
        <w:pStyle w:val="3"/>
        <w:spacing w:before="240" w:after="120"/>
      </w:pPr>
      <w:r>
        <w:rPr>
          <w:rFonts w:ascii="Times New Roman" w:hAnsi="Times New Roman" w:eastAsia="Noto Sans CJK SC"/>
          <w:b/>
          <w:color w:val="1F3763"/>
          <w:sz w:val="32"/>
        </w:rPr>
        <w:t>文档修订说明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15"/>
        <w:gridCol w:w="3515"/>
      </w:tblGrid>
      <w:tr w14:paraId="4A7D863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0A46BA1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修订项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404ACDC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原报告处理方式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74A4D1D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本版处理方式</w:t>
            </w:r>
          </w:p>
        </w:tc>
      </w:tr>
      <w:tr w14:paraId="4EB6C909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4680A6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章节结构</w:t>
            </w:r>
          </w:p>
        </w:tc>
        <w:tc>
          <w:tcPr>
            <w:tcW w:w="3515" w:type="dxa"/>
            <w:vAlign w:val="center"/>
          </w:tcPr>
          <w:p w14:paraId="0AB40B1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原报告按需求、技术、经济、操作、进度、合规、风险等维度展开。</w:t>
            </w:r>
          </w:p>
        </w:tc>
        <w:tc>
          <w:tcPr>
            <w:tcW w:w="3515" w:type="dxa"/>
            <w:vAlign w:val="center"/>
          </w:tcPr>
          <w:p w14:paraId="2F14D5F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按用户指定栏目和 GB/T 8567 附录A可行性分析习惯重组为七个主章节。</w:t>
            </w:r>
          </w:p>
        </w:tc>
      </w:tr>
      <w:tr w14:paraId="11C0E67E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3588A7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进度可行性</w:t>
            </w:r>
          </w:p>
        </w:tc>
        <w:tc>
          <w:tcPr>
            <w:tcW w:w="3515" w:type="dxa"/>
            <w:vAlign w:val="center"/>
          </w:tcPr>
          <w:p w14:paraId="1B2BD76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作为独立章节列出。</w:t>
            </w:r>
          </w:p>
        </w:tc>
        <w:tc>
          <w:tcPr>
            <w:tcW w:w="3515" w:type="dxa"/>
            <w:vAlign w:val="center"/>
          </w:tcPr>
          <w:p w14:paraId="3165CC3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并入“结论与建议”中的阶段实施建议，同时保留关键里程碑。</w:t>
            </w:r>
          </w:p>
        </w:tc>
      </w:tr>
      <w:tr w14:paraId="057D277D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D9260D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需求可行性</w:t>
            </w:r>
          </w:p>
        </w:tc>
        <w:tc>
          <w:tcPr>
            <w:tcW w:w="3515" w:type="dxa"/>
            <w:vAlign w:val="center"/>
          </w:tcPr>
          <w:p w14:paraId="20DCA28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作为独立章节列出用户痛点和功能需求。</w:t>
            </w:r>
          </w:p>
        </w:tc>
        <w:tc>
          <w:tcPr>
            <w:tcW w:w="3515" w:type="dxa"/>
            <w:vAlign w:val="center"/>
          </w:tcPr>
          <w:p w14:paraId="17223E3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并入“项目背景”和“操作可行性”，用于说明建设必要性和业务适配度。</w:t>
            </w:r>
          </w:p>
        </w:tc>
      </w:tr>
      <w:tr w14:paraId="564DC9CA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48418E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合规内容</w:t>
            </w:r>
          </w:p>
        </w:tc>
        <w:tc>
          <w:tcPr>
            <w:tcW w:w="3515" w:type="dxa"/>
            <w:vAlign w:val="center"/>
          </w:tcPr>
          <w:p w14:paraId="3A05835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原报告以法律、数据安全与合规可行性为章节。</w:t>
            </w:r>
          </w:p>
        </w:tc>
        <w:tc>
          <w:tcPr>
            <w:tcW w:w="3515" w:type="dxa"/>
            <w:vAlign w:val="center"/>
          </w:tcPr>
          <w:p w14:paraId="141299D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扩展为“法律/社会可行性”，补充公平性、用户接受度、社会影响和运营制度要求。</w:t>
            </w:r>
          </w:p>
        </w:tc>
      </w:tr>
      <w:tr w14:paraId="736C0A1C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41980A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风险内容</w:t>
            </w:r>
          </w:p>
        </w:tc>
        <w:tc>
          <w:tcPr>
            <w:tcW w:w="3515" w:type="dxa"/>
            <w:vAlign w:val="center"/>
          </w:tcPr>
          <w:p w14:paraId="1EE3265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列出风险、概率、影响和措施。</w:t>
            </w:r>
          </w:p>
        </w:tc>
        <w:tc>
          <w:tcPr>
            <w:tcW w:w="3515" w:type="dxa"/>
            <w:vAlign w:val="center"/>
          </w:tcPr>
          <w:p w14:paraId="19D7619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补充风险编号、风险等级、责任阶段、预防措施和应急措施，便于项目管理。</w:t>
            </w:r>
          </w:p>
        </w:tc>
      </w:tr>
    </w:tbl>
    <w:p w14:paraId="47EB394F">
      <w:pPr>
        <w:rPr>
          <w:rFonts w:ascii="Times New Roman" w:hAnsi="Times New Roman"/>
        </w:rPr>
      </w:pPr>
    </w:p>
    <w:p w14:paraId="544ABEAC">
      <w:pPr>
        <w:pStyle w:val="3"/>
        <w:spacing w:before="240" w:after="120"/>
      </w:pPr>
      <w:r>
        <w:rPr>
          <w:rFonts w:ascii="Times New Roman" w:hAnsi="Times New Roman" w:eastAsia="Noto Sans CJK SC"/>
          <w:b/>
          <w:color w:val="1F3763"/>
          <w:sz w:val="32"/>
        </w:rPr>
        <w:t>目录</w:t>
      </w:r>
    </w:p>
    <w:p w14:paraId="65852159">
      <w:pPr>
        <w:spacing w:after="40"/>
        <w:ind w:left="283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1"/>
        </w:rPr>
        <w:t>1. 项目背景</w:t>
      </w:r>
    </w:p>
    <w:p w14:paraId="05DCE5BE">
      <w:pPr>
        <w:spacing w:after="40"/>
        <w:ind w:left="283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1"/>
        </w:rPr>
        <w:t>2. 技术可行性</w:t>
      </w:r>
    </w:p>
    <w:p w14:paraId="07615DB7">
      <w:pPr>
        <w:spacing w:after="40"/>
        <w:ind w:left="283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1"/>
        </w:rPr>
        <w:t>3. 经济可行性</w:t>
      </w:r>
    </w:p>
    <w:p w14:paraId="111E2BBC">
      <w:pPr>
        <w:spacing w:after="40"/>
        <w:ind w:left="283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1"/>
        </w:rPr>
        <w:t>4. 操作可行性</w:t>
      </w:r>
    </w:p>
    <w:p w14:paraId="54FB24C5">
      <w:pPr>
        <w:spacing w:after="40"/>
        <w:ind w:left="283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1"/>
        </w:rPr>
        <w:t>5. 法律/社会可行性</w:t>
      </w:r>
    </w:p>
    <w:p w14:paraId="2FAE83F7">
      <w:pPr>
        <w:spacing w:after="40"/>
        <w:ind w:left="283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1"/>
        </w:rPr>
        <w:t>6. 风险分析</w:t>
      </w:r>
    </w:p>
    <w:p w14:paraId="0F828C4A">
      <w:pPr>
        <w:spacing w:after="40"/>
        <w:ind w:left="283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1"/>
        </w:rPr>
        <w:t>7. 结论与建议</w:t>
      </w:r>
    </w:p>
    <w:p w14:paraId="291C61C9">
      <w:pPr>
        <w:pStyle w:val="3"/>
        <w:spacing w:before="240" w:after="120"/>
      </w:pPr>
      <w:r>
        <w:rPr>
          <w:rFonts w:ascii="Times New Roman" w:hAnsi="Times New Roman" w:eastAsia="Noto Sans CJK SC"/>
          <w:b/>
          <w:color w:val="1F3763"/>
          <w:sz w:val="32"/>
        </w:rPr>
        <w:t>1. 项目背景</w:t>
      </w:r>
    </w:p>
    <w:p w14:paraId="20ECC7FC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1.1 项目提出背景</w:t>
      </w:r>
    </w:p>
    <w:p w14:paraId="74E90AE1">
      <w:pPr>
        <w:spacing w:after="120" w:line="300" w:lineRule="auto"/>
        <w:ind w:firstLine="420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1"/>
        </w:rPr>
        <w:t>高校图书馆、教学楼自习区和学院共享学习空间在考试周、课程周晚间和周末等时段存在明显的供需矛盾。传统线下找座、人工巡查和口头协调方式难以准确反映座位实时状态，容易出现排队找座、占座纠纷、座位空置与资源浪费并存等问题。</w:t>
      </w:r>
    </w:p>
    <w:p w14:paraId="538078E7">
      <w:pPr>
        <w:spacing w:after="120" w:line="300" w:lineRule="auto"/>
        <w:ind w:firstLine="420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1"/>
        </w:rPr>
        <w:t>可视化校园自习室预约系统面向校园自习空间管理场景，提供自习室与座位资源可视化展示、在线预约、扫码签到、暂离保留、违规管理、数据统计和后台配置等功能。系统建设目标是将线下占座和人工巡查转变为透明、可追踪、可统计的数字化管理流程。</w:t>
      </w:r>
    </w:p>
    <w:p w14:paraId="783F7801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1.2 建设必要性</w:t>
      </w:r>
    </w:p>
    <w:p w14:paraId="703CA40C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学生侧需要实时了解自习室开放状态、座位空闲情况和预约规则，降低盲目找座和无效排队成本。</w:t>
      </w:r>
    </w:p>
    <w:p w14:paraId="325ED229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管理员侧需要通过系统维护楼宇、房间、座位、开放时间、维修状态和违规策略，降低人工巡查和协调压力。</w:t>
      </w:r>
    </w:p>
    <w:p w14:paraId="63B0CF1C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管理部门需要掌握预约率、签到率、违约率、时段热度和空间利用率，为延长开放、调整布局和资源扩容提供数据依据。</w:t>
      </w:r>
    </w:p>
    <w:p w14:paraId="3F651C36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系统能够将预约、签到、释放、违规记录和统计分析形成闭环，为后续接入统一身份认证、消息通知、门禁或座位屏提供基础。</w:t>
      </w:r>
    </w:p>
    <w:p w14:paraId="0D2EEE22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1.3 项目目标与范围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535"/>
        <w:gridCol w:w="2721"/>
      </w:tblGrid>
      <w:tr w14:paraId="3ED79D07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2F5597"/>
            <w:vAlign w:val="center"/>
          </w:tcPr>
          <w:p w14:paraId="58BC0EA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w="4535" w:type="dxa"/>
            <w:shd w:val="clear" w:color="auto" w:fill="2F5597"/>
            <w:vAlign w:val="center"/>
          </w:tcPr>
          <w:p w14:paraId="217B0B7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2721" w:type="dxa"/>
            <w:shd w:val="clear" w:color="auto" w:fill="2F5597"/>
            <w:vAlign w:val="center"/>
          </w:tcPr>
          <w:p w14:paraId="76AFED6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说明</w:t>
            </w:r>
          </w:p>
        </w:tc>
      </w:tr>
      <w:tr w14:paraId="519563D5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3D4386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首期目标</w:t>
            </w:r>
          </w:p>
        </w:tc>
        <w:tc>
          <w:tcPr>
            <w:tcW w:w="4535" w:type="dxa"/>
            <w:vAlign w:val="center"/>
          </w:tcPr>
          <w:p w14:paraId="0B767F9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实现可视化查座、在线预约、取消预约、扫码签到、超时释放、后台资源配置和基础统计。</w:t>
            </w:r>
          </w:p>
        </w:tc>
        <w:tc>
          <w:tcPr>
            <w:tcW w:w="2721" w:type="dxa"/>
            <w:vAlign w:val="center"/>
          </w:tcPr>
          <w:p w14:paraId="3FEBBFD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保证系统具备可演示、可试运行的完整业务闭环。</w:t>
            </w:r>
          </w:p>
        </w:tc>
      </w:tr>
      <w:tr w14:paraId="04138F5E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334CE0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管理目标</w:t>
            </w:r>
          </w:p>
        </w:tc>
        <w:tc>
          <w:tcPr>
            <w:tcW w:w="4535" w:type="dxa"/>
            <w:vAlign w:val="center"/>
          </w:tcPr>
          <w:p w14:paraId="0B3D824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支持管理员配置校区、楼宇、房间、座位、开放时段、节假日、预约规则和违规处理策略。</w:t>
            </w:r>
          </w:p>
        </w:tc>
        <w:tc>
          <w:tcPr>
            <w:tcW w:w="2721" w:type="dxa"/>
            <w:vAlign w:val="center"/>
          </w:tcPr>
          <w:p w14:paraId="2453D76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降低后续维护对开发人员的依赖。</w:t>
            </w:r>
          </w:p>
        </w:tc>
      </w:tr>
      <w:tr w14:paraId="48B65A2A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A6F2D3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统计目标</w:t>
            </w:r>
          </w:p>
        </w:tc>
        <w:tc>
          <w:tcPr>
            <w:tcW w:w="4535" w:type="dxa"/>
            <w:vAlign w:val="center"/>
          </w:tcPr>
          <w:p w14:paraId="4E689E4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输出预约率、签到率、违约率、房间热度、时段热度和座位利用率等指标。</w:t>
            </w:r>
          </w:p>
        </w:tc>
        <w:tc>
          <w:tcPr>
            <w:tcW w:w="2721" w:type="dxa"/>
            <w:vAlign w:val="center"/>
          </w:tcPr>
          <w:p w14:paraId="5204241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支撑管理部门进行空间运营决策。</w:t>
            </w:r>
          </w:p>
        </w:tc>
      </w:tr>
      <w:tr w14:paraId="7352438D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4EE6B8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扩展目标</w:t>
            </w:r>
          </w:p>
        </w:tc>
        <w:tc>
          <w:tcPr>
            <w:tcW w:w="4535" w:type="dxa"/>
            <w:vAlign w:val="center"/>
          </w:tcPr>
          <w:p w14:paraId="6C4BA5F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预留统一身份认证、站内通知、短信/企业微信、门禁、座位屏和智能推荐接口。</w:t>
            </w:r>
          </w:p>
        </w:tc>
        <w:tc>
          <w:tcPr>
            <w:tcW w:w="2721" w:type="dxa"/>
            <w:vAlign w:val="center"/>
          </w:tcPr>
          <w:p w14:paraId="20D7F4E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扩展能力不作为首期上线阻塞条件。</w:t>
            </w:r>
          </w:p>
        </w:tc>
      </w:tr>
      <w:tr w14:paraId="54B2E5F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86BB50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不包含内容</w:t>
            </w:r>
          </w:p>
        </w:tc>
        <w:tc>
          <w:tcPr>
            <w:tcW w:w="4535" w:type="dxa"/>
            <w:vAlign w:val="center"/>
          </w:tcPr>
          <w:p w14:paraId="563C8B4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首期不强制建设复杂拖拽式地图编辑、实时定位硬件、门禁联动和 AI 容量预测。</w:t>
            </w:r>
          </w:p>
        </w:tc>
        <w:tc>
          <w:tcPr>
            <w:tcW w:w="2721" w:type="dxa"/>
            <w:vAlign w:val="center"/>
          </w:tcPr>
          <w:p w14:paraId="702DC43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避免首期范围过大导致风险升高。</w:t>
            </w:r>
          </w:p>
        </w:tc>
      </w:tr>
    </w:tbl>
    <w:p w14:paraId="1B7B4115">
      <w:pPr>
        <w:rPr>
          <w:rFonts w:ascii="Times New Roman" w:hAnsi="Times New Roman"/>
        </w:rPr>
      </w:pPr>
    </w:p>
    <w:p w14:paraId="5FA1D606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1.4 可行性评价方法</w:t>
      </w:r>
    </w:p>
    <w:p w14:paraId="46C6AB6C">
      <w:pPr>
        <w:spacing w:after="120" w:line="300" w:lineRule="auto"/>
        <w:ind w:firstLine="420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1"/>
        </w:rPr>
        <w:t>本报告从技术、经济、操作、法律/社会和风险控制五个维度评价项目是否值得实施、能否实施以及如何低风险实施。评价结论采用“高、较高、可控、需关注”等定性等级，并结合项目首期 MVP、试点运行和后续推广三个阶段提出建议。</w:t>
      </w:r>
    </w:p>
    <w:p w14:paraId="36C98663">
      <w:pPr>
        <w:pStyle w:val="3"/>
        <w:spacing w:before="240" w:after="120"/>
      </w:pPr>
      <w:r>
        <w:rPr>
          <w:rFonts w:ascii="Times New Roman" w:hAnsi="Times New Roman" w:eastAsia="Noto Sans CJK SC"/>
          <w:b/>
          <w:color w:val="1F3763"/>
          <w:sz w:val="32"/>
        </w:rPr>
        <w:t>2. 技术可行性</w:t>
      </w:r>
    </w:p>
    <w:p w14:paraId="43B7822F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2.1 技术路线</w:t>
      </w:r>
    </w:p>
    <w:p w14:paraId="659980AE">
      <w:pPr>
        <w:spacing w:after="120" w:line="300" w:lineRule="auto"/>
        <w:ind w:firstLine="420"/>
      </w:pPr>
      <w:r>
        <w:rPr>
          <w:rFonts w:ascii="Times New Roman" w:hAnsi="Times New Roman" w:eastAsia="Noto Sans CJK SC"/>
          <w:sz w:val="21"/>
        </w:rPr>
        <w:t>系统建议采用 B/S 架构，前端面向 PC 与移动端自适应，后端以 RESTful API 提供认证、资源、预约、签到、规则、违规和统计服务，数据库保存核心业务数据，缓存层承担热点座位状态查询和短期并发控制。该路线技术成熟、部署经验丰富，适合课程项目、校内试点和后续正式推广。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381"/>
        <w:gridCol w:w="3515"/>
        <w:gridCol w:w="1531"/>
      </w:tblGrid>
      <w:tr w14:paraId="2D0A2C3D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2F5597"/>
            <w:vAlign w:val="center"/>
          </w:tcPr>
          <w:p w14:paraId="0B8E4F7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层次</w:t>
            </w:r>
          </w:p>
        </w:tc>
        <w:tc>
          <w:tcPr>
            <w:tcW w:w="2381" w:type="dxa"/>
            <w:shd w:val="clear" w:color="auto" w:fill="2F5597"/>
            <w:vAlign w:val="center"/>
          </w:tcPr>
          <w:p w14:paraId="2C66D2E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建议方案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55EA666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主要职责</w:t>
            </w:r>
          </w:p>
        </w:tc>
        <w:tc>
          <w:tcPr>
            <w:tcW w:w="1531" w:type="dxa"/>
            <w:shd w:val="clear" w:color="auto" w:fill="2F5597"/>
            <w:vAlign w:val="center"/>
          </w:tcPr>
          <w:p w14:paraId="3E57B8A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可行性判断</w:t>
            </w:r>
          </w:p>
        </w:tc>
      </w:tr>
      <w:tr w14:paraId="009FEEA0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206ABBD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前端展示层</w:t>
            </w:r>
          </w:p>
        </w:tc>
        <w:tc>
          <w:tcPr>
            <w:tcW w:w="2381" w:type="dxa"/>
            <w:vAlign w:val="center"/>
          </w:tcPr>
          <w:p w14:paraId="73F7A8A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Vue 3 / React、TypeScript、ECharts 或 AntV</w:t>
            </w:r>
          </w:p>
        </w:tc>
        <w:tc>
          <w:tcPr>
            <w:tcW w:w="3515" w:type="dxa"/>
            <w:vAlign w:val="center"/>
          </w:tcPr>
          <w:p w14:paraId="0FF7BE7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实现登录、座位图、筛选检索、预约流程、后台表单和统计看板。</w:t>
            </w:r>
          </w:p>
        </w:tc>
        <w:tc>
          <w:tcPr>
            <w:tcW w:w="1531" w:type="dxa"/>
            <w:vAlign w:val="center"/>
          </w:tcPr>
          <w:p w14:paraId="61A0365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成熟可控，学习资料丰富。</w:t>
            </w:r>
          </w:p>
        </w:tc>
      </w:tr>
      <w:tr w14:paraId="7571F7FF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4E72123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后端服务层</w:t>
            </w:r>
          </w:p>
        </w:tc>
        <w:tc>
          <w:tcPr>
            <w:tcW w:w="2381" w:type="dxa"/>
            <w:vAlign w:val="center"/>
          </w:tcPr>
          <w:p w14:paraId="23996AF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Spring Boot / Node.js / Django</w:t>
            </w:r>
          </w:p>
        </w:tc>
        <w:tc>
          <w:tcPr>
            <w:tcW w:w="3515" w:type="dxa"/>
            <w:vAlign w:val="center"/>
          </w:tcPr>
          <w:p w14:paraId="5F09356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提供 RESTful API、鉴权、参数校验、预约事务、规则校验和报表聚合。</w:t>
            </w:r>
          </w:p>
        </w:tc>
        <w:tc>
          <w:tcPr>
            <w:tcW w:w="1531" w:type="dxa"/>
            <w:vAlign w:val="center"/>
          </w:tcPr>
          <w:p w14:paraId="0BC8B83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均可满足项目规模，团队可按熟悉程度选择。</w:t>
            </w:r>
          </w:p>
        </w:tc>
      </w:tr>
      <w:tr w14:paraId="1E812A36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31CAE95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数据存储层</w:t>
            </w:r>
          </w:p>
        </w:tc>
        <w:tc>
          <w:tcPr>
            <w:tcW w:w="2381" w:type="dxa"/>
            <w:vAlign w:val="center"/>
          </w:tcPr>
          <w:p w14:paraId="2AA2390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MySQL / PostgreSQL</w:t>
            </w:r>
          </w:p>
        </w:tc>
        <w:tc>
          <w:tcPr>
            <w:tcW w:w="3515" w:type="dxa"/>
            <w:vAlign w:val="center"/>
          </w:tcPr>
          <w:p w14:paraId="050A78A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保存用户、角色、校区、房间、座位、预约、签到、违规、规则和日志。</w:t>
            </w:r>
          </w:p>
        </w:tc>
        <w:tc>
          <w:tcPr>
            <w:tcW w:w="1531" w:type="dxa"/>
            <w:vAlign w:val="center"/>
          </w:tcPr>
          <w:p w14:paraId="0EE774A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关系明确，适合结构化建模。</w:t>
            </w:r>
          </w:p>
        </w:tc>
      </w:tr>
      <w:tr w14:paraId="17E60737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3EF70BD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缓存与并发层</w:t>
            </w:r>
          </w:p>
        </w:tc>
        <w:tc>
          <w:tcPr>
            <w:tcW w:w="2381" w:type="dxa"/>
            <w:vAlign w:val="center"/>
          </w:tcPr>
          <w:p w14:paraId="0A92D72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Redis 或数据库行级锁/唯一约束</w:t>
            </w:r>
          </w:p>
        </w:tc>
        <w:tc>
          <w:tcPr>
            <w:tcW w:w="3515" w:type="dxa"/>
            <w:vAlign w:val="center"/>
          </w:tcPr>
          <w:p w14:paraId="2E3630F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缓存热点状态、实现短期预约锁、防止重复提交。</w:t>
            </w:r>
          </w:p>
        </w:tc>
        <w:tc>
          <w:tcPr>
            <w:tcW w:w="1531" w:type="dxa"/>
            <w:vAlign w:val="center"/>
          </w:tcPr>
          <w:p w14:paraId="5AD3653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首期可先用数据库约束，后续再引入 Redis。</w:t>
            </w:r>
          </w:p>
        </w:tc>
      </w:tr>
      <w:tr w14:paraId="02E9F58C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74F66AB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部署运维层</w:t>
            </w:r>
          </w:p>
        </w:tc>
        <w:tc>
          <w:tcPr>
            <w:tcW w:w="2381" w:type="dxa"/>
            <w:vAlign w:val="center"/>
          </w:tcPr>
          <w:p w14:paraId="0C9C7F4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Linux Server、Nginx、Docker</w:t>
            </w:r>
          </w:p>
        </w:tc>
        <w:tc>
          <w:tcPr>
            <w:tcW w:w="3515" w:type="dxa"/>
            <w:vAlign w:val="center"/>
          </w:tcPr>
          <w:p w14:paraId="21E2D27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实现静态资源代理、后端服务部署、日志收集、备份和回滚。</w:t>
            </w:r>
          </w:p>
        </w:tc>
        <w:tc>
          <w:tcPr>
            <w:tcW w:w="1531" w:type="dxa"/>
            <w:vAlign w:val="center"/>
          </w:tcPr>
          <w:p w14:paraId="17D5428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通用方案，校内服务器易部署。</w:t>
            </w:r>
          </w:p>
        </w:tc>
      </w:tr>
      <w:tr w14:paraId="55DFF307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066B69B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外部集成层</w:t>
            </w:r>
          </w:p>
        </w:tc>
        <w:tc>
          <w:tcPr>
            <w:tcW w:w="2381" w:type="dxa"/>
            <w:vAlign w:val="center"/>
          </w:tcPr>
          <w:p w14:paraId="3448683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统一身份认证、二维码、消息平台、门禁/座位屏预留接口</w:t>
            </w:r>
          </w:p>
        </w:tc>
        <w:tc>
          <w:tcPr>
            <w:tcW w:w="3515" w:type="dxa"/>
            <w:vAlign w:val="center"/>
          </w:tcPr>
          <w:p w14:paraId="579205A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减少账号维护成本并提升到场核验能力。</w:t>
            </w:r>
          </w:p>
        </w:tc>
        <w:tc>
          <w:tcPr>
            <w:tcW w:w="1531" w:type="dxa"/>
            <w:vAlign w:val="center"/>
          </w:tcPr>
          <w:p w14:paraId="139C7EC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首期可模拟或预留接口，正式推广再接入。</w:t>
            </w:r>
          </w:p>
        </w:tc>
      </w:tr>
    </w:tbl>
    <w:p w14:paraId="1C9FDBC7">
      <w:pPr>
        <w:rPr>
          <w:rFonts w:ascii="Times New Roman" w:hAnsi="Times New Roman"/>
        </w:rPr>
      </w:pPr>
    </w:p>
    <w:p w14:paraId="102B1848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2.2 核心功能实现可行性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288"/>
        <w:gridCol w:w="2268"/>
        <w:gridCol w:w="1928"/>
      </w:tblGrid>
      <w:tr w14:paraId="7A0453C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2F5597"/>
            <w:vAlign w:val="center"/>
          </w:tcPr>
          <w:p w14:paraId="19F3FD9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w="3288" w:type="dxa"/>
            <w:shd w:val="clear" w:color="auto" w:fill="2F5597"/>
            <w:vAlign w:val="center"/>
          </w:tcPr>
          <w:p w14:paraId="6258E3B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实现思路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055791C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技术难点</w:t>
            </w:r>
          </w:p>
        </w:tc>
        <w:tc>
          <w:tcPr>
            <w:tcW w:w="1928" w:type="dxa"/>
            <w:shd w:val="clear" w:color="auto" w:fill="2F5597"/>
            <w:vAlign w:val="center"/>
          </w:tcPr>
          <w:p w14:paraId="1D41ED7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可行性结论</w:t>
            </w:r>
          </w:p>
        </w:tc>
      </w:tr>
      <w:tr w14:paraId="1DA506DD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F444A0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座位可视化</w:t>
            </w:r>
          </w:p>
        </w:tc>
        <w:tc>
          <w:tcPr>
            <w:tcW w:w="3288" w:type="dxa"/>
            <w:vAlign w:val="center"/>
          </w:tcPr>
          <w:p w14:paraId="5BC0C4F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以校区、楼宇、楼层、房间和座位坐标构建座位矩阵，按空闲、已约、使用中、维修、禁用等状态展示。</w:t>
            </w:r>
          </w:p>
        </w:tc>
        <w:tc>
          <w:tcPr>
            <w:tcW w:w="2268" w:type="dxa"/>
            <w:vAlign w:val="center"/>
          </w:tcPr>
          <w:p w14:paraId="5AAA331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平面图维护和状态实时性。</w:t>
            </w:r>
          </w:p>
        </w:tc>
        <w:tc>
          <w:tcPr>
            <w:tcW w:w="1928" w:type="dxa"/>
            <w:vAlign w:val="center"/>
          </w:tcPr>
          <w:p w14:paraId="6539D64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首期采用网格化布局即可落地。</w:t>
            </w:r>
          </w:p>
        </w:tc>
      </w:tr>
      <w:tr w14:paraId="6C3F68E5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45F5BA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在线预约</w:t>
            </w:r>
          </w:p>
        </w:tc>
        <w:tc>
          <w:tcPr>
            <w:tcW w:w="3288" w:type="dxa"/>
            <w:vAlign w:val="center"/>
          </w:tcPr>
          <w:p w14:paraId="6CB5CB0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用户选择日期、时间段和座位后，后端校验用户资格、时段冲突、违约限制、开放规则和座位状态。</w:t>
            </w:r>
          </w:p>
        </w:tc>
        <w:tc>
          <w:tcPr>
            <w:tcW w:w="2268" w:type="dxa"/>
            <w:vAlign w:val="center"/>
          </w:tcPr>
          <w:p w14:paraId="1005B58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并发提交和重复预约。</w:t>
            </w:r>
          </w:p>
        </w:tc>
        <w:tc>
          <w:tcPr>
            <w:tcW w:w="1928" w:type="dxa"/>
            <w:vAlign w:val="center"/>
          </w:tcPr>
          <w:p w14:paraId="593FC22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通过事务、唯一索引、幂等令牌和短锁可解决。</w:t>
            </w:r>
          </w:p>
        </w:tc>
      </w:tr>
      <w:tr w14:paraId="32D13384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78F5D4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扫码签到</w:t>
            </w:r>
          </w:p>
        </w:tc>
        <w:tc>
          <w:tcPr>
            <w:tcW w:w="3288" w:type="dxa"/>
            <w:vAlign w:val="center"/>
          </w:tcPr>
          <w:p w14:paraId="565A21A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房间或座位二维码携带资源标识和签名令牌，用户到场扫码完成预约核验。</w:t>
            </w:r>
          </w:p>
        </w:tc>
        <w:tc>
          <w:tcPr>
            <w:tcW w:w="2268" w:type="dxa"/>
            <w:vAlign w:val="center"/>
          </w:tcPr>
          <w:p w14:paraId="54EE75B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二维码伪造、异地签到。</w:t>
            </w:r>
          </w:p>
        </w:tc>
        <w:tc>
          <w:tcPr>
            <w:tcW w:w="1928" w:type="dxa"/>
            <w:vAlign w:val="center"/>
          </w:tcPr>
          <w:p w14:paraId="51EBEAB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首期可采用动态令牌或管理员核验，后续可叠加定位/门禁。</w:t>
            </w:r>
          </w:p>
        </w:tc>
      </w:tr>
      <w:tr w14:paraId="5D7BF3D2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31DB3E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暂离/续约</w:t>
            </w:r>
          </w:p>
        </w:tc>
        <w:tc>
          <w:tcPr>
            <w:tcW w:w="3288" w:type="dxa"/>
            <w:vAlign w:val="center"/>
          </w:tcPr>
          <w:p w14:paraId="64D85E2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使用状态进入暂离保留，到期自动恢复或释放；续约需再次校验时段、规则和冲突。</w:t>
            </w:r>
          </w:p>
        </w:tc>
        <w:tc>
          <w:tcPr>
            <w:tcW w:w="2268" w:type="dxa"/>
            <w:vAlign w:val="center"/>
          </w:tcPr>
          <w:p w14:paraId="1BDA57C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状态流转复杂。</w:t>
            </w:r>
          </w:p>
        </w:tc>
        <w:tc>
          <w:tcPr>
            <w:tcW w:w="1928" w:type="dxa"/>
            <w:vAlign w:val="center"/>
          </w:tcPr>
          <w:p w14:paraId="67759C6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采用状态机和定时任务可控。</w:t>
            </w:r>
          </w:p>
        </w:tc>
      </w:tr>
      <w:tr w14:paraId="32F9E2EA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2281BCC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违规管理</w:t>
            </w:r>
          </w:p>
        </w:tc>
        <w:tc>
          <w:tcPr>
            <w:tcW w:w="3288" w:type="dxa"/>
            <w:vAlign w:val="center"/>
          </w:tcPr>
          <w:p w14:paraId="6DF4EC4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超时未签到、超时未归还、恶意频繁预约等事件写入违规记录，并触发限制策略。</w:t>
            </w:r>
          </w:p>
        </w:tc>
        <w:tc>
          <w:tcPr>
            <w:tcW w:w="2268" w:type="dxa"/>
            <w:vAlign w:val="center"/>
          </w:tcPr>
          <w:p w14:paraId="3153E41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规则公平性和申诉处理。</w:t>
            </w:r>
          </w:p>
        </w:tc>
        <w:tc>
          <w:tcPr>
            <w:tcW w:w="1928" w:type="dxa"/>
            <w:vAlign w:val="center"/>
          </w:tcPr>
          <w:p w14:paraId="42764CF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可配置化处理，试运行期间动态调整。</w:t>
            </w:r>
          </w:p>
        </w:tc>
      </w:tr>
      <w:tr w14:paraId="76A52E83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251ECD8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统计看板</w:t>
            </w:r>
          </w:p>
        </w:tc>
        <w:tc>
          <w:tcPr>
            <w:tcW w:w="3288" w:type="dxa"/>
            <w:vAlign w:val="center"/>
          </w:tcPr>
          <w:p w14:paraId="75BB745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基于预约、签到、违规和座位状态日志按时间、房间、楼宇聚合统计。</w:t>
            </w:r>
          </w:p>
        </w:tc>
        <w:tc>
          <w:tcPr>
            <w:tcW w:w="2268" w:type="dxa"/>
            <w:vAlign w:val="center"/>
          </w:tcPr>
          <w:p w14:paraId="52FF88A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指标口径一致性。</w:t>
            </w:r>
          </w:p>
        </w:tc>
        <w:tc>
          <w:tcPr>
            <w:tcW w:w="1928" w:type="dxa"/>
            <w:vAlign w:val="center"/>
          </w:tcPr>
          <w:p w14:paraId="6A0FBBB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数据结构天然支持聚合，需统一指标定义。</w:t>
            </w:r>
          </w:p>
        </w:tc>
      </w:tr>
    </w:tbl>
    <w:p w14:paraId="3958B9B5">
      <w:pPr>
        <w:rPr>
          <w:rFonts w:ascii="Times New Roman" w:hAnsi="Times New Roman"/>
        </w:rPr>
      </w:pPr>
    </w:p>
    <w:p w14:paraId="3F36A14F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2.3 数据与一致性可行性</w:t>
      </w:r>
    </w:p>
    <w:p w14:paraId="41A4FA91">
      <w:pPr>
        <w:spacing w:after="120" w:line="300" w:lineRule="auto"/>
        <w:ind w:firstLine="420"/>
      </w:pPr>
      <w:r>
        <w:rPr>
          <w:rFonts w:ascii="Times New Roman" w:hAnsi="Times New Roman" w:eastAsia="Noto Sans CJK SC"/>
          <w:sz w:val="21"/>
        </w:rPr>
        <w:t>系统核心实体包括用户、角色、校区、楼宇、房间、座位、预约、签到、违规记录、开放时段、规则配置、通知记录和审计日志。实体关系清晰，能够通过关系型数据库完成建模。预约写入必须以数据库实时校验为准，前端仅展示状态，不得自行判定预约成功。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288"/>
        <w:gridCol w:w="3969"/>
      </w:tblGrid>
      <w:tr w14:paraId="1A6CAB08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2F5597"/>
            <w:vAlign w:val="center"/>
          </w:tcPr>
          <w:p w14:paraId="3F79A9A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w="3288" w:type="dxa"/>
            <w:shd w:val="clear" w:color="auto" w:fill="2F5597"/>
            <w:vAlign w:val="center"/>
          </w:tcPr>
          <w:p w14:paraId="53BECC6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关键字段示例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68F05B2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设计要点</w:t>
            </w:r>
          </w:p>
        </w:tc>
      </w:tr>
      <w:tr w14:paraId="10FE2A0A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5BFD92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用户 user</w:t>
            </w:r>
          </w:p>
        </w:tc>
        <w:tc>
          <w:tcPr>
            <w:tcW w:w="3288" w:type="dxa"/>
            <w:vAlign w:val="center"/>
          </w:tcPr>
          <w:p w14:paraId="54BE0B3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user_id、学号/工号、姓名、学院、角色、状态</w:t>
            </w:r>
          </w:p>
        </w:tc>
        <w:tc>
          <w:tcPr>
            <w:tcW w:w="3969" w:type="dxa"/>
            <w:vAlign w:val="center"/>
          </w:tcPr>
          <w:p w14:paraId="1EBEA4B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优先复用校园统一身份认证信息，避免重复采集。</w:t>
            </w:r>
          </w:p>
        </w:tc>
      </w:tr>
      <w:tr w14:paraId="5A4C2DD9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57E0EA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房间 room</w:t>
            </w:r>
          </w:p>
        </w:tc>
        <w:tc>
          <w:tcPr>
            <w:tcW w:w="3288" w:type="dxa"/>
            <w:vAlign w:val="center"/>
          </w:tcPr>
          <w:p w14:paraId="0A10006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room_id、building_id、名称、容量、开放状态、管理员范围</w:t>
            </w:r>
          </w:p>
        </w:tc>
        <w:tc>
          <w:tcPr>
            <w:tcW w:w="3969" w:type="dxa"/>
            <w:vAlign w:val="center"/>
          </w:tcPr>
          <w:p w14:paraId="2B4CCE8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支撑按校区、楼宇和楼层查询。</w:t>
            </w:r>
          </w:p>
        </w:tc>
      </w:tr>
      <w:tr w14:paraId="52A62547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2DF231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座位 seat</w:t>
            </w:r>
          </w:p>
        </w:tc>
        <w:tc>
          <w:tcPr>
            <w:tcW w:w="3288" w:type="dxa"/>
            <w:vAlign w:val="center"/>
          </w:tcPr>
          <w:p w14:paraId="74DF7AD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seat_id、room_id、编号、x/y 坐标、基础状态、插座标记</w:t>
            </w:r>
          </w:p>
        </w:tc>
        <w:tc>
          <w:tcPr>
            <w:tcW w:w="3969" w:type="dxa"/>
            <w:vAlign w:val="center"/>
          </w:tcPr>
          <w:p w14:paraId="70FB29C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支撑平面图定位、维修和禁用。</w:t>
            </w:r>
          </w:p>
        </w:tc>
      </w:tr>
      <w:tr w14:paraId="4B2918C3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8C479D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预约 booking</w:t>
            </w:r>
          </w:p>
        </w:tc>
        <w:tc>
          <w:tcPr>
            <w:tcW w:w="3288" w:type="dxa"/>
            <w:vAlign w:val="center"/>
          </w:tcPr>
          <w:p w14:paraId="5A05F74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booking_id、user_id、seat_id、start_time、end_time、status</w:t>
            </w:r>
          </w:p>
        </w:tc>
        <w:tc>
          <w:tcPr>
            <w:tcW w:w="3969" w:type="dxa"/>
            <w:vAlign w:val="center"/>
          </w:tcPr>
          <w:p w14:paraId="7D423B5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按座位、日期、时段建立冲突约束。</w:t>
            </w:r>
          </w:p>
        </w:tc>
      </w:tr>
      <w:tr w14:paraId="571BCBE2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F92A17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签到 checkin</w:t>
            </w:r>
          </w:p>
        </w:tc>
        <w:tc>
          <w:tcPr>
            <w:tcW w:w="3288" w:type="dxa"/>
            <w:vAlign w:val="center"/>
          </w:tcPr>
          <w:p w14:paraId="7A3F4A6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checkin_id、booking_id、checkin_time、method、result</w:t>
            </w:r>
          </w:p>
        </w:tc>
        <w:tc>
          <w:tcPr>
            <w:tcW w:w="3969" w:type="dxa"/>
            <w:vAlign w:val="center"/>
          </w:tcPr>
          <w:p w14:paraId="6D64E03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用于判断到场、缺席和超时释放。</w:t>
            </w:r>
          </w:p>
        </w:tc>
      </w:tr>
      <w:tr w14:paraId="335B39B3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4C24AF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规则 rule</w:t>
            </w:r>
          </w:p>
        </w:tc>
        <w:tc>
          <w:tcPr>
            <w:tcW w:w="3288" w:type="dxa"/>
            <w:vAlign w:val="center"/>
          </w:tcPr>
          <w:p w14:paraId="699EE41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提前预约天数、最长预约时长、签到宽限期、违约阈值</w:t>
            </w:r>
          </w:p>
        </w:tc>
        <w:tc>
          <w:tcPr>
            <w:tcW w:w="3969" w:type="dxa"/>
            <w:vAlign w:val="center"/>
          </w:tcPr>
          <w:p w14:paraId="5B97D21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后台配置化，降低代码级变更。</w:t>
            </w:r>
          </w:p>
        </w:tc>
      </w:tr>
      <w:tr w14:paraId="37A11EC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8D6B4C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日志 audit_log</w:t>
            </w:r>
          </w:p>
        </w:tc>
        <w:tc>
          <w:tcPr>
            <w:tcW w:w="3288" w:type="dxa"/>
            <w:vAlign w:val="center"/>
          </w:tcPr>
          <w:p w14:paraId="09D0A39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operator_id、operation、target、before/after、time</w:t>
            </w:r>
          </w:p>
        </w:tc>
        <w:tc>
          <w:tcPr>
            <w:tcW w:w="3969" w:type="dxa"/>
            <w:vAlign w:val="center"/>
          </w:tcPr>
          <w:p w14:paraId="3504DCC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支撑追溯、审计和误操作恢复。</w:t>
            </w:r>
          </w:p>
        </w:tc>
      </w:tr>
    </w:tbl>
    <w:p w14:paraId="22780FE4">
      <w:pPr>
        <w:rPr>
          <w:rFonts w:ascii="Times New Roman" w:hAnsi="Times New Roman"/>
        </w:rPr>
      </w:pPr>
    </w:p>
    <w:p w14:paraId="291BB864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2.4 技术可行性结论</w:t>
      </w:r>
    </w:p>
    <w:tbl>
      <w:tblPr>
        <w:tblStyle w:val="33"/>
        <w:tblW w:w="0" w:type="auto"/>
        <w:jc w:val="center"/>
        <w:tblBorders>
          <w:top w:val="single" w:color="B4C6E7" w:sz="6" w:space="0"/>
          <w:left w:val="single" w:color="B4C6E7" w:sz="6" w:space="0"/>
          <w:bottom w:val="single" w:color="B4C6E7" w:sz="6" w:space="0"/>
          <w:right w:val="single" w:color="B4C6E7" w:sz="6" w:space="0"/>
          <w:insideH w:val="single" w:color="B4C6E7" w:sz="6" w:space="0"/>
          <w:insideV w:val="single" w:color="B4C6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7AEF775">
        <w:tblPrEx>
          <w:tblBorders>
            <w:top w:val="single" w:color="B4C6E7" w:sz="6" w:space="0"/>
            <w:left w:val="single" w:color="B4C6E7" w:sz="6" w:space="0"/>
            <w:bottom w:val="single" w:color="B4C6E7" w:sz="6" w:space="0"/>
            <w:right w:val="single" w:color="B4C6E7" w:sz="6" w:space="0"/>
            <w:insideH w:val="single" w:color="B4C6E7" w:sz="6" w:space="0"/>
            <w:insideV w:val="single" w:color="B4C6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shd w:val="clear" w:color="auto" w:fill="EAF2F8"/>
          </w:tcPr>
          <w:p w14:paraId="1055D7A7">
            <w:pPr>
              <w:spacing w:after="40" w:line="264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Noto Sans CJK SC"/>
                <w:b/>
                <w:color w:val="1F3763"/>
                <w:sz w:val="20"/>
              </w:rPr>
              <w:t>技术结论</w:t>
            </w:r>
          </w:p>
          <w:p w14:paraId="04E7F7D6">
            <w:pPr>
              <w:spacing w:after="40" w:line="264" w:lineRule="auto"/>
            </w:pPr>
            <w:r>
              <w:rPr>
                <w:rFonts w:ascii="Times New Roman" w:hAnsi="Times New Roman" w:eastAsia="Noto Sans CJK SC"/>
                <w:sz w:val="19"/>
              </w:rPr>
              <w:t>项目所需前端可视化、后端接口、关系型数据库、权限认证、二维码签到、缓存锁和数据统计均为成熟技术。核心难点集中在并发预约一致性、座位状态同步和规则口径统一，均可通过事务、唯一约束、状态机、定时任务和规范化数据模型解决。技术可行性评价为“高”。</w:t>
            </w:r>
          </w:p>
        </w:tc>
      </w:tr>
    </w:tbl>
    <w:p w14:paraId="38198150">
      <w:pPr>
        <w:rPr>
          <w:rFonts w:ascii="Times New Roman" w:hAnsi="Times New Roman"/>
        </w:rPr>
      </w:pPr>
    </w:p>
    <w:p w14:paraId="6A3B124A">
      <w:pPr>
        <w:pStyle w:val="3"/>
        <w:spacing w:before="240" w:after="120"/>
      </w:pPr>
      <w:r>
        <w:rPr>
          <w:rFonts w:ascii="Times New Roman" w:hAnsi="Times New Roman" w:eastAsia="Noto Sans CJK SC"/>
          <w:b/>
          <w:color w:val="1F3763"/>
          <w:sz w:val="32"/>
        </w:rPr>
        <w:t>3. 经济可行性</w:t>
      </w:r>
    </w:p>
    <w:p w14:paraId="64A84A7C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3.1 成本构成</w:t>
      </w:r>
    </w:p>
    <w:p w14:paraId="3281C595">
      <w:pPr>
        <w:spacing w:after="120" w:line="300" w:lineRule="auto"/>
        <w:ind w:firstLine="420"/>
      </w:pPr>
      <w:r>
        <w:rPr>
          <w:rFonts w:ascii="Times New Roman" w:hAnsi="Times New Roman" w:eastAsia="Noto Sans CJK SC"/>
          <w:sz w:val="21"/>
        </w:rPr>
        <w:t>项目主要成本包括软件开发、服务器部署、二维码或座位标识制作、运维维护、管理员培训和后续功能迭代。首期系统不依赖昂贵硬件，若作为课程设计或校内试点，可优先复用现有服务器、开源技术栈和普通二维码标识。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515"/>
        <w:gridCol w:w="1247"/>
        <w:gridCol w:w="2551"/>
      </w:tblGrid>
      <w:tr w14:paraId="2B188FFA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2F5597"/>
            <w:vAlign w:val="center"/>
          </w:tcPr>
          <w:p w14:paraId="34C698C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成本项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1355A6A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w="1247" w:type="dxa"/>
            <w:shd w:val="clear" w:color="auto" w:fill="2F5597"/>
            <w:vAlign w:val="center"/>
          </w:tcPr>
          <w:p w14:paraId="739D56E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成本水平</w:t>
            </w:r>
          </w:p>
        </w:tc>
        <w:tc>
          <w:tcPr>
            <w:tcW w:w="2551" w:type="dxa"/>
            <w:shd w:val="clear" w:color="auto" w:fill="2F5597"/>
            <w:vAlign w:val="center"/>
          </w:tcPr>
          <w:p w14:paraId="7BFD3E7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控制策略</w:t>
            </w:r>
          </w:p>
        </w:tc>
      </w:tr>
      <w:tr w14:paraId="139715EE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F138AF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软件开发</w:t>
            </w:r>
          </w:p>
        </w:tc>
        <w:tc>
          <w:tcPr>
            <w:tcW w:w="3515" w:type="dxa"/>
            <w:vAlign w:val="center"/>
          </w:tcPr>
          <w:p w14:paraId="48DFCD8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前端页面、后端 API、数据库、测试、部署脚本和文档。</w:t>
            </w:r>
          </w:p>
        </w:tc>
        <w:tc>
          <w:tcPr>
            <w:tcW w:w="1247" w:type="dxa"/>
            <w:vAlign w:val="center"/>
          </w:tcPr>
          <w:p w14:paraId="7414A31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中等</w:t>
            </w:r>
          </w:p>
        </w:tc>
        <w:tc>
          <w:tcPr>
            <w:tcW w:w="2551" w:type="dxa"/>
            <w:vAlign w:val="center"/>
          </w:tcPr>
          <w:p w14:paraId="78D053C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按 MVP 控制范围，先完成预约闭环。</w:t>
            </w:r>
          </w:p>
        </w:tc>
      </w:tr>
      <w:tr w14:paraId="70B4E159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85813D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服务器与网络</w:t>
            </w:r>
          </w:p>
        </w:tc>
        <w:tc>
          <w:tcPr>
            <w:tcW w:w="3515" w:type="dxa"/>
            <w:vAlign w:val="center"/>
          </w:tcPr>
          <w:p w14:paraId="738FAFF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应用服务器、数据库、反向代理、备份空间。</w:t>
            </w:r>
          </w:p>
        </w:tc>
        <w:tc>
          <w:tcPr>
            <w:tcW w:w="1247" w:type="dxa"/>
            <w:vAlign w:val="center"/>
          </w:tcPr>
          <w:p w14:paraId="2FE38EF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低至中等</w:t>
            </w:r>
          </w:p>
        </w:tc>
        <w:tc>
          <w:tcPr>
            <w:tcW w:w="2551" w:type="dxa"/>
            <w:vAlign w:val="center"/>
          </w:tcPr>
          <w:p w14:paraId="230AC85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优先使用校内服务器或云主机低配实例。</w:t>
            </w:r>
          </w:p>
        </w:tc>
      </w:tr>
      <w:tr w14:paraId="792ABB77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F72B6B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座位标识</w:t>
            </w:r>
          </w:p>
        </w:tc>
        <w:tc>
          <w:tcPr>
            <w:tcW w:w="3515" w:type="dxa"/>
            <w:vAlign w:val="center"/>
          </w:tcPr>
          <w:p w14:paraId="186F6C7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房间二维码、座位二维码、提示牌和规则说明。</w:t>
            </w:r>
          </w:p>
        </w:tc>
        <w:tc>
          <w:tcPr>
            <w:tcW w:w="1247" w:type="dxa"/>
            <w:vAlign w:val="center"/>
          </w:tcPr>
          <w:p w14:paraId="3CCA8DD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低</w:t>
            </w:r>
          </w:p>
        </w:tc>
        <w:tc>
          <w:tcPr>
            <w:tcW w:w="2551" w:type="dxa"/>
            <w:vAlign w:val="center"/>
          </w:tcPr>
          <w:p w14:paraId="0DBFDB8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采用普通印刷二维码，后续再考虑电子屏。</w:t>
            </w:r>
          </w:p>
        </w:tc>
      </w:tr>
      <w:tr w14:paraId="6AAE8B3E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905676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运维维护</w:t>
            </w:r>
          </w:p>
        </w:tc>
        <w:tc>
          <w:tcPr>
            <w:tcW w:w="3515" w:type="dxa"/>
            <w:vAlign w:val="center"/>
          </w:tcPr>
          <w:p w14:paraId="2D653DA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日志监控、备份恢复、规则调整、故障处理。</w:t>
            </w:r>
          </w:p>
        </w:tc>
        <w:tc>
          <w:tcPr>
            <w:tcW w:w="1247" w:type="dxa"/>
            <w:vAlign w:val="center"/>
          </w:tcPr>
          <w:p w14:paraId="1245988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低至中等</w:t>
            </w:r>
          </w:p>
        </w:tc>
        <w:tc>
          <w:tcPr>
            <w:tcW w:w="2551" w:type="dxa"/>
            <w:vAlign w:val="center"/>
          </w:tcPr>
          <w:p w14:paraId="187BA6A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容器化部署，编写操作手册和备份流程。</w:t>
            </w:r>
          </w:p>
        </w:tc>
      </w:tr>
      <w:tr w14:paraId="1E2C02A8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58395AC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培训推广</w:t>
            </w:r>
          </w:p>
        </w:tc>
        <w:tc>
          <w:tcPr>
            <w:tcW w:w="3515" w:type="dxa"/>
            <w:vAlign w:val="center"/>
          </w:tcPr>
          <w:p w14:paraId="160EC2F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管理员培训、学生使用说明、试点反馈收集。</w:t>
            </w:r>
          </w:p>
        </w:tc>
        <w:tc>
          <w:tcPr>
            <w:tcW w:w="1247" w:type="dxa"/>
            <w:vAlign w:val="center"/>
          </w:tcPr>
          <w:p w14:paraId="2B175A0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低</w:t>
            </w:r>
          </w:p>
        </w:tc>
        <w:tc>
          <w:tcPr>
            <w:tcW w:w="2551" w:type="dxa"/>
            <w:vAlign w:val="center"/>
          </w:tcPr>
          <w:p w14:paraId="668F3A5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通过入口提示、公告和短视频/图文说明降低培训成本。</w:t>
            </w:r>
          </w:p>
        </w:tc>
      </w:tr>
      <w:tr w14:paraId="6CB1C7D5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26A5CB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后续集成</w:t>
            </w:r>
          </w:p>
        </w:tc>
        <w:tc>
          <w:tcPr>
            <w:tcW w:w="3515" w:type="dxa"/>
            <w:vAlign w:val="center"/>
          </w:tcPr>
          <w:p w14:paraId="73EA951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统一身份认证、消息平台、门禁或座位屏。</w:t>
            </w:r>
          </w:p>
        </w:tc>
        <w:tc>
          <w:tcPr>
            <w:tcW w:w="1247" w:type="dxa"/>
            <w:vAlign w:val="center"/>
          </w:tcPr>
          <w:p w14:paraId="3C74C67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中等</w:t>
            </w:r>
          </w:p>
        </w:tc>
        <w:tc>
          <w:tcPr>
            <w:tcW w:w="2551" w:type="dxa"/>
            <w:vAlign w:val="center"/>
          </w:tcPr>
          <w:p w14:paraId="11E9A13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分阶段建设，避免首期集成过多外部系统。</w:t>
            </w:r>
          </w:p>
        </w:tc>
      </w:tr>
    </w:tbl>
    <w:p w14:paraId="10BF9A88">
      <w:pPr>
        <w:rPr>
          <w:rFonts w:ascii="Times New Roman" w:hAnsi="Times New Roman"/>
        </w:rPr>
      </w:pPr>
    </w:p>
    <w:p w14:paraId="3D625C9A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3.2 收益分析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912"/>
      </w:tblGrid>
      <w:tr w14:paraId="6ABF8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5E55DC7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收益类别</w:t>
            </w:r>
          </w:p>
        </w:tc>
        <w:tc>
          <w:tcPr>
            <w:tcW w:w="3118" w:type="dxa"/>
            <w:shd w:val="clear" w:color="auto" w:fill="2F5597"/>
            <w:vAlign w:val="center"/>
          </w:tcPr>
          <w:p w14:paraId="5B6D34D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收益表现</w:t>
            </w:r>
          </w:p>
        </w:tc>
        <w:tc>
          <w:tcPr>
            <w:tcW w:w="3912" w:type="dxa"/>
            <w:shd w:val="clear" w:color="auto" w:fill="2F5597"/>
            <w:vAlign w:val="center"/>
          </w:tcPr>
          <w:p w14:paraId="42413E4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说明</w:t>
            </w:r>
          </w:p>
        </w:tc>
      </w:tr>
      <w:tr w14:paraId="7C0E740C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6FD222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管理效率收益</w:t>
            </w:r>
          </w:p>
        </w:tc>
        <w:tc>
          <w:tcPr>
            <w:tcW w:w="3118" w:type="dxa"/>
            <w:vAlign w:val="center"/>
          </w:tcPr>
          <w:p w14:paraId="6CC5DE9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减少人工巡查、口头协调和线下纠纷处理。</w:t>
            </w:r>
          </w:p>
        </w:tc>
        <w:tc>
          <w:tcPr>
            <w:tcW w:w="3912" w:type="dxa"/>
            <w:vAlign w:val="center"/>
          </w:tcPr>
          <w:p w14:paraId="4113BC1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管理员可通过系统查看异常预约、违规记录和房间状态。</w:t>
            </w:r>
          </w:p>
        </w:tc>
      </w:tr>
      <w:tr w14:paraId="347D3330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6B8386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资源利用收益</w:t>
            </w:r>
          </w:p>
        </w:tc>
        <w:tc>
          <w:tcPr>
            <w:tcW w:w="3118" w:type="dxa"/>
            <w:vAlign w:val="center"/>
          </w:tcPr>
          <w:p w14:paraId="4EA578E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提升座位周转率和空闲资源可见性。</w:t>
            </w:r>
          </w:p>
        </w:tc>
        <w:tc>
          <w:tcPr>
            <w:tcW w:w="3912" w:type="dxa"/>
            <w:vAlign w:val="center"/>
          </w:tcPr>
          <w:p w14:paraId="1555198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超时释放、暂离到期和违约限制可减少“占而不用”。</w:t>
            </w:r>
          </w:p>
        </w:tc>
      </w:tr>
      <w:tr w14:paraId="6C91A6EB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239940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用户体验收益</w:t>
            </w:r>
          </w:p>
        </w:tc>
        <w:tc>
          <w:tcPr>
            <w:tcW w:w="3118" w:type="dxa"/>
            <w:vAlign w:val="center"/>
          </w:tcPr>
          <w:p w14:paraId="7C6309D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学生查座和预约路径缩短，状态提示更清晰。</w:t>
            </w:r>
          </w:p>
        </w:tc>
        <w:tc>
          <w:tcPr>
            <w:tcW w:w="3912" w:type="dxa"/>
            <w:vAlign w:val="center"/>
          </w:tcPr>
          <w:p w14:paraId="35C5886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学生端应在少量步骤内完成查座与预约。</w:t>
            </w:r>
          </w:p>
        </w:tc>
      </w:tr>
      <w:tr w14:paraId="75128AC9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550C7F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决策支持收益</w:t>
            </w:r>
          </w:p>
        </w:tc>
        <w:tc>
          <w:tcPr>
            <w:tcW w:w="3118" w:type="dxa"/>
            <w:vAlign w:val="center"/>
          </w:tcPr>
          <w:p w14:paraId="2944A56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形成开放时间、空间布局和扩容决策的数据依据。</w:t>
            </w:r>
          </w:p>
        </w:tc>
        <w:tc>
          <w:tcPr>
            <w:tcW w:w="3912" w:type="dxa"/>
            <w:vAlign w:val="center"/>
          </w:tcPr>
          <w:p w14:paraId="7127B33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按房间、日期、时段和楼宇分析供需矛盾。</w:t>
            </w:r>
          </w:p>
        </w:tc>
      </w:tr>
      <w:tr w14:paraId="012F6F65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1D7F6E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平台复用收益</w:t>
            </w:r>
          </w:p>
        </w:tc>
        <w:tc>
          <w:tcPr>
            <w:tcW w:w="3118" w:type="dxa"/>
            <w:vAlign w:val="center"/>
          </w:tcPr>
          <w:p w14:paraId="17BCBC4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可扩展为校园空间预约平台基础能力。</w:t>
            </w:r>
          </w:p>
        </w:tc>
        <w:tc>
          <w:tcPr>
            <w:tcW w:w="3912" w:type="dxa"/>
            <w:vAlign w:val="center"/>
          </w:tcPr>
          <w:p w14:paraId="4A5B8C8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后续可覆盖研讨室、实验室、活动室等预约场景。</w:t>
            </w:r>
          </w:p>
        </w:tc>
      </w:tr>
    </w:tbl>
    <w:p w14:paraId="4CF529A7">
      <w:pPr>
        <w:rPr>
          <w:rFonts w:ascii="Times New Roman" w:hAnsi="Times New Roman"/>
        </w:rPr>
      </w:pPr>
    </w:p>
    <w:p w14:paraId="796A130C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3.3 投入方案建议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3402"/>
        <w:gridCol w:w="1361"/>
      </w:tblGrid>
      <w:tr w14:paraId="45E3D5FB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51EFE3C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方案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6A8FE01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适用场景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0FB2D24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建设内容</w:t>
            </w:r>
          </w:p>
        </w:tc>
        <w:tc>
          <w:tcPr>
            <w:tcW w:w="1361" w:type="dxa"/>
            <w:shd w:val="clear" w:color="auto" w:fill="2F5597"/>
            <w:vAlign w:val="center"/>
          </w:tcPr>
          <w:p w14:paraId="33B85DA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经济评价</w:t>
            </w:r>
          </w:p>
        </w:tc>
      </w:tr>
      <w:tr w14:paraId="483AD73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545792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课程设计/演示版</w:t>
            </w:r>
          </w:p>
        </w:tc>
        <w:tc>
          <w:tcPr>
            <w:tcW w:w="2268" w:type="dxa"/>
            <w:vAlign w:val="center"/>
          </w:tcPr>
          <w:p w14:paraId="5516A36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课程项目、毕业设计、功能演示。</w:t>
            </w:r>
          </w:p>
        </w:tc>
        <w:tc>
          <w:tcPr>
            <w:tcW w:w="3402" w:type="dxa"/>
            <w:vAlign w:val="center"/>
          </w:tcPr>
          <w:p w14:paraId="6169916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本地或单服务器部署，JSON/轻量数据库，模拟登录和基础座位数据。</w:t>
            </w:r>
          </w:p>
        </w:tc>
        <w:tc>
          <w:tcPr>
            <w:tcW w:w="1361" w:type="dxa"/>
            <w:vAlign w:val="center"/>
          </w:tcPr>
          <w:p w14:paraId="4BB7FE5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成本最低，可验证核心流程。</w:t>
            </w:r>
          </w:p>
        </w:tc>
      </w:tr>
      <w:tr w14:paraId="54E83DA0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09A4A5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校内试点版</w:t>
            </w:r>
          </w:p>
        </w:tc>
        <w:tc>
          <w:tcPr>
            <w:tcW w:w="2268" w:type="dxa"/>
            <w:vAlign w:val="center"/>
          </w:tcPr>
          <w:p w14:paraId="5A8CC17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单楼宇或少量自习室试运行。</w:t>
            </w:r>
          </w:p>
        </w:tc>
        <w:tc>
          <w:tcPr>
            <w:tcW w:w="3402" w:type="dxa"/>
            <w:vAlign w:val="center"/>
          </w:tcPr>
          <w:p w14:paraId="33046C2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关系型数据库、管理员后台、二维码签到、日志备份和基础统计。</w:t>
            </w:r>
          </w:p>
        </w:tc>
        <w:tc>
          <w:tcPr>
            <w:tcW w:w="1361" w:type="dxa"/>
            <w:vAlign w:val="center"/>
          </w:tcPr>
          <w:p w14:paraId="55D0AC1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投入可控，适合验证运营规则。</w:t>
            </w:r>
          </w:p>
        </w:tc>
      </w:tr>
      <w:tr w14:paraId="5A3B7F28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EB1BEF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正式推广版</w:t>
            </w:r>
          </w:p>
        </w:tc>
        <w:tc>
          <w:tcPr>
            <w:tcW w:w="2268" w:type="dxa"/>
            <w:vAlign w:val="center"/>
          </w:tcPr>
          <w:p w14:paraId="57B5862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图书馆或多校区推广。</w:t>
            </w:r>
          </w:p>
        </w:tc>
        <w:tc>
          <w:tcPr>
            <w:tcW w:w="3402" w:type="dxa"/>
            <w:vAlign w:val="center"/>
          </w:tcPr>
          <w:p w14:paraId="55313DC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统一身份认证、消息通知、压测、监控、备份、权限审计和可用性保障。</w:t>
            </w:r>
          </w:p>
        </w:tc>
        <w:tc>
          <w:tcPr>
            <w:tcW w:w="1361" w:type="dxa"/>
            <w:vAlign w:val="center"/>
          </w:tcPr>
          <w:p w14:paraId="41718B9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投入增加，但管理收益更明显。</w:t>
            </w:r>
          </w:p>
        </w:tc>
      </w:tr>
    </w:tbl>
    <w:p w14:paraId="4E384889">
      <w:pPr>
        <w:rPr>
          <w:rFonts w:ascii="Times New Roman" w:hAnsi="Times New Roman"/>
        </w:rPr>
      </w:pPr>
    </w:p>
    <w:p w14:paraId="5341944A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3.4 经济可行性结论</w:t>
      </w:r>
    </w:p>
    <w:tbl>
      <w:tblPr>
        <w:tblStyle w:val="33"/>
        <w:tblW w:w="0" w:type="auto"/>
        <w:jc w:val="center"/>
        <w:tblBorders>
          <w:top w:val="single" w:color="B4C6E7" w:sz="6" w:space="0"/>
          <w:left w:val="single" w:color="B4C6E7" w:sz="6" w:space="0"/>
          <w:bottom w:val="single" w:color="B4C6E7" w:sz="6" w:space="0"/>
          <w:right w:val="single" w:color="B4C6E7" w:sz="6" w:space="0"/>
          <w:insideH w:val="single" w:color="B4C6E7" w:sz="6" w:space="0"/>
          <w:insideV w:val="single" w:color="B4C6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8513452">
        <w:tblPrEx>
          <w:tblBorders>
            <w:top w:val="single" w:color="B4C6E7" w:sz="6" w:space="0"/>
            <w:left w:val="single" w:color="B4C6E7" w:sz="6" w:space="0"/>
            <w:bottom w:val="single" w:color="B4C6E7" w:sz="6" w:space="0"/>
            <w:right w:val="single" w:color="B4C6E7" w:sz="6" w:space="0"/>
            <w:insideH w:val="single" w:color="B4C6E7" w:sz="6" w:space="0"/>
            <w:insideV w:val="single" w:color="B4C6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shd w:val="clear" w:color="auto" w:fill="EAF2F8"/>
          </w:tcPr>
          <w:p w14:paraId="0F3400F0">
            <w:pPr>
              <w:spacing w:after="40" w:line="264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Noto Sans CJK SC"/>
                <w:b/>
                <w:color w:val="1F3763"/>
                <w:sz w:val="20"/>
              </w:rPr>
              <w:t>经济结论</w:t>
            </w:r>
          </w:p>
          <w:p w14:paraId="636E8961">
            <w:pPr>
              <w:spacing w:after="40" w:line="264" w:lineRule="auto"/>
            </w:pPr>
            <w:r>
              <w:rPr>
                <w:rFonts w:ascii="Times New Roman" w:hAnsi="Times New Roman" w:eastAsia="Noto Sans CJK SC"/>
                <w:sz w:val="19"/>
              </w:rPr>
              <w:t>系统首期建设不依赖昂贵硬件，核心投入集中在软件开发和基本部署。通过分阶段建设，项目能以较低试错成本验证管理价值，并通过空间利用率提升、人工巡查减少和纠纷降低产生持续收益。经济可行性评价为“较高”。</w:t>
            </w:r>
          </w:p>
        </w:tc>
      </w:tr>
    </w:tbl>
    <w:p w14:paraId="0E5FB6E2">
      <w:pPr>
        <w:rPr>
          <w:rFonts w:ascii="Times New Roman" w:hAnsi="Times New Roman"/>
        </w:rPr>
      </w:pPr>
    </w:p>
    <w:p w14:paraId="39173061">
      <w:pPr>
        <w:pStyle w:val="3"/>
        <w:spacing w:before="240" w:after="120"/>
      </w:pPr>
      <w:r>
        <w:rPr>
          <w:rFonts w:ascii="Times New Roman" w:hAnsi="Times New Roman" w:eastAsia="Noto Sans CJK SC"/>
          <w:b/>
          <w:color w:val="1F3763"/>
          <w:sz w:val="32"/>
        </w:rPr>
        <w:t>4. 操作可行性</w:t>
      </w:r>
    </w:p>
    <w:p w14:paraId="1EA28670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4.1 用户接受度</w:t>
      </w:r>
    </w:p>
    <w:p w14:paraId="045563C5">
      <w:pPr>
        <w:spacing w:after="120" w:line="300" w:lineRule="auto"/>
        <w:ind w:firstLine="420"/>
      </w:pPr>
      <w:r>
        <w:rPr>
          <w:rFonts w:ascii="Times New Roman" w:hAnsi="Times New Roman" w:eastAsia="Noto Sans CJK SC"/>
          <w:sz w:val="21"/>
        </w:rPr>
        <w:t>学生已经熟悉教务系统、图书馆系统、校园码和各类线上预约服务，对 Web 或移动端预约系统接受门槛较低。管理员现有职责中已经包含自习室开放管理、座位维护、秩序维护和数据上报，系统仅将其表单化和流程化，不会改变管理职责本质。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252"/>
        <w:gridCol w:w="3005"/>
      </w:tblGrid>
      <w:tr w14:paraId="0365E5BB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2F5597"/>
            <w:vAlign w:val="center"/>
          </w:tcPr>
          <w:p w14:paraId="77749B8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w="4252" w:type="dxa"/>
            <w:shd w:val="clear" w:color="auto" w:fill="2F5597"/>
            <w:vAlign w:val="center"/>
          </w:tcPr>
          <w:p w14:paraId="4FEF7A4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主要操作</w:t>
            </w:r>
          </w:p>
        </w:tc>
        <w:tc>
          <w:tcPr>
            <w:tcW w:w="3005" w:type="dxa"/>
            <w:shd w:val="clear" w:color="auto" w:fill="2F5597"/>
            <w:vAlign w:val="center"/>
          </w:tcPr>
          <w:p w14:paraId="5D14923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操作可行性要求</w:t>
            </w:r>
          </w:p>
        </w:tc>
      </w:tr>
      <w:tr w14:paraId="04C4DF00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D43EE2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学生/教师</w:t>
            </w:r>
          </w:p>
        </w:tc>
        <w:tc>
          <w:tcPr>
            <w:tcW w:w="4252" w:type="dxa"/>
            <w:vAlign w:val="center"/>
          </w:tcPr>
          <w:p w14:paraId="6DF959A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查看自习室、筛选房间、选择座位、提交预约、取消预约、扫码签到、暂离或结束使用。</w:t>
            </w:r>
          </w:p>
        </w:tc>
        <w:tc>
          <w:tcPr>
            <w:tcW w:w="3005" w:type="dxa"/>
            <w:vAlign w:val="center"/>
          </w:tcPr>
          <w:p w14:paraId="77B174A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流程简短、状态清晰、错误提示可理解。</w:t>
            </w:r>
          </w:p>
        </w:tc>
      </w:tr>
      <w:tr w14:paraId="249DD36E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2DA8CC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普通管理员</w:t>
            </w:r>
          </w:p>
        </w:tc>
        <w:tc>
          <w:tcPr>
            <w:tcW w:w="4252" w:type="dxa"/>
            <w:vAlign w:val="center"/>
          </w:tcPr>
          <w:p w14:paraId="1141482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维护房间座位、配置开放时间、处理维修/禁用、查看预约签到和违规记录。</w:t>
            </w:r>
          </w:p>
        </w:tc>
        <w:tc>
          <w:tcPr>
            <w:tcW w:w="3005" w:type="dxa"/>
            <w:vAlign w:val="center"/>
          </w:tcPr>
          <w:p w14:paraId="50D9ABD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后台表单明确，关键操作二次确认。</w:t>
            </w:r>
          </w:p>
        </w:tc>
      </w:tr>
      <w:tr w14:paraId="77A96F93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C2765C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超级管理员</w:t>
            </w:r>
          </w:p>
        </w:tc>
        <w:tc>
          <w:tcPr>
            <w:tcW w:w="4252" w:type="dxa"/>
            <w:vAlign w:val="center"/>
          </w:tcPr>
          <w:p w14:paraId="7A374F4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维护校区楼宇、全局规则、角色权限、公告、数据导出和审计日志。</w:t>
            </w:r>
          </w:p>
        </w:tc>
        <w:tc>
          <w:tcPr>
            <w:tcW w:w="3005" w:type="dxa"/>
            <w:vAlign w:val="center"/>
          </w:tcPr>
          <w:p w14:paraId="4206A70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权限边界清晰，导出和规则变更需留痕。</w:t>
            </w:r>
          </w:p>
        </w:tc>
      </w:tr>
      <w:tr w14:paraId="1194D046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5544BD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管理部门</w:t>
            </w:r>
          </w:p>
        </w:tc>
        <w:tc>
          <w:tcPr>
            <w:tcW w:w="4252" w:type="dxa"/>
            <w:vAlign w:val="center"/>
          </w:tcPr>
          <w:p w14:paraId="33CE443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查看汇总报表、分析利用率和违约趋势、制定开放策略。</w:t>
            </w:r>
          </w:p>
        </w:tc>
        <w:tc>
          <w:tcPr>
            <w:tcW w:w="3005" w:type="dxa"/>
            <w:vAlign w:val="center"/>
          </w:tcPr>
          <w:p w14:paraId="5BF5FD6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统计口径固定，图表和指标解释清楚。</w:t>
            </w:r>
          </w:p>
        </w:tc>
      </w:tr>
    </w:tbl>
    <w:p w14:paraId="1C87D73C">
      <w:pPr>
        <w:rPr>
          <w:rFonts w:ascii="Times New Roman" w:hAnsi="Times New Roman"/>
        </w:rPr>
      </w:pPr>
    </w:p>
    <w:p w14:paraId="26E41FF5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4.2 业务流程适配性</w:t>
      </w:r>
    </w:p>
    <w:p w14:paraId="299BA6B6">
      <w:pPr>
        <w:spacing w:after="120" w:line="300" w:lineRule="auto"/>
        <w:ind w:firstLine="420"/>
      </w:pPr>
      <w:r>
        <w:rPr>
          <w:rFonts w:ascii="Times New Roman" w:hAnsi="Times New Roman" w:eastAsia="Noto Sans CJK SC"/>
          <w:sz w:val="21"/>
        </w:rPr>
        <w:t>系统与现有自习室管理流程具有较高契合度。学生预约主流程为登录、筛选空间、查看座位图、选择时段、提交预约、到场签到、暂离/结束使用；管理员流程为维护资源、配置开放规则、处理异常、查看统计和调整策略。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969"/>
        <w:gridCol w:w="3175"/>
      </w:tblGrid>
      <w:tr w14:paraId="5E0FCBFA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2F5597"/>
            <w:vAlign w:val="center"/>
          </w:tcPr>
          <w:p w14:paraId="34369BF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流程环节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239410A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系统处理</w:t>
            </w:r>
          </w:p>
        </w:tc>
        <w:tc>
          <w:tcPr>
            <w:tcW w:w="3175" w:type="dxa"/>
            <w:shd w:val="clear" w:color="auto" w:fill="2F5597"/>
            <w:vAlign w:val="center"/>
          </w:tcPr>
          <w:p w14:paraId="7BAEAEC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管理价值</w:t>
            </w:r>
          </w:p>
        </w:tc>
      </w:tr>
      <w:tr w14:paraId="3E5E716D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7479A0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查座</w:t>
            </w:r>
          </w:p>
        </w:tc>
        <w:tc>
          <w:tcPr>
            <w:tcW w:w="3969" w:type="dxa"/>
            <w:vAlign w:val="center"/>
          </w:tcPr>
          <w:p w14:paraId="59634A5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按校区、楼宇、房间、日期和时间段展示座位状态。</w:t>
            </w:r>
          </w:p>
        </w:tc>
        <w:tc>
          <w:tcPr>
            <w:tcW w:w="3175" w:type="dxa"/>
            <w:vAlign w:val="center"/>
          </w:tcPr>
          <w:p w14:paraId="45F1701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减少学生盲目找座。</w:t>
            </w:r>
          </w:p>
        </w:tc>
      </w:tr>
      <w:tr w14:paraId="7F147DBD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D20DC5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预约</w:t>
            </w:r>
          </w:p>
        </w:tc>
        <w:tc>
          <w:tcPr>
            <w:tcW w:w="3969" w:type="dxa"/>
            <w:vAlign w:val="center"/>
          </w:tcPr>
          <w:p w14:paraId="6203BC8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统一校验资格、冲突、规则和违约限制。</w:t>
            </w:r>
          </w:p>
        </w:tc>
        <w:tc>
          <w:tcPr>
            <w:tcW w:w="3175" w:type="dxa"/>
            <w:vAlign w:val="center"/>
          </w:tcPr>
          <w:p w14:paraId="7A88E1E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保证规则公平和座位唯一占用。</w:t>
            </w:r>
          </w:p>
        </w:tc>
      </w:tr>
      <w:tr w14:paraId="48EB3A13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363CC2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签到</w:t>
            </w:r>
          </w:p>
        </w:tc>
        <w:tc>
          <w:tcPr>
            <w:tcW w:w="3969" w:type="dxa"/>
            <w:vAlign w:val="center"/>
          </w:tcPr>
          <w:p w14:paraId="64CD314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通过二维码完成到场确认，超时未签到自动释放。</w:t>
            </w:r>
          </w:p>
        </w:tc>
        <w:tc>
          <w:tcPr>
            <w:tcW w:w="3175" w:type="dxa"/>
            <w:vAlign w:val="center"/>
          </w:tcPr>
          <w:p w14:paraId="071A28B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降低占座和空置。</w:t>
            </w:r>
          </w:p>
        </w:tc>
      </w:tr>
      <w:tr w14:paraId="6D5DD563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0C626D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暂离/续约</w:t>
            </w:r>
          </w:p>
        </w:tc>
        <w:tc>
          <w:tcPr>
            <w:tcW w:w="3969" w:type="dxa"/>
            <w:vAlign w:val="center"/>
          </w:tcPr>
          <w:p w14:paraId="5D01F9D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按规则保留或延长使用权，到期自动处理。</w:t>
            </w:r>
          </w:p>
        </w:tc>
        <w:tc>
          <w:tcPr>
            <w:tcW w:w="3175" w:type="dxa"/>
            <w:vAlign w:val="center"/>
          </w:tcPr>
          <w:p w14:paraId="014F93B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兼顾灵活性与资源周转。</w:t>
            </w:r>
          </w:p>
        </w:tc>
      </w:tr>
      <w:tr w14:paraId="49D18E6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CAA8FF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异常处理</w:t>
            </w:r>
          </w:p>
        </w:tc>
        <w:tc>
          <w:tcPr>
            <w:tcW w:w="3969" w:type="dxa"/>
            <w:vAlign w:val="center"/>
          </w:tcPr>
          <w:p w14:paraId="785C7C9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管理员可设置维修、禁用、临时关闭并记录日志。</w:t>
            </w:r>
          </w:p>
        </w:tc>
        <w:tc>
          <w:tcPr>
            <w:tcW w:w="3175" w:type="dxa"/>
            <w:vAlign w:val="center"/>
          </w:tcPr>
          <w:p w14:paraId="5FC02E7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减少线下沟通成本。</w:t>
            </w:r>
          </w:p>
        </w:tc>
      </w:tr>
      <w:tr w14:paraId="0398F17B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481A85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统计分析</w:t>
            </w:r>
          </w:p>
        </w:tc>
        <w:tc>
          <w:tcPr>
            <w:tcW w:w="3969" w:type="dxa"/>
            <w:vAlign w:val="center"/>
          </w:tcPr>
          <w:p w14:paraId="6C62C8E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按时段、房间、楼宇输出利用率和违约率。</w:t>
            </w:r>
          </w:p>
        </w:tc>
        <w:tc>
          <w:tcPr>
            <w:tcW w:w="3175" w:type="dxa"/>
            <w:vAlign w:val="center"/>
          </w:tcPr>
          <w:p w14:paraId="07D1F5D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支撑开放策略调整。</w:t>
            </w:r>
          </w:p>
        </w:tc>
      </w:tr>
    </w:tbl>
    <w:p w14:paraId="3086F284">
      <w:pPr>
        <w:rPr>
          <w:rFonts w:ascii="Times New Roman" w:hAnsi="Times New Roman"/>
        </w:rPr>
      </w:pPr>
    </w:p>
    <w:p w14:paraId="708C2842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4.3 运营与维护条件</w:t>
      </w:r>
    </w:p>
    <w:p w14:paraId="18BF006E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组织条件：需明确图书馆或学院自习室管理员作为资源维护和规则执行责任人。</w:t>
      </w:r>
    </w:p>
    <w:p w14:paraId="2893F7CF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制度条件：需公布预约时长、签到宽限、暂离时长、违约限制和申诉处理规则。</w:t>
      </w:r>
    </w:p>
    <w:p w14:paraId="3949D7CA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培训条件：管理员需掌握资源维护、异常处理、报表查看和数据导出；学生端通过页面提示和公告即可完成大部分培训。</w:t>
      </w:r>
    </w:p>
    <w:p w14:paraId="14DA2C71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运维条件：需建立基础备份、日志查看、故障反馈、版本升级和数据清理流程。</w:t>
      </w:r>
    </w:p>
    <w:p w14:paraId="3A310695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反馈机制：试运行期应收集学生和管理员意见，重点调整预约时长、开放时段和违约阈值。</w:t>
      </w:r>
    </w:p>
    <w:p w14:paraId="3D8A3880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4.4 操作可行性结论</w:t>
      </w:r>
    </w:p>
    <w:tbl>
      <w:tblPr>
        <w:tblStyle w:val="33"/>
        <w:tblW w:w="0" w:type="auto"/>
        <w:jc w:val="center"/>
        <w:tblBorders>
          <w:top w:val="single" w:color="B4C6E7" w:sz="6" w:space="0"/>
          <w:left w:val="single" w:color="B4C6E7" w:sz="6" w:space="0"/>
          <w:bottom w:val="single" w:color="B4C6E7" w:sz="6" w:space="0"/>
          <w:right w:val="single" w:color="B4C6E7" w:sz="6" w:space="0"/>
          <w:insideH w:val="single" w:color="B4C6E7" w:sz="6" w:space="0"/>
          <w:insideV w:val="single" w:color="B4C6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06A7453">
        <w:tblPrEx>
          <w:tblBorders>
            <w:top w:val="single" w:color="B4C6E7" w:sz="6" w:space="0"/>
            <w:left w:val="single" w:color="B4C6E7" w:sz="6" w:space="0"/>
            <w:bottom w:val="single" w:color="B4C6E7" w:sz="6" w:space="0"/>
            <w:right w:val="single" w:color="B4C6E7" w:sz="6" w:space="0"/>
            <w:insideH w:val="single" w:color="B4C6E7" w:sz="6" w:space="0"/>
            <w:insideV w:val="single" w:color="B4C6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shd w:val="clear" w:color="auto" w:fill="EAF2F8"/>
          </w:tcPr>
          <w:p w14:paraId="7D62E27B">
            <w:pPr>
              <w:spacing w:after="40" w:line="264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Noto Sans CJK SC"/>
                <w:b/>
                <w:color w:val="1F3763"/>
                <w:sz w:val="20"/>
              </w:rPr>
              <w:t>操作结论</w:t>
            </w:r>
          </w:p>
          <w:p w14:paraId="41F0ADBA">
            <w:pPr>
              <w:spacing w:after="40" w:line="264" w:lineRule="auto"/>
            </w:pPr>
            <w:r>
              <w:rPr>
                <w:rFonts w:ascii="Times New Roman" w:hAnsi="Times New Roman" w:eastAsia="Noto Sans CJK SC"/>
                <w:sz w:val="19"/>
              </w:rPr>
              <w:t>系统业务流程清晰，用户群体具备数字化服务使用基础，管理员职责与系统功能匹配。只要配套规则宣传、管理员培训和试运行反馈机制，系统可以嵌入现有校园自习室管理流程。操作可行性评价为“较高”。</w:t>
            </w:r>
          </w:p>
        </w:tc>
      </w:tr>
    </w:tbl>
    <w:p w14:paraId="3A86694B">
      <w:pPr>
        <w:rPr>
          <w:rFonts w:ascii="Times New Roman" w:hAnsi="Times New Roman"/>
        </w:rPr>
      </w:pPr>
    </w:p>
    <w:p w14:paraId="41387BB4">
      <w:pPr>
        <w:pStyle w:val="3"/>
        <w:spacing w:before="240" w:after="120"/>
      </w:pPr>
      <w:r>
        <w:rPr>
          <w:rFonts w:ascii="Times New Roman" w:hAnsi="Times New Roman" w:eastAsia="Noto Sans CJK SC"/>
          <w:b/>
          <w:color w:val="1F3763"/>
          <w:sz w:val="32"/>
        </w:rPr>
        <w:t>5. 法律/社会可行性</w:t>
      </w:r>
    </w:p>
    <w:p w14:paraId="43354CC0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5.1 法律与数据合规</w:t>
      </w:r>
    </w:p>
    <w:p w14:paraId="26C7BBD5">
      <w:pPr>
        <w:spacing w:after="120" w:line="300" w:lineRule="auto"/>
        <w:ind w:firstLine="420"/>
      </w:pPr>
      <w:r>
        <w:rPr>
          <w:rFonts w:ascii="Times New Roman" w:hAnsi="Times New Roman" w:eastAsia="Noto Sans CJK SC"/>
          <w:sz w:val="21"/>
        </w:rPr>
        <w:t>系统涉及学生身份信息、预约记录、签到记录、违规记录和统计报表。虽然不属于高度敏感业务系统，但仍应遵循最小必要、授权访问、目的限定、日志留痕和定期清理原则，不采集与自习室预约无关的信息，不无必要展示个人行为轨迹。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628"/>
        <w:gridCol w:w="3515"/>
      </w:tblGrid>
      <w:tr w14:paraId="78ADC09A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2F5597"/>
            <w:vAlign w:val="center"/>
          </w:tcPr>
          <w:p w14:paraId="387C4F4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合规事项</w:t>
            </w:r>
          </w:p>
        </w:tc>
        <w:tc>
          <w:tcPr>
            <w:tcW w:w="3628" w:type="dxa"/>
            <w:shd w:val="clear" w:color="auto" w:fill="2F5597"/>
            <w:vAlign w:val="center"/>
          </w:tcPr>
          <w:p w14:paraId="71D9DD9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处理要求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78D5140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系统措施</w:t>
            </w:r>
          </w:p>
        </w:tc>
      </w:tr>
      <w:tr w14:paraId="1041AAD6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CC64D2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个人信息采集</w:t>
            </w:r>
          </w:p>
        </w:tc>
        <w:tc>
          <w:tcPr>
            <w:tcW w:w="3628" w:type="dxa"/>
            <w:vAlign w:val="center"/>
          </w:tcPr>
          <w:p w14:paraId="31F8A91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只采集预约所需的身份、角色、联系方式或学号/工号等必要信息。</w:t>
            </w:r>
          </w:p>
        </w:tc>
        <w:tc>
          <w:tcPr>
            <w:tcW w:w="3515" w:type="dxa"/>
            <w:vAlign w:val="center"/>
          </w:tcPr>
          <w:p w14:paraId="0B90FEB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优先接入统一身份认证，减少独立账号信息维护。</w:t>
            </w:r>
          </w:p>
        </w:tc>
      </w:tr>
      <w:tr w14:paraId="57042219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C364CD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权限访问</w:t>
            </w:r>
          </w:p>
        </w:tc>
        <w:tc>
          <w:tcPr>
            <w:tcW w:w="3628" w:type="dxa"/>
            <w:vAlign w:val="center"/>
          </w:tcPr>
          <w:p w14:paraId="0D29FA7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学生仅能查看本人预约与违规记录，管理员按授权范围查看管理数据。</w:t>
            </w:r>
          </w:p>
        </w:tc>
        <w:tc>
          <w:tcPr>
            <w:tcW w:w="3515" w:type="dxa"/>
            <w:vAlign w:val="center"/>
          </w:tcPr>
          <w:p w14:paraId="3E077D5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基于角色和数据范围控制接口访问。</w:t>
            </w:r>
          </w:p>
        </w:tc>
      </w:tr>
      <w:tr w14:paraId="652DE62A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22778A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数据留存</w:t>
            </w:r>
          </w:p>
        </w:tc>
        <w:tc>
          <w:tcPr>
            <w:tcW w:w="3628" w:type="dxa"/>
            <w:vAlign w:val="center"/>
          </w:tcPr>
          <w:p w14:paraId="0D2FA43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预约、签到和违规记录应设置合理保留周期。</w:t>
            </w:r>
          </w:p>
        </w:tc>
        <w:tc>
          <w:tcPr>
            <w:tcW w:w="3515" w:type="dxa"/>
            <w:vAlign w:val="center"/>
          </w:tcPr>
          <w:p w14:paraId="2D7F997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提供数据归档、清理和备份策略。</w:t>
            </w:r>
          </w:p>
        </w:tc>
      </w:tr>
      <w:tr w14:paraId="5C7B1B10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06B9AE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数据导出</w:t>
            </w:r>
          </w:p>
        </w:tc>
        <w:tc>
          <w:tcPr>
            <w:tcW w:w="3628" w:type="dxa"/>
            <w:vAlign w:val="center"/>
          </w:tcPr>
          <w:p w14:paraId="5BB23C7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导出报表应限制权限并记录用途。</w:t>
            </w:r>
          </w:p>
        </w:tc>
        <w:tc>
          <w:tcPr>
            <w:tcW w:w="3515" w:type="dxa"/>
            <w:vAlign w:val="center"/>
          </w:tcPr>
          <w:p w14:paraId="71B31DD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导出操作需记录操作者、时间、范围和文件类型。</w:t>
            </w:r>
          </w:p>
        </w:tc>
      </w:tr>
      <w:tr w14:paraId="41105BEB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2CB0E6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日志审计</w:t>
            </w:r>
          </w:p>
        </w:tc>
        <w:tc>
          <w:tcPr>
            <w:tcW w:w="3628" w:type="dxa"/>
            <w:vAlign w:val="center"/>
          </w:tcPr>
          <w:p w14:paraId="6431AC2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关键配置、禁用座位、处理违规和规则调整应留痕。</w:t>
            </w:r>
          </w:p>
        </w:tc>
        <w:tc>
          <w:tcPr>
            <w:tcW w:w="3515" w:type="dxa"/>
            <w:vAlign w:val="center"/>
          </w:tcPr>
          <w:p w14:paraId="6F600CC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审计日志不可由普通管理员随意删除。</w:t>
            </w:r>
          </w:p>
        </w:tc>
      </w:tr>
      <w:tr w14:paraId="74B78256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7655B2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安全防护</w:t>
            </w:r>
          </w:p>
        </w:tc>
        <w:tc>
          <w:tcPr>
            <w:tcW w:w="3628" w:type="dxa"/>
            <w:vAlign w:val="center"/>
          </w:tcPr>
          <w:p w14:paraId="00DE106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接口鉴权、参数校验、防重复提交和基础防刷。</w:t>
            </w:r>
          </w:p>
        </w:tc>
        <w:tc>
          <w:tcPr>
            <w:tcW w:w="3515" w:type="dxa"/>
            <w:vAlign w:val="center"/>
          </w:tcPr>
          <w:p w14:paraId="34708F9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后端统一鉴权拦截，敏感操作二次确认。</w:t>
            </w:r>
          </w:p>
        </w:tc>
      </w:tr>
    </w:tbl>
    <w:p w14:paraId="35EBDC64">
      <w:pPr>
        <w:rPr>
          <w:rFonts w:ascii="Times New Roman" w:hAnsi="Times New Roman"/>
        </w:rPr>
      </w:pPr>
    </w:p>
    <w:p w14:paraId="3A5CF930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5.2 社会与校园管理影响</w:t>
      </w:r>
    </w:p>
    <w:p w14:paraId="61ADA6C8">
      <w:pPr>
        <w:spacing w:after="120" w:line="300" w:lineRule="auto"/>
        <w:ind w:firstLine="420"/>
      </w:pPr>
      <w:r>
        <w:rPr>
          <w:rFonts w:ascii="Times New Roman" w:hAnsi="Times New Roman" w:eastAsia="Noto Sans CJK SC"/>
          <w:sz w:val="21"/>
        </w:rPr>
        <w:t>系统上线后将改变传统“先到先占”和人工巡查的自习室使用方式，可能带来更透明的资源分配和更强的规则约束。为了提升社会接受度，应保证规则公开、处理透明、申诉渠道有效，并在试运行阶段根据反馈调整策略。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381"/>
        <w:gridCol w:w="2494"/>
        <w:gridCol w:w="2494"/>
      </w:tblGrid>
      <w:tr w14:paraId="39B155F7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2F5597"/>
            <w:vAlign w:val="center"/>
          </w:tcPr>
          <w:p w14:paraId="02AE2FA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影响维度</w:t>
            </w:r>
          </w:p>
        </w:tc>
        <w:tc>
          <w:tcPr>
            <w:tcW w:w="2381" w:type="dxa"/>
            <w:shd w:val="clear" w:color="auto" w:fill="2F5597"/>
            <w:vAlign w:val="center"/>
          </w:tcPr>
          <w:p w14:paraId="1C671D5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正向影响</w:t>
            </w:r>
          </w:p>
        </w:tc>
        <w:tc>
          <w:tcPr>
            <w:tcW w:w="2494" w:type="dxa"/>
            <w:shd w:val="clear" w:color="auto" w:fill="2F5597"/>
            <w:vAlign w:val="center"/>
          </w:tcPr>
          <w:p w14:paraId="7033DA7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需关注问题</w:t>
            </w:r>
          </w:p>
        </w:tc>
        <w:tc>
          <w:tcPr>
            <w:tcW w:w="2494" w:type="dxa"/>
            <w:shd w:val="clear" w:color="auto" w:fill="2F5597"/>
            <w:vAlign w:val="center"/>
          </w:tcPr>
          <w:p w14:paraId="7CDB913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控制措施</w:t>
            </w:r>
          </w:p>
        </w:tc>
      </w:tr>
      <w:tr w14:paraId="00A8270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2AAA5D7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公平性</w:t>
            </w:r>
          </w:p>
        </w:tc>
        <w:tc>
          <w:tcPr>
            <w:tcW w:w="2381" w:type="dxa"/>
            <w:vAlign w:val="center"/>
          </w:tcPr>
          <w:p w14:paraId="56BDA4A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统一预约规则，减少长期占座和人为协调。</w:t>
            </w:r>
          </w:p>
        </w:tc>
        <w:tc>
          <w:tcPr>
            <w:tcW w:w="2494" w:type="dxa"/>
            <w:vAlign w:val="center"/>
          </w:tcPr>
          <w:p w14:paraId="5BFB94A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热门时段可能出现抢座压力。</w:t>
            </w:r>
          </w:p>
        </w:tc>
        <w:tc>
          <w:tcPr>
            <w:tcW w:w="2494" w:type="dxa"/>
            <w:vAlign w:val="center"/>
          </w:tcPr>
          <w:p w14:paraId="2EEE58E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限制单人预约次数和最长时长，必要时设置错峰策略。</w:t>
            </w:r>
          </w:p>
        </w:tc>
      </w:tr>
      <w:tr w14:paraId="41B80884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1E02BDB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透明度</w:t>
            </w:r>
          </w:p>
        </w:tc>
        <w:tc>
          <w:tcPr>
            <w:tcW w:w="2381" w:type="dxa"/>
            <w:vAlign w:val="center"/>
          </w:tcPr>
          <w:p w14:paraId="6E5A244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座位状态、违规处理和开放信息可查询。</w:t>
            </w:r>
          </w:p>
        </w:tc>
        <w:tc>
          <w:tcPr>
            <w:tcW w:w="2494" w:type="dxa"/>
            <w:vAlign w:val="center"/>
          </w:tcPr>
          <w:p w14:paraId="6A1C860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状态更新延迟会造成误解。</w:t>
            </w:r>
          </w:p>
        </w:tc>
        <w:tc>
          <w:tcPr>
            <w:tcW w:w="2494" w:type="dxa"/>
            <w:vAlign w:val="center"/>
          </w:tcPr>
          <w:p w14:paraId="1DF9B13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后端状态为准，前端及时刷新并展示原因。</w:t>
            </w:r>
          </w:p>
        </w:tc>
      </w:tr>
      <w:tr w14:paraId="635ECE49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7784265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用户体验</w:t>
            </w:r>
          </w:p>
        </w:tc>
        <w:tc>
          <w:tcPr>
            <w:tcW w:w="2381" w:type="dxa"/>
            <w:vAlign w:val="center"/>
          </w:tcPr>
          <w:p w14:paraId="6B36D03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减少找座成本和线下争议。</w:t>
            </w:r>
          </w:p>
        </w:tc>
        <w:tc>
          <w:tcPr>
            <w:tcW w:w="2494" w:type="dxa"/>
            <w:vAlign w:val="center"/>
          </w:tcPr>
          <w:p w14:paraId="6B6B143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规则过严可能影响使用积极性。</w:t>
            </w:r>
          </w:p>
        </w:tc>
        <w:tc>
          <w:tcPr>
            <w:tcW w:w="2494" w:type="dxa"/>
            <w:vAlign w:val="center"/>
          </w:tcPr>
          <w:p w14:paraId="1DA6217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试运行期收集反馈，动态调整宽限期和限制策略。</w:t>
            </w:r>
          </w:p>
        </w:tc>
      </w:tr>
      <w:tr w14:paraId="0B57ED88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30270AE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管理秩序</w:t>
            </w:r>
          </w:p>
        </w:tc>
        <w:tc>
          <w:tcPr>
            <w:tcW w:w="2381" w:type="dxa"/>
            <w:vAlign w:val="center"/>
          </w:tcPr>
          <w:p w14:paraId="64701D7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异常处理和违规追踪有据可依。</w:t>
            </w:r>
          </w:p>
        </w:tc>
        <w:tc>
          <w:tcPr>
            <w:tcW w:w="2494" w:type="dxa"/>
            <w:vAlign w:val="center"/>
          </w:tcPr>
          <w:p w14:paraId="098123A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管理员误操作可能影响大量用户。</w:t>
            </w:r>
          </w:p>
        </w:tc>
        <w:tc>
          <w:tcPr>
            <w:tcW w:w="2494" w:type="dxa"/>
            <w:vAlign w:val="center"/>
          </w:tcPr>
          <w:p w14:paraId="0AE387A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关键操作二次确认，提供日志回溯和恢复机制。</w:t>
            </w:r>
          </w:p>
        </w:tc>
      </w:tr>
    </w:tbl>
    <w:p w14:paraId="2EC3CF81">
      <w:pPr>
        <w:rPr>
          <w:rFonts w:ascii="Times New Roman" w:hAnsi="Times New Roman"/>
        </w:rPr>
      </w:pPr>
    </w:p>
    <w:p w14:paraId="55B7933B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5.3 法律/社会可行性结论</w:t>
      </w:r>
    </w:p>
    <w:tbl>
      <w:tblPr>
        <w:tblStyle w:val="33"/>
        <w:tblW w:w="0" w:type="auto"/>
        <w:jc w:val="center"/>
        <w:tblBorders>
          <w:top w:val="single" w:color="B4C6E7" w:sz="6" w:space="0"/>
          <w:left w:val="single" w:color="B4C6E7" w:sz="6" w:space="0"/>
          <w:bottom w:val="single" w:color="B4C6E7" w:sz="6" w:space="0"/>
          <w:right w:val="single" w:color="B4C6E7" w:sz="6" w:space="0"/>
          <w:insideH w:val="single" w:color="B4C6E7" w:sz="6" w:space="0"/>
          <w:insideV w:val="single" w:color="B4C6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DB5F4B2">
        <w:tblPrEx>
          <w:tblBorders>
            <w:top w:val="single" w:color="B4C6E7" w:sz="6" w:space="0"/>
            <w:left w:val="single" w:color="B4C6E7" w:sz="6" w:space="0"/>
            <w:bottom w:val="single" w:color="B4C6E7" w:sz="6" w:space="0"/>
            <w:right w:val="single" w:color="B4C6E7" w:sz="6" w:space="0"/>
            <w:insideH w:val="single" w:color="B4C6E7" w:sz="6" w:space="0"/>
            <w:insideV w:val="single" w:color="B4C6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shd w:val="clear" w:color="auto" w:fill="EAF2F8"/>
          </w:tcPr>
          <w:p w14:paraId="1D175118">
            <w:pPr>
              <w:spacing w:after="40" w:line="264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Noto Sans CJK SC"/>
                <w:b/>
                <w:color w:val="1F3763"/>
                <w:sz w:val="20"/>
              </w:rPr>
              <w:t>法律/社会结论</w:t>
            </w:r>
          </w:p>
          <w:p w14:paraId="2C3D4ADE">
            <w:pPr>
              <w:spacing w:after="40" w:line="264" w:lineRule="auto"/>
            </w:pPr>
            <w:r>
              <w:rPr>
                <w:rFonts w:ascii="Times New Roman" w:hAnsi="Times New Roman" w:eastAsia="Noto Sans CJK SC"/>
                <w:sz w:val="19"/>
              </w:rPr>
              <w:t>项目不涉及明显违法或不适宜建设事项，数据采集范围可控制在预约管理必要范围内。通过权限隔离、最小必要采集、日志审计、数据留存管理、规则公示和申诉机制，法律与社会风险可控。法律/社会可行性评价为“可控”。</w:t>
            </w:r>
          </w:p>
        </w:tc>
      </w:tr>
    </w:tbl>
    <w:p w14:paraId="7F244F02">
      <w:pPr>
        <w:rPr>
          <w:rFonts w:ascii="Times New Roman" w:hAnsi="Times New Roman"/>
        </w:rPr>
      </w:pPr>
    </w:p>
    <w:p w14:paraId="6ED6F8DD">
      <w:pPr>
        <w:pStyle w:val="3"/>
        <w:spacing w:before="240" w:after="120"/>
      </w:pPr>
      <w:r>
        <w:rPr>
          <w:rFonts w:ascii="Times New Roman" w:hAnsi="Times New Roman" w:eastAsia="Noto Sans CJK SC"/>
          <w:b/>
          <w:color w:val="1F3763"/>
          <w:sz w:val="32"/>
        </w:rPr>
        <w:t>6. 风险分析</w:t>
      </w:r>
    </w:p>
    <w:p w14:paraId="7F3033CB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6.1 主要风险清单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3742"/>
        <w:gridCol w:w="680"/>
        <w:gridCol w:w="680"/>
        <w:gridCol w:w="680"/>
      </w:tblGrid>
      <w:tr w14:paraId="253CCEEE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2F5597"/>
            <w:vAlign w:val="center"/>
          </w:tcPr>
          <w:p w14:paraId="2991953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w="1701" w:type="dxa"/>
            <w:shd w:val="clear" w:color="auto" w:fill="2F5597"/>
            <w:vAlign w:val="center"/>
          </w:tcPr>
          <w:p w14:paraId="7E245C8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风险名称</w:t>
            </w:r>
          </w:p>
        </w:tc>
        <w:tc>
          <w:tcPr>
            <w:tcW w:w="3742" w:type="dxa"/>
            <w:shd w:val="clear" w:color="auto" w:fill="2F5597"/>
            <w:vAlign w:val="center"/>
          </w:tcPr>
          <w:p w14:paraId="5565927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风险描述</w:t>
            </w:r>
          </w:p>
        </w:tc>
        <w:tc>
          <w:tcPr>
            <w:tcW w:w="680" w:type="dxa"/>
            <w:shd w:val="clear" w:color="auto" w:fill="2F5597"/>
            <w:vAlign w:val="center"/>
          </w:tcPr>
          <w:p w14:paraId="5BB5526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概率</w:t>
            </w:r>
          </w:p>
        </w:tc>
        <w:tc>
          <w:tcPr>
            <w:tcW w:w="680" w:type="dxa"/>
            <w:shd w:val="clear" w:color="auto" w:fill="2F5597"/>
            <w:vAlign w:val="center"/>
          </w:tcPr>
          <w:p w14:paraId="5BE37CA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w="680" w:type="dxa"/>
            <w:shd w:val="clear" w:color="auto" w:fill="2F5597"/>
            <w:vAlign w:val="center"/>
          </w:tcPr>
          <w:p w14:paraId="64425A3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等级</w:t>
            </w:r>
          </w:p>
        </w:tc>
      </w:tr>
      <w:tr w14:paraId="009C738C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A63FF4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R01</w:t>
            </w:r>
          </w:p>
        </w:tc>
        <w:tc>
          <w:tcPr>
            <w:tcW w:w="1701" w:type="dxa"/>
            <w:vAlign w:val="center"/>
          </w:tcPr>
          <w:p w14:paraId="0B20DD2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高峰期并发预约冲突</w:t>
            </w:r>
          </w:p>
        </w:tc>
        <w:tc>
          <w:tcPr>
            <w:tcW w:w="3742" w:type="dxa"/>
            <w:vAlign w:val="center"/>
          </w:tcPr>
          <w:p w14:paraId="25DC4D3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考试周集中提交导致同一座位同一时段争抢。</w:t>
            </w:r>
          </w:p>
        </w:tc>
        <w:tc>
          <w:tcPr>
            <w:tcW w:w="680" w:type="dxa"/>
            <w:vAlign w:val="center"/>
          </w:tcPr>
          <w:p w14:paraId="545B8DA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  <w:tc>
          <w:tcPr>
            <w:tcW w:w="680" w:type="dxa"/>
            <w:vAlign w:val="center"/>
          </w:tcPr>
          <w:p w14:paraId="772BBB1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高</w:t>
            </w:r>
          </w:p>
        </w:tc>
        <w:tc>
          <w:tcPr>
            <w:tcW w:w="680" w:type="dxa"/>
            <w:vAlign w:val="center"/>
          </w:tcPr>
          <w:p w14:paraId="166E369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高</w:t>
            </w:r>
          </w:p>
        </w:tc>
      </w:tr>
      <w:tr w14:paraId="1ACF02E8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C2A446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R02</w:t>
            </w:r>
          </w:p>
        </w:tc>
        <w:tc>
          <w:tcPr>
            <w:tcW w:w="1701" w:type="dxa"/>
            <w:vAlign w:val="center"/>
          </w:tcPr>
          <w:p w14:paraId="6BA795C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学生预约后不到场</w:t>
            </w:r>
          </w:p>
        </w:tc>
        <w:tc>
          <w:tcPr>
            <w:tcW w:w="3742" w:type="dxa"/>
            <w:vAlign w:val="center"/>
          </w:tcPr>
          <w:p w14:paraId="23BA7FD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爽约导致座位被占用但无人使用。</w:t>
            </w:r>
          </w:p>
        </w:tc>
        <w:tc>
          <w:tcPr>
            <w:tcW w:w="680" w:type="dxa"/>
            <w:vAlign w:val="center"/>
          </w:tcPr>
          <w:p w14:paraId="389051D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高</w:t>
            </w:r>
          </w:p>
        </w:tc>
        <w:tc>
          <w:tcPr>
            <w:tcW w:w="680" w:type="dxa"/>
            <w:vAlign w:val="center"/>
          </w:tcPr>
          <w:p w14:paraId="33B67EF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  <w:tc>
          <w:tcPr>
            <w:tcW w:w="680" w:type="dxa"/>
            <w:vAlign w:val="center"/>
          </w:tcPr>
          <w:p w14:paraId="036B8D3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高</w:t>
            </w:r>
          </w:p>
        </w:tc>
      </w:tr>
      <w:tr w14:paraId="35D5385D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626E1E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R03</w:t>
            </w:r>
          </w:p>
        </w:tc>
        <w:tc>
          <w:tcPr>
            <w:tcW w:w="1701" w:type="dxa"/>
            <w:vAlign w:val="center"/>
          </w:tcPr>
          <w:p w14:paraId="65BD05E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座位平面图维护成本高</w:t>
            </w:r>
          </w:p>
        </w:tc>
        <w:tc>
          <w:tcPr>
            <w:tcW w:w="3742" w:type="dxa"/>
            <w:vAlign w:val="center"/>
          </w:tcPr>
          <w:p w14:paraId="23D3822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房间改造或座位调整后后台维护压力上升。</w:t>
            </w:r>
          </w:p>
        </w:tc>
        <w:tc>
          <w:tcPr>
            <w:tcW w:w="680" w:type="dxa"/>
            <w:vAlign w:val="center"/>
          </w:tcPr>
          <w:p w14:paraId="0FDCE8A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  <w:tc>
          <w:tcPr>
            <w:tcW w:w="680" w:type="dxa"/>
            <w:vAlign w:val="center"/>
          </w:tcPr>
          <w:p w14:paraId="11E34DE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  <w:tc>
          <w:tcPr>
            <w:tcW w:w="680" w:type="dxa"/>
            <w:vAlign w:val="center"/>
          </w:tcPr>
          <w:p w14:paraId="75256EB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</w:tr>
      <w:tr w14:paraId="07CAEDE6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125663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R04</w:t>
            </w:r>
          </w:p>
        </w:tc>
        <w:tc>
          <w:tcPr>
            <w:tcW w:w="1701" w:type="dxa"/>
            <w:vAlign w:val="center"/>
          </w:tcPr>
          <w:p w14:paraId="300381F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规则过严影响使用体验</w:t>
            </w:r>
          </w:p>
        </w:tc>
        <w:tc>
          <w:tcPr>
            <w:tcW w:w="3742" w:type="dxa"/>
            <w:vAlign w:val="center"/>
          </w:tcPr>
          <w:p w14:paraId="2BB9242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限制过多导致学生抵触系统。</w:t>
            </w:r>
          </w:p>
        </w:tc>
        <w:tc>
          <w:tcPr>
            <w:tcW w:w="680" w:type="dxa"/>
            <w:vAlign w:val="center"/>
          </w:tcPr>
          <w:p w14:paraId="1597E09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  <w:tc>
          <w:tcPr>
            <w:tcW w:w="680" w:type="dxa"/>
            <w:vAlign w:val="center"/>
          </w:tcPr>
          <w:p w14:paraId="0EEE8FE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  <w:tc>
          <w:tcPr>
            <w:tcW w:w="680" w:type="dxa"/>
            <w:vAlign w:val="center"/>
          </w:tcPr>
          <w:p w14:paraId="6CD7EE9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</w:tr>
      <w:tr w14:paraId="366DCC7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50358A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R05</w:t>
            </w:r>
          </w:p>
        </w:tc>
        <w:tc>
          <w:tcPr>
            <w:tcW w:w="1701" w:type="dxa"/>
            <w:vAlign w:val="center"/>
          </w:tcPr>
          <w:p w14:paraId="59D016E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后台权限误操作</w:t>
            </w:r>
          </w:p>
        </w:tc>
        <w:tc>
          <w:tcPr>
            <w:tcW w:w="3742" w:type="dxa"/>
            <w:vAlign w:val="center"/>
          </w:tcPr>
          <w:p w14:paraId="091C873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误关闭房间、误禁用座位或错误调整开放时间。</w:t>
            </w:r>
          </w:p>
        </w:tc>
        <w:tc>
          <w:tcPr>
            <w:tcW w:w="680" w:type="dxa"/>
            <w:vAlign w:val="center"/>
          </w:tcPr>
          <w:p w14:paraId="51785D5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低至中</w:t>
            </w:r>
          </w:p>
        </w:tc>
        <w:tc>
          <w:tcPr>
            <w:tcW w:w="680" w:type="dxa"/>
            <w:vAlign w:val="center"/>
          </w:tcPr>
          <w:p w14:paraId="5E962FB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高</w:t>
            </w:r>
          </w:p>
        </w:tc>
        <w:tc>
          <w:tcPr>
            <w:tcW w:w="680" w:type="dxa"/>
            <w:vAlign w:val="center"/>
          </w:tcPr>
          <w:p w14:paraId="25ABEFB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</w:tr>
      <w:tr w14:paraId="6976E86C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B995B8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R06</w:t>
            </w:r>
          </w:p>
        </w:tc>
        <w:tc>
          <w:tcPr>
            <w:tcW w:w="1701" w:type="dxa"/>
            <w:vAlign w:val="center"/>
          </w:tcPr>
          <w:p w14:paraId="4E66BB5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数据统计口径不一致</w:t>
            </w:r>
          </w:p>
        </w:tc>
        <w:tc>
          <w:tcPr>
            <w:tcW w:w="3742" w:type="dxa"/>
            <w:vAlign w:val="center"/>
          </w:tcPr>
          <w:p w14:paraId="7B8442B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预约率、签到率、利用率在不同报表中解释不一致。</w:t>
            </w:r>
          </w:p>
        </w:tc>
        <w:tc>
          <w:tcPr>
            <w:tcW w:w="680" w:type="dxa"/>
            <w:vAlign w:val="center"/>
          </w:tcPr>
          <w:p w14:paraId="14057A0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  <w:tc>
          <w:tcPr>
            <w:tcW w:w="680" w:type="dxa"/>
            <w:vAlign w:val="center"/>
          </w:tcPr>
          <w:p w14:paraId="372941D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  <w:tc>
          <w:tcPr>
            <w:tcW w:w="680" w:type="dxa"/>
            <w:vAlign w:val="center"/>
          </w:tcPr>
          <w:p w14:paraId="6C86CB5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</w:tr>
      <w:tr w14:paraId="47794994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B32568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R07</w:t>
            </w:r>
          </w:p>
        </w:tc>
        <w:tc>
          <w:tcPr>
            <w:tcW w:w="1701" w:type="dxa"/>
            <w:vAlign w:val="center"/>
          </w:tcPr>
          <w:p w14:paraId="60E9C12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个人信息或日志泄露</w:t>
            </w:r>
          </w:p>
        </w:tc>
        <w:tc>
          <w:tcPr>
            <w:tcW w:w="3742" w:type="dxa"/>
            <w:vAlign w:val="center"/>
          </w:tcPr>
          <w:p w14:paraId="30A190E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未经授权查看预约轨迹或导出明细。</w:t>
            </w:r>
          </w:p>
        </w:tc>
        <w:tc>
          <w:tcPr>
            <w:tcW w:w="680" w:type="dxa"/>
            <w:vAlign w:val="center"/>
          </w:tcPr>
          <w:p w14:paraId="4142D21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低至中</w:t>
            </w:r>
          </w:p>
        </w:tc>
        <w:tc>
          <w:tcPr>
            <w:tcW w:w="680" w:type="dxa"/>
            <w:vAlign w:val="center"/>
          </w:tcPr>
          <w:p w14:paraId="2FF726D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高</w:t>
            </w:r>
          </w:p>
        </w:tc>
        <w:tc>
          <w:tcPr>
            <w:tcW w:w="680" w:type="dxa"/>
            <w:vAlign w:val="center"/>
          </w:tcPr>
          <w:p w14:paraId="742DE00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</w:tr>
      <w:tr w14:paraId="46479987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12FA59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R08</w:t>
            </w:r>
          </w:p>
        </w:tc>
        <w:tc>
          <w:tcPr>
            <w:tcW w:w="1701" w:type="dxa"/>
            <w:vAlign w:val="center"/>
          </w:tcPr>
          <w:p w14:paraId="7D85D79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外部系统集成延迟</w:t>
            </w:r>
          </w:p>
        </w:tc>
        <w:tc>
          <w:tcPr>
            <w:tcW w:w="3742" w:type="dxa"/>
            <w:vAlign w:val="center"/>
          </w:tcPr>
          <w:p w14:paraId="6612473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统一身份认证、消息平台或门禁接口接入不及时。</w:t>
            </w:r>
          </w:p>
        </w:tc>
        <w:tc>
          <w:tcPr>
            <w:tcW w:w="680" w:type="dxa"/>
            <w:vAlign w:val="center"/>
          </w:tcPr>
          <w:p w14:paraId="3B1A762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  <w:tc>
          <w:tcPr>
            <w:tcW w:w="680" w:type="dxa"/>
            <w:vAlign w:val="center"/>
          </w:tcPr>
          <w:p w14:paraId="7FB8A2F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  <w:tc>
          <w:tcPr>
            <w:tcW w:w="680" w:type="dxa"/>
            <w:vAlign w:val="center"/>
          </w:tcPr>
          <w:p w14:paraId="041D8D4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中</w:t>
            </w:r>
          </w:p>
        </w:tc>
      </w:tr>
    </w:tbl>
    <w:p w14:paraId="142AB66F"/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3969"/>
        <w:gridCol w:w="3969"/>
      </w:tblGrid>
      <w:tr w14:paraId="6C11AA0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2F5597"/>
            <w:vAlign w:val="center"/>
          </w:tcPr>
          <w:p w14:paraId="6A6F553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698930F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预防措施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27D7DCD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应急措施</w:t>
            </w:r>
          </w:p>
        </w:tc>
      </w:tr>
      <w:tr w14:paraId="62452F8B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2B4DDE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R01</w:t>
            </w:r>
          </w:p>
        </w:tc>
        <w:tc>
          <w:tcPr>
            <w:tcW w:w="3969" w:type="dxa"/>
            <w:vAlign w:val="center"/>
          </w:tcPr>
          <w:p w14:paraId="366B0E3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数据库事务、唯一索引、幂等提交和短期锁。</w:t>
            </w:r>
          </w:p>
        </w:tc>
        <w:tc>
          <w:tcPr>
            <w:tcW w:w="3969" w:type="dxa"/>
            <w:vAlign w:val="center"/>
          </w:tcPr>
          <w:p w14:paraId="2D23AF8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出现冲突时以后端最终状态为准，向用户返回明确原因。</w:t>
            </w:r>
          </w:p>
        </w:tc>
      </w:tr>
      <w:tr w14:paraId="7129B170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565A7A0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R02</w:t>
            </w:r>
          </w:p>
        </w:tc>
        <w:tc>
          <w:tcPr>
            <w:tcW w:w="3969" w:type="dxa"/>
            <w:vAlign w:val="center"/>
          </w:tcPr>
          <w:p w14:paraId="20B2443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签到宽限、超时释放、提醒和分级违约限制。</w:t>
            </w:r>
          </w:p>
        </w:tc>
        <w:tc>
          <w:tcPr>
            <w:tcW w:w="3969" w:type="dxa"/>
            <w:vAlign w:val="center"/>
          </w:tcPr>
          <w:p w14:paraId="2F377D5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自动释放座位并记录违约，必要时允许管理员复核。</w:t>
            </w:r>
          </w:p>
        </w:tc>
      </w:tr>
      <w:tr w14:paraId="78130D9A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BD8E61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R03</w:t>
            </w:r>
          </w:p>
        </w:tc>
        <w:tc>
          <w:tcPr>
            <w:tcW w:w="3969" w:type="dxa"/>
            <w:vAlign w:val="center"/>
          </w:tcPr>
          <w:p w14:paraId="6E97FB0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首期使用网格化座位图，后续支持模板导入或批量编辑。</w:t>
            </w:r>
          </w:p>
        </w:tc>
        <w:tc>
          <w:tcPr>
            <w:tcW w:w="3969" w:type="dxa"/>
            <w:vAlign w:val="center"/>
          </w:tcPr>
          <w:p w14:paraId="3FC8DCA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管理员可临时禁用异常座位，集中更新布局。</w:t>
            </w:r>
          </w:p>
        </w:tc>
      </w:tr>
      <w:tr w14:paraId="7D80C9B6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B8DB31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R04</w:t>
            </w:r>
          </w:p>
        </w:tc>
        <w:tc>
          <w:tcPr>
            <w:tcW w:w="3969" w:type="dxa"/>
            <w:vAlign w:val="center"/>
          </w:tcPr>
          <w:p w14:paraId="4791CD3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试运行期先采用简单规则，基于数据逐步调整。</w:t>
            </w:r>
          </w:p>
        </w:tc>
        <w:tc>
          <w:tcPr>
            <w:tcW w:w="3969" w:type="dxa"/>
            <w:vAlign w:val="center"/>
          </w:tcPr>
          <w:p w14:paraId="72C50E0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开通反馈渠道，必要时放宽预约时长或宽限期。</w:t>
            </w:r>
          </w:p>
        </w:tc>
      </w:tr>
      <w:tr w14:paraId="393DA66B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446E512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R05</w:t>
            </w:r>
          </w:p>
        </w:tc>
        <w:tc>
          <w:tcPr>
            <w:tcW w:w="3969" w:type="dxa"/>
            <w:vAlign w:val="center"/>
          </w:tcPr>
          <w:p w14:paraId="1BAF08D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权限分级、二次确认、操作日志和变更前后对比。</w:t>
            </w:r>
          </w:p>
        </w:tc>
        <w:tc>
          <w:tcPr>
            <w:tcW w:w="3969" w:type="dxa"/>
            <w:vAlign w:val="center"/>
          </w:tcPr>
          <w:p w14:paraId="14D5A3F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依据日志回滚配置，向受影响用户发布公告。</w:t>
            </w:r>
          </w:p>
        </w:tc>
      </w:tr>
      <w:tr w14:paraId="205B5243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90B27D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R06</w:t>
            </w:r>
          </w:p>
        </w:tc>
        <w:tc>
          <w:tcPr>
            <w:tcW w:w="3969" w:type="dxa"/>
            <w:vAlign w:val="center"/>
          </w:tcPr>
          <w:p w14:paraId="5A8E5BB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建立指标字典，统一计算公式和查询口径。</w:t>
            </w:r>
          </w:p>
        </w:tc>
        <w:tc>
          <w:tcPr>
            <w:tcW w:w="3969" w:type="dxa"/>
            <w:vAlign w:val="center"/>
          </w:tcPr>
          <w:p w14:paraId="50F13B0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发布报表口径说明，修正历史汇总任务。</w:t>
            </w:r>
          </w:p>
        </w:tc>
      </w:tr>
      <w:tr w14:paraId="62296F6E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DE04DC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R07</w:t>
            </w:r>
          </w:p>
        </w:tc>
        <w:tc>
          <w:tcPr>
            <w:tcW w:w="3969" w:type="dxa"/>
            <w:vAlign w:val="center"/>
          </w:tcPr>
          <w:p w14:paraId="5161A53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最小权限、导出审计、敏感字段脱敏和访问控制。</w:t>
            </w:r>
          </w:p>
        </w:tc>
        <w:tc>
          <w:tcPr>
            <w:tcW w:w="3969" w:type="dxa"/>
            <w:vAlign w:val="center"/>
          </w:tcPr>
          <w:p w14:paraId="1533A13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暂停相关账号权限，保留证据并按校内流程处理。</w:t>
            </w:r>
          </w:p>
        </w:tc>
      </w:tr>
      <w:tr w14:paraId="37A71C36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24B238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R08</w:t>
            </w:r>
          </w:p>
        </w:tc>
        <w:tc>
          <w:tcPr>
            <w:tcW w:w="3969" w:type="dxa"/>
            <w:vAlign w:val="center"/>
          </w:tcPr>
          <w:p w14:paraId="6E3725F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首期采用账号密码或模拟接口，预留适配层。</w:t>
            </w:r>
          </w:p>
        </w:tc>
        <w:tc>
          <w:tcPr>
            <w:tcW w:w="3969" w:type="dxa"/>
            <w:vAlign w:val="center"/>
          </w:tcPr>
          <w:p w14:paraId="56D56CE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先上线核心预约闭环，集成能力后续迭代。</w:t>
            </w:r>
          </w:p>
        </w:tc>
      </w:tr>
    </w:tbl>
    <w:p w14:paraId="226413EC">
      <w:pPr>
        <w:rPr>
          <w:rFonts w:ascii="Times New Roman" w:hAnsi="Times New Roman"/>
        </w:rPr>
      </w:pPr>
    </w:p>
    <w:p w14:paraId="3734E567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6.2 风险控制原则</w:t>
      </w:r>
    </w:p>
    <w:p w14:paraId="62B4C978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以预约一致性为最高优先级：任何座位状态展示均不得替代后端预约事务校验。</w:t>
      </w:r>
    </w:p>
    <w:p w14:paraId="19309CB2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以试点反馈降低制度风险：预约时长、签到宽限和违约限制先简单后精细。</w:t>
      </w:r>
    </w:p>
    <w:p w14:paraId="29A5198D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以配置化降低维护风险：楼宇、房间、座位、规则和开放时段均通过后台维护。</w:t>
      </w:r>
    </w:p>
    <w:p w14:paraId="614B1CD6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以日志和备份保障可恢复：关键管理操作、导出、规则变更和异常处理均留痕。</w:t>
      </w:r>
    </w:p>
    <w:p w14:paraId="6B65456E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以阶段建设降低实施风险：首期不绑定复杂硬件，先上线低依赖的 MVP。</w:t>
      </w:r>
    </w:p>
    <w:p w14:paraId="591A3BE9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6.3 风险分析结论</w:t>
      </w:r>
    </w:p>
    <w:tbl>
      <w:tblPr>
        <w:tblStyle w:val="33"/>
        <w:tblW w:w="0" w:type="auto"/>
        <w:jc w:val="center"/>
        <w:tblBorders>
          <w:top w:val="single" w:color="B4C6E7" w:sz="6" w:space="0"/>
          <w:left w:val="single" w:color="B4C6E7" w:sz="6" w:space="0"/>
          <w:bottom w:val="single" w:color="B4C6E7" w:sz="6" w:space="0"/>
          <w:right w:val="single" w:color="B4C6E7" w:sz="6" w:space="0"/>
          <w:insideH w:val="single" w:color="B4C6E7" w:sz="6" w:space="0"/>
          <w:insideV w:val="single" w:color="B4C6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4D7EA60">
        <w:tblPrEx>
          <w:tblBorders>
            <w:top w:val="single" w:color="B4C6E7" w:sz="6" w:space="0"/>
            <w:left w:val="single" w:color="B4C6E7" w:sz="6" w:space="0"/>
            <w:bottom w:val="single" w:color="B4C6E7" w:sz="6" w:space="0"/>
            <w:right w:val="single" w:color="B4C6E7" w:sz="6" w:space="0"/>
            <w:insideH w:val="single" w:color="B4C6E7" w:sz="6" w:space="0"/>
            <w:insideV w:val="single" w:color="B4C6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shd w:val="clear" w:color="auto" w:fill="EAF2F8"/>
          </w:tcPr>
          <w:p w14:paraId="57DB1661">
            <w:pPr>
              <w:spacing w:after="40" w:line="264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Noto Sans CJK SC"/>
                <w:b/>
                <w:color w:val="1F3763"/>
                <w:sz w:val="20"/>
              </w:rPr>
              <w:t>风险结论</w:t>
            </w:r>
          </w:p>
          <w:p w14:paraId="0B73C441">
            <w:pPr>
              <w:spacing w:after="40" w:line="264" w:lineRule="auto"/>
            </w:pPr>
            <w:r>
              <w:rPr>
                <w:rFonts w:ascii="Times New Roman" w:hAnsi="Times New Roman" w:eastAsia="Noto Sans CJK SC"/>
                <w:sz w:val="19"/>
              </w:rPr>
              <w:t>项目主要风险集中在并发一致性、爽约治理、规则接受度、后台误操作和数据安全。上述风险可通过工程控制、管理制度和分阶段试点共同降低，不构成项目否决因素。整体风险水平为“中等可控”。</w:t>
            </w:r>
          </w:p>
        </w:tc>
      </w:tr>
    </w:tbl>
    <w:p w14:paraId="6DD476A3">
      <w:pPr>
        <w:rPr>
          <w:rFonts w:ascii="Times New Roman" w:hAnsi="Times New Roman"/>
        </w:rPr>
      </w:pPr>
    </w:p>
    <w:p w14:paraId="151D18B3">
      <w:pPr>
        <w:pStyle w:val="3"/>
        <w:spacing w:before="240" w:after="120"/>
      </w:pPr>
      <w:r>
        <w:rPr>
          <w:rFonts w:ascii="Times New Roman" w:hAnsi="Times New Roman" w:eastAsia="Noto Sans CJK SC"/>
          <w:b/>
          <w:color w:val="1F3763"/>
          <w:sz w:val="32"/>
        </w:rPr>
        <w:t>7. 结论与建议</w:t>
      </w:r>
    </w:p>
    <w:p w14:paraId="2A3DBBF5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7.1 综合评价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304"/>
        <w:gridCol w:w="5499"/>
      </w:tblGrid>
      <w:tr w14:paraId="083F04F8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2F5597"/>
            <w:vAlign w:val="center"/>
          </w:tcPr>
          <w:p w14:paraId="6102D5E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评价维度</w:t>
            </w:r>
          </w:p>
        </w:tc>
        <w:tc>
          <w:tcPr>
            <w:tcW w:w="1304" w:type="dxa"/>
            <w:shd w:val="clear" w:color="auto" w:fill="2F5597"/>
            <w:vAlign w:val="center"/>
          </w:tcPr>
          <w:p w14:paraId="39A8F5E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w="5499" w:type="dxa"/>
            <w:shd w:val="clear" w:color="auto" w:fill="2F5597"/>
            <w:vAlign w:val="center"/>
          </w:tcPr>
          <w:p w14:paraId="0721B92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7"/>
              </w:rPr>
              <w:t>理由</w:t>
            </w:r>
          </w:p>
        </w:tc>
      </w:tr>
      <w:tr w14:paraId="559861F3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D6D551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项目背景与必要性</w:t>
            </w:r>
          </w:p>
        </w:tc>
        <w:tc>
          <w:tcPr>
            <w:tcW w:w="1304" w:type="dxa"/>
            <w:vAlign w:val="center"/>
          </w:tcPr>
          <w:p w14:paraId="48AAEA2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必要性高</w:t>
            </w:r>
          </w:p>
        </w:tc>
        <w:tc>
          <w:tcPr>
            <w:tcW w:w="5499" w:type="dxa"/>
            <w:vAlign w:val="center"/>
          </w:tcPr>
          <w:p w14:paraId="378A9A4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校园自习空间供需矛盾、占座纠纷、管理统计困难等问题明确。</w:t>
            </w:r>
          </w:p>
        </w:tc>
      </w:tr>
      <w:tr w14:paraId="40FE70C3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0DB36E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技术可行性</w:t>
            </w:r>
          </w:p>
        </w:tc>
        <w:tc>
          <w:tcPr>
            <w:tcW w:w="1304" w:type="dxa"/>
            <w:vAlign w:val="center"/>
          </w:tcPr>
          <w:p w14:paraId="7BD06EE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高</w:t>
            </w:r>
          </w:p>
        </w:tc>
        <w:tc>
          <w:tcPr>
            <w:tcW w:w="5499" w:type="dxa"/>
            <w:vAlign w:val="center"/>
          </w:tcPr>
          <w:p w14:paraId="4F5C30A8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Web、数据库、权限认证、二维码、缓存锁和数据可视化技术成熟。</w:t>
            </w:r>
          </w:p>
        </w:tc>
      </w:tr>
      <w:tr w14:paraId="52CCE974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A91B02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经济可行性</w:t>
            </w:r>
          </w:p>
        </w:tc>
        <w:tc>
          <w:tcPr>
            <w:tcW w:w="1304" w:type="dxa"/>
            <w:vAlign w:val="center"/>
          </w:tcPr>
          <w:p w14:paraId="5E9A913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较高</w:t>
            </w:r>
          </w:p>
        </w:tc>
        <w:tc>
          <w:tcPr>
            <w:tcW w:w="5499" w:type="dxa"/>
            <w:vAlign w:val="center"/>
          </w:tcPr>
          <w:p w14:paraId="6AAB74AA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首期不依赖昂贵硬件，投入可控，管理收益和体验收益明确。</w:t>
            </w:r>
          </w:p>
        </w:tc>
      </w:tr>
      <w:tr w14:paraId="65AB51DA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D9CE3C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操作可行性</w:t>
            </w:r>
          </w:p>
        </w:tc>
        <w:tc>
          <w:tcPr>
            <w:tcW w:w="1304" w:type="dxa"/>
            <w:vAlign w:val="center"/>
          </w:tcPr>
          <w:p w14:paraId="04FDC38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较高</w:t>
            </w:r>
          </w:p>
        </w:tc>
        <w:tc>
          <w:tcPr>
            <w:tcW w:w="5499" w:type="dxa"/>
            <w:vAlign w:val="center"/>
          </w:tcPr>
          <w:p w14:paraId="1B6CD7F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学生使用门槛低，管理员职责与系统功能匹配。</w:t>
            </w:r>
          </w:p>
        </w:tc>
      </w:tr>
      <w:tr w14:paraId="131E5DF7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C2593B3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法律/社会可行性</w:t>
            </w:r>
          </w:p>
        </w:tc>
        <w:tc>
          <w:tcPr>
            <w:tcW w:w="1304" w:type="dxa"/>
            <w:vAlign w:val="center"/>
          </w:tcPr>
          <w:p w14:paraId="3E6FFF5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可控</w:t>
            </w:r>
          </w:p>
        </w:tc>
        <w:tc>
          <w:tcPr>
            <w:tcW w:w="5499" w:type="dxa"/>
            <w:vAlign w:val="center"/>
          </w:tcPr>
          <w:p w14:paraId="62581B9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通过最小必要采集、权限隔离、日志审计和规则公示可控制风险。</w:t>
            </w:r>
          </w:p>
        </w:tc>
      </w:tr>
      <w:tr w14:paraId="7E6C7F5A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DD344C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风险可控性</w:t>
            </w:r>
          </w:p>
        </w:tc>
        <w:tc>
          <w:tcPr>
            <w:tcW w:w="1304" w:type="dxa"/>
            <w:vAlign w:val="center"/>
          </w:tcPr>
          <w:p w14:paraId="133439D4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中等可控</w:t>
            </w:r>
          </w:p>
        </w:tc>
        <w:tc>
          <w:tcPr>
            <w:tcW w:w="5499" w:type="dxa"/>
            <w:vAlign w:val="center"/>
          </w:tcPr>
          <w:p w14:paraId="2C0DC549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7"/>
              </w:rPr>
              <w:t>主要风险可通过事务、规则配置、试点反馈和运维制度降低。</w:t>
            </w:r>
          </w:p>
        </w:tc>
      </w:tr>
    </w:tbl>
    <w:p w14:paraId="4A5DD86B">
      <w:pPr>
        <w:rPr>
          <w:rFonts w:ascii="Times New Roman" w:hAnsi="Times New Roman"/>
        </w:rPr>
      </w:pPr>
    </w:p>
    <w:p w14:paraId="3C5FCDE6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7.2 最终结论</w:t>
      </w:r>
    </w:p>
    <w:p w14:paraId="37618F94">
      <w:pPr>
        <w:spacing w:after="120" w:line="300" w:lineRule="auto"/>
        <w:ind w:firstLine="420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1"/>
        </w:rPr>
        <w:t>综合分析表明，可视化校园自习室预约系统在技术上可实现、经济上投入可控、操作上可嵌入现有管理流程、法律与社会风险可管理，具备立项开发和试点运行条件。建议项目进入概要设计、详细设计、开发实现和试运行阶段。</w:t>
      </w:r>
    </w:p>
    <w:p w14:paraId="11E2B3D6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7.3 实施建议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75"/>
        <w:gridCol w:w="2608"/>
        <w:gridCol w:w="1247"/>
      </w:tblGrid>
      <w:tr w14:paraId="22400D60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3EA5E7A2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w="3175" w:type="dxa"/>
            <w:shd w:val="clear" w:color="auto" w:fill="2F5597"/>
            <w:vAlign w:val="center"/>
          </w:tcPr>
          <w:p w14:paraId="1BD5F4A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建设重点</w:t>
            </w:r>
          </w:p>
        </w:tc>
        <w:tc>
          <w:tcPr>
            <w:tcW w:w="2608" w:type="dxa"/>
            <w:shd w:val="clear" w:color="auto" w:fill="2F5597"/>
            <w:vAlign w:val="center"/>
          </w:tcPr>
          <w:p w14:paraId="770FCA65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建议交付物</w:t>
            </w:r>
          </w:p>
        </w:tc>
        <w:tc>
          <w:tcPr>
            <w:tcW w:w="1247" w:type="dxa"/>
            <w:shd w:val="clear" w:color="auto" w:fill="2F5597"/>
            <w:vAlign w:val="center"/>
          </w:tcPr>
          <w:p w14:paraId="5E5F34F0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控制要点</w:t>
            </w:r>
          </w:p>
        </w:tc>
      </w:tr>
      <w:tr w14:paraId="463FB28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80B999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第一阶段：MVP 建设</w:t>
            </w:r>
          </w:p>
        </w:tc>
        <w:tc>
          <w:tcPr>
            <w:tcW w:w="3175" w:type="dxa"/>
            <w:vAlign w:val="center"/>
          </w:tcPr>
          <w:p w14:paraId="782A5CE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登录、座位可视化、预约、取消、扫码签到、超时释放、后台资源配置、基础统计。</w:t>
            </w:r>
          </w:p>
        </w:tc>
        <w:tc>
          <w:tcPr>
            <w:tcW w:w="2608" w:type="dxa"/>
            <w:vAlign w:val="center"/>
          </w:tcPr>
          <w:p w14:paraId="0DF40DE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可运行原型、数据库表结构、接口清单、管理员操作手册。</w:t>
            </w:r>
          </w:p>
        </w:tc>
        <w:tc>
          <w:tcPr>
            <w:tcW w:w="1247" w:type="dxa"/>
            <w:vAlign w:val="center"/>
          </w:tcPr>
          <w:p w14:paraId="292C5287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控制范围，确保预约闭环稳定。</w:t>
            </w:r>
          </w:p>
        </w:tc>
      </w:tr>
      <w:tr w14:paraId="4029FCE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73A2191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第二阶段：试点运行</w:t>
            </w:r>
          </w:p>
        </w:tc>
        <w:tc>
          <w:tcPr>
            <w:tcW w:w="3175" w:type="dxa"/>
            <w:vAlign w:val="center"/>
          </w:tcPr>
          <w:p w14:paraId="5A056F1B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选择一个楼宇或若干自习室试运行，完善违规规则、通知提醒、日志审计和报表导出。</w:t>
            </w:r>
          </w:p>
        </w:tc>
        <w:tc>
          <w:tcPr>
            <w:tcW w:w="2608" w:type="dxa"/>
            <w:vAlign w:val="center"/>
          </w:tcPr>
          <w:p w14:paraId="25863FC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试运行报告、问题清单、规则调整方案、用户反馈记录。</w:t>
            </w:r>
          </w:p>
        </w:tc>
        <w:tc>
          <w:tcPr>
            <w:tcW w:w="1247" w:type="dxa"/>
            <w:vAlign w:val="center"/>
          </w:tcPr>
          <w:p w14:paraId="1E77331E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重点观察爽约率、冲突率和用户接受度。</w:t>
            </w:r>
          </w:p>
        </w:tc>
      </w:tr>
      <w:tr w14:paraId="434FA25F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01AA81F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第三阶段：推广优化</w:t>
            </w:r>
          </w:p>
        </w:tc>
        <w:tc>
          <w:tcPr>
            <w:tcW w:w="3175" w:type="dxa"/>
            <w:vAlign w:val="center"/>
          </w:tcPr>
          <w:p w14:paraId="0B1459FD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接入统一身份认证、消息平台、更多楼宇和高级统计，评估门禁或座位屏联动。</w:t>
            </w:r>
          </w:p>
        </w:tc>
        <w:tc>
          <w:tcPr>
            <w:tcW w:w="2608" w:type="dxa"/>
            <w:vAlign w:val="center"/>
          </w:tcPr>
          <w:p w14:paraId="7E60459C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推广方案、运维预案、压测报告、数据治理规范。</w:t>
            </w:r>
          </w:p>
        </w:tc>
        <w:tc>
          <w:tcPr>
            <w:tcW w:w="1247" w:type="dxa"/>
            <w:vAlign w:val="center"/>
          </w:tcPr>
          <w:p w14:paraId="19DC3CA6">
            <w:pPr>
              <w:spacing w:after="40" w:line="264" w:lineRule="auto"/>
              <w:jc w:val="left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分批上线，避免一次性扩大范围。</w:t>
            </w:r>
          </w:p>
        </w:tc>
      </w:tr>
    </w:tbl>
    <w:p w14:paraId="58A0B6C2">
      <w:pPr>
        <w:rPr>
          <w:rFonts w:ascii="Times New Roman" w:hAnsi="Times New Roman"/>
        </w:rPr>
      </w:pPr>
    </w:p>
    <w:p w14:paraId="35A4BDAC">
      <w:pPr>
        <w:pStyle w:val="4"/>
        <w:spacing w:before="160" w:after="120"/>
      </w:pPr>
      <w:r>
        <w:rPr>
          <w:rFonts w:ascii="Times New Roman" w:hAnsi="Times New Roman" w:eastAsia="Noto Sans CJK SC"/>
          <w:b/>
          <w:color w:val="1F3763"/>
          <w:sz w:val="26"/>
        </w:rPr>
        <w:t>7.4 立项前提与验收关注点</w:t>
      </w:r>
    </w:p>
    <w:p w14:paraId="38A86704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立项前应明确试点自习室范围、管理责任人、预约规则、签到宽限期、违规限制和申诉处理方式。</w:t>
      </w:r>
    </w:p>
    <w:p w14:paraId="03787B45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开发阶段应优先验证预约冲突控制、状态流转、超时释放、权限隔离和日志审计。</w:t>
      </w:r>
    </w:p>
    <w:p w14:paraId="494023F9">
      <w:pPr>
        <w:pStyle w:val="16"/>
        <w:spacing w:after="60" w:line="288" w:lineRule="auto"/>
        <w:rPr>
          <w:rFonts w:ascii="Times New Roman" w:hAnsi="Times New Roman"/>
        </w:rPr>
      </w:pPr>
      <w:r>
        <w:rPr>
          <w:rFonts w:ascii="Times New Roman" w:hAnsi="Times New Roman" w:eastAsia="Noto Sans CJK SC"/>
          <w:sz w:val="20"/>
        </w:rPr>
        <w:t>试运行阶段应重点统计预约成功率、签到率、爽约率、座位利用率、用户反馈和管理员处理效率。</w:t>
      </w:r>
    </w:p>
    <w:p w14:paraId="66CBD4C7">
      <w:pPr>
        <w:pStyle w:val="16"/>
        <w:spacing w:after="60" w:line="288" w:lineRule="auto"/>
      </w:pPr>
      <w:r>
        <w:rPr>
          <w:rFonts w:ascii="Times New Roman" w:hAnsi="Times New Roman" w:eastAsia="Noto Sans CJK SC"/>
          <w:sz w:val="20"/>
        </w:rPr>
        <w:t>正式推广前应补充安全测试、压力测试、备份恢复演练、管理员培训和用户公告材料。</w:t>
      </w:r>
    </w:p>
    <w:tbl>
      <w:tblPr>
        <w:tblStyle w:val="33"/>
        <w:tblW w:w="0" w:type="auto"/>
        <w:jc w:val="center"/>
        <w:tblBorders>
          <w:top w:val="single" w:color="B4C6E7" w:sz="6" w:space="0"/>
          <w:left w:val="single" w:color="B4C6E7" w:sz="6" w:space="0"/>
          <w:bottom w:val="single" w:color="B4C6E7" w:sz="6" w:space="0"/>
          <w:right w:val="single" w:color="B4C6E7" w:sz="6" w:space="0"/>
          <w:insideH w:val="single" w:color="B4C6E7" w:sz="6" w:space="0"/>
          <w:insideV w:val="single" w:color="B4C6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33A717C">
        <w:tblPrEx>
          <w:tblBorders>
            <w:top w:val="single" w:color="B4C6E7" w:sz="6" w:space="0"/>
            <w:left w:val="single" w:color="B4C6E7" w:sz="6" w:space="0"/>
            <w:bottom w:val="single" w:color="B4C6E7" w:sz="6" w:space="0"/>
            <w:right w:val="single" w:color="B4C6E7" w:sz="6" w:space="0"/>
            <w:insideH w:val="single" w:color="B4C6E7" w:sz="6" w:space="0"/>
            <w:insideV w:val="single" w:color="B4C6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shd w:val="clear" w:color="auto" w:fill="EAF2F8"/>
          </w:tcPr>
          <w:p w14:paraId="138D5492">
            <w:pPr>
              <w:spacing w:after="40" w:line="264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Noto Sans CJK SC"/>
                <w:b/>
                <w:color w:val="1F3763"/>
                <w:sz w:val="20"/>
              </w:rPr>
              <w:t>最终建议</w:t>
            </w:r>
          </w:p>
          <w:p w14:paraId="46C4BBA8">
            <w:pPr>
              <w:spacing w:after="40" w:line="264" w:lineRule="auto"/>
            </w:pPr>
            <w:r>
              <w:rPr>
                <w:rFonts w:ascii="Times New Roman" w:hAnsi="Times New Roman" w:eastAsia="Noto Sans CJK SC"/>
                <w:sz w:val="19"/>
              </w:rPr>
              <w:t>建议立项开发。若用于课程设计，最终成果应定位为具备完整预约闭环、后台管理和统计看板的可演示原型；若用于校内试点，应补充安全测试、运维预案、用户培训材料和试运行评估机制后上线。</w:t>
            </w:r>
          </w:p>
        </w:tc>
      </w:tr>
    </w:tbl>
    <w:p w14:paraId="522C0CB6">
      <w:pPr>
        <w:rPr>
          <w:rFonts w:ascii="Times New Roman" w:hAnsi="Times New Roman"/>
        </w:rPr>
      </w:pPr>
    </w:p>
    <w:p w14:paraId="1670AB74">
      <w:pPr>
        <w:spacing w:after="120" w:line="300" w:lineRule="auto"/>
        <w:ind w:firstLine="420"/>
        <w:rPr>
          <w:rFonts w:ascii="Times New Roman" w:hAnsi="Times New Roman"/>
        </w:rPr>
      </w:pPr>
    </w:p>
    <w:sectPr>
      <w:headerReference r:id="rId5" w:type="default"/>
      <w:footerReference r:id="rId6" w:type="default"/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(使用中文字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2A855">
    <w:pPr>
      <w:pStyle w:val="24"/>
      <w:jc w:val="center"/>
    </w:pPr>
    <w:r>
      <w:rPr>
        <w:rFonts w:ascii="Noto Sans CJK SC" w:hAnsi="Noto Sans CJK SC" w:eastAsia="Noto Sans CJK SC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ans CJK SC" w:hAnsi="Noto Sans CJK SC" w:eastAsia="Noto Sans CJK S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AC894">
    <w:pPr>
      <w:pStyle w:val="25"/>
      <w:jc w:val="right"/>
    </w:pPr>
    <w:r>
      <w:rPr>
        <w:rFonts w:ascii="Noto Sans CJK SC" w:hAnsi="Noto Sans CJK SC" w:eastAsia="Noto Sans CJK SC"/>
        <w:color w:val="666666"/>
        <w:sz w:val="16"/>
      </w:rPr>
      <w:t>可视化校园自习室预约系统｜软件可行性分析报告（GB/T 8567 附录A修订版）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F12980"/>
    <w:rsid w:val="3487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763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763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1197</Words>
  <Characters>1240</Characters>
  <Lines>0</Lines>
  <Paragraphs>0</Paragraphs>
  <TotalTime>0</TotalTime>
  <ScaleCrop>false</ScaleCrop>
  <LinksUpToDate>false</LinksUpToDate>
  <CharactersWithSpaces>1273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周源丞</cp:lastModifiedBy>
  <dcterms:modified xsi:type="dcterms:W3CDTF">2026-06-25T11:55:32Z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eyJoZGlkIjoiYmY5ODc0MTAyMjNhMWViNjRlOGM4ZWRmYjNjN2I1NWEiLCJ1c2VySWQiOiIxNjQzMzk1ODUyIn0=</vt:lpwstr>
  </property>
  <property fmtid="{D5CDD505-2E9C-101B-9397-08002B2CF9AE}" pid="3" name="KSOProductBuildVer">
    <vt:lpwstr>2052-12.1.0.26895</vt:lpwstr>
  </property>
  <property fmtid="{D5CDD505-2E9C-101B-9397-08002B2CF9AE}" pid="4" name="ICV">
    <vt:lpwstr>345CE435FA2B4B78AAA4AEBF05191DAA_12</vt:lpwstr>
  </property>
</Properties>
</file>