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D6047" w14:textId="77777777" w:rsidR="00AE34C2" w:rsidRPr="00790563" w:rsidRDefault="00AE34C2" w:rsidP="00AE34C2">
      <w:pPr>
        <w:spacing w:line="240" w:lineRule="auto"/>
        <w:rPr>
          <w:b/>
          <w:bCs/>
        </w:rPr>
      </w:pPr>
      <w:r w:rsidRPr="00790563">
        <w:rPr>
          <w:b/>
          <w:bCs/>
        </w:rPr>
        <w:t>RECOMMENDATION MEMO</w:t>
      </w:r>
    </w:p>
    <w:p w14:paraId="1D437683" w14:textId="3E68544B" w:rsidR="00AE34C2" w:rsidRPr="00790563" w:rsidRDefault="00AE34C2" w:rsidP="00AE34C2">
      <w:pPr>
        <w:spacing w:line="240" w:lineRule="auto"/>
      </w:pPr>
      <w:r w:rsidRPr="00790563">
        <w:rPr>
          <w:b/>
          <w:bCs/>
        </w:rPr>
        <w:t>To:</w:t>
      </w:r>
      <w:r w:rsidRPr="00790563">
        <w:t xml:space="preserve"> Vice President of Population Health, Meridian Care Network</w:t>
      </w:r>
      <w:r w:rsidRPr="00790563">
        <w:br/>
      </w:r>
      <w:r w:rsidRPr="00790563">
        <w:rPr>
          <w:b/>
          <w:bCs/>
        </w:rPr>
        <w:t>From:</w:t>
      </w:r>
      <w:r w:rsidRPr="00790563">
        <w:t xml:space="preserve"> Healthcare Data Analytics Team</w:t>
      </w:r>
      <w:r w:rsidRPr="00790563">
        <w:br/>
      </w:r>
      <w:r w:rsidRPr="00790563">
        <w:rPr>
          <w:b/>
          <w:bCs/>
        </w:rPr>
        <w:t>Subject:</w:t>
      </w:r>
      <w:r w:rsidRPr="00790563">
        <w:t xml:space="preserve"> Analysis of 30-Day Readmission Patterns and Care-Coordination Prioriti</w:t>
      </w:r>
      <w:r>
        <w:t>z</w:t>
      </w:r>
      <w:r w:rsidRPr="00790563">
        <w:t>ation</w:t>
      </w:r>
      <w:r w:rsidRPr="00790563">
        <w:br/>
      </w:r>
      <w:r w:rsidRPr="00790563">
        <w:rPr>
          <w:b/>
          <w:bCs/>
        </w:rPr>
        <w:t>Date:</w:t>
      </w:r>
      <w:r w:rsidRPr="00790563">
        <w:t xml:space="preserve"> 9 October 2026</w:t>
      </w:r>
    </w:p>
    <w:p w14:paraId="40263696" w14:textId="77777777" w:rsidR="00AE34C2" w:rsidRPr="00790563" w:rsidRDefault="00AE34C2" w:rsidP="00AE34C2">
      <w:pPr>
        <w:spacing w:line="240" w:lineRule="auto"/>
        <w:rPr>
          <w:b/>
          <w:bCs/>
        </w:rPr>
      </w:pPr>
      <w:r w:rsidRPr="00790563">
        <w:rPr>
          <w:b/>
          <w:bCs/>
        </w:rPr>
        <w:t>Executive Summary</w:t>
      </w:r>
    </w:p>
    <w:p w14:paraId="1508FEC6" w14:textId="34F53186" w:rsidR="00AE34C2" w:rsidRPr="00790563" w:rsidRDefault="00AE34C2" w:rsidP="00AE34C2">
      <w:pPr>
        <w:spacing w:line="240" w:lineRule="auto"/>
      </w:pPr>
      <w:r w:rsidRPr="00790563">
        <w:t>An analysis of 101,766 hospital encounters from the UCI Diabetes 130-US Hospitals dataset found that 11,357 encounters were followed by a recorded readmission within 30 days, giving an overall observed rate of 11.2%. The analysis identified differences in readmission rates across age groups, admission types, lengths of stay, and previous inpatient utili</w:t>
      </w:r>
      <w:r>
        <w:t>z</w:t>
      </w:r>
      <w:r w:rsidRPr="00790563">
        <w:t>ation.</w:t>
      </w:r>
    </w:p>
    <w:p w14:paraId="1522A316" w14:textId="77777777" w:rsidR="00AE34C2" w:rsidRPr="00790563" w:rsidRDefault="00AE34C2" w:rsidP="00AE34C2">
      <w:pPr>
        <w:spacing w:line="240" w:lineRule="auto"/>
        <w:rPr>
          <w:b/>
          <w:bCs/>
        </w:rPr>
      </w:pPr>
      <w:r w:rsidRPr="00790563">
        <w:rPr>
          <w:b/>
          <w:bCs/>
        </w:rPr>
        <w:t>Key Findings</w:t>
      </w:r>
    </w:p>
    <w:p w14:paraId="6CD73C76" w14:textId="77777777" w:rsidR="00AE34C2" w:rsidRPr="00790563" w:rsidRDefault="00AE34C2" w:rsidP="00AE34C2">
      <w:pPr>
        <w:spacing w:line="240" w:lineRule="auto"/>
      </w:pPr>
      <w:r w:rsidRPr="00790563">
        <w:t>Emergency admissions had an observed 30-day readmission rate of 11.5% across 53,990 encounters. The 10-day length-of-stay category recorded a rate of 14.3% across 2,342 encounters, compared with 8.2% across 14,208 encounters for one-day stays. Across age groups, the observed rates varied rather than increasing steadily with age.</w:t>
      </w:r>
    </w:p>
    <w:p w14:paraId="183760EC" w14:textId="7FD4293D" w:rsidR="00AE34C2" w:rsidRPr="00790563" w:rsidRDefault="00AE34C2" w:rsidP="00AE34C2">
      <w:pPr>
        <w:spacing w:line="240" w:lineRule="auto"/>
      </w:pPr>
      <w:r w:rsidRPr="00790563">
        <w:t>Previous inpatient utili</w:t>
      </w:r>
      <w:r>
        <w:t>z</w:t>
      </w:r>
      <w:r w:rsidRPr="00790563">
        <w:t>ation showed a clearer pattern. The observed 30-day readmission rate increased from 8.4% among encounters with no previous inpatient visits to 12.9% with one visit, 17.4% with two visits, 21.4% with three to four visits, and 36.4% with five or more visits.</w:t>
      </w:r>
    </w:p>
    <w:p w14:paraId="1F8E007F" w14:textId="77777777" w:rsidR="00AE34C2" w:rsidRPr="00790563" w:rsidRDefault="00AE34C2" w:rsidP="00AE34C2">
      <w:pPr>
        <w:spacing w:line="240" w:lineRule="auto"/>
        <w:rPr>
          <w:b/>
          <w:bCs/>
        </w:rPr>
      </w:pPr>
      <w:r w:rsidRPr="00790563">
        <w:rPr>
          <w:b/>
          <w:bCs/>
        </w:rPr>
        <w:t>Preliminary Risk Flag</w:t>
      </w:r>
    </w:p>
    <w:p w14:paraId="25B5DBE9" w14:textId="77777777" w:rsidR="00AE34C2" w:rsidRPr="00790563" w:rsidRDefault="00AE34C2" w:rsidP="00AE34C2">
      <w:pPr>
        <w:spacing w:line="240" w:lineRule="auto"/>
      </w:pPr>
      <w:r w:rsidRPr="00790563">
        <w:t>A simple rule was developed to identify encounters with at least two previous inpatient visits as Higher Priority. This group contained 14,615 encounters, representing 14.4% of all encounters, and had an observed 30-day readmission rate of 21.4%, compared with 9.4% among Standard Priority encounters.</w:t>
      </w:r>
    </w:p>
    <w:p w14:paraId="4CC22FF8" w14:textId="5129342F" w:rsidR="00AE34C2" w:rsidRPr="00790563" w:rsidRDefault="00AE34C2" w:rsidP="00AE34C2">
      <w:pPr>
        <w:spacing w:line="240" w:lineRule="auto"/>
      </w:pPr>
      <w:r w:rsidRPr="00790563">
        <w:t>The flag identified 3,128 of the 11,357 recorded 30-day readmissions, capturing 27.5% of readmissions. However, it did not capture the remaining 72.5%. It should therefore be used as an additional prioriti</w:t>
      </w:r>
      <w:r>
        <w:t>z</w:t>
      </w:r>
      <w:r w:rsidRPr="00790563">
        <w:t>ation signal rather than the sole criterion for follow-up.</w:t>
      </w:r>
    </w:p>
    <w:p w14:paraId="50B70B05" w14:textId="77777777" w:rsidR="00AE34C2" w:rsidRPr="00790563" w:rsidRDefault="00AE34C2" w:rsidP="00AE34C2">
      <w:pPr>
        <w:spacing w:line="240" w:lineRule="auto"/>
        <w:rPr>
          <w:b/>
          <w:bCs/>
        </w:rPr>
      </w:pPr>
      <w:r w:rsidRPr="00790563">
        <w:rPr>
          <w:b/>
          <w:bCs/>
        </w:rPr>
        <w:t>Workload Implications and Recommendation</w:t>
      </w:r>
    </w:p>
    <w:p w14:paraId="192E9510" w14:textId="77777777" w:rsidR="00AE34C2" w:rsidRPr="00790563" w:rsidRDefault="00AE34C2" w:rsidP="00AE34C2">
      <w:pPr>
        <w:spacing w:line="240" w:lineRule="auto"/>
      </w:pPr>
      <w:r w:rsidRPr="00790563">
        <w:t>Under an illustrative assumption of one follow-up contact per encounter, targeting the Higher Priority group would involve 14,615 contacts rather than 101,766 contacts if every encounter were targeted, an 85.6% reduction in the number of contacts. These figures represent encounters, not unique patients, and do not establish actual staffing or financial savings.</w:t>
      </w:r>
    </w:p>
    <w:p w14:paraId="2B193CEA" w14:textId="77777777" w:rsidR="00AE34C2" w:rsidRPr="00790563" w:rsidRDefault="00AE34C2" w:rsidP="00AE34C2">
      <w:pPr>
        <w:spacing w:line="240" w:lineRule="auto"/>
      </w:pPr>
      <w:r w:rsidRPr="00790563">
        <w:t>Meridian should consider piloting this rule alongside existing clinical discharge assessments, while retaining clinical judgement and other appropriate criteria for identifying patients who may need support. The pilot should monitor follow-up completion, subsequent readmissions, workload, and whether the approach overlooks patients outside the flagged group.</w:t>
      </w:r>
    </w:p>
    <w:p w14:paraId="02429608" w14:textId="77777777" w:rsidR="00AE34C2" w:rsidRPr="00790563" w:rsidRDefault="00AE34C2" w:rsidP="00AE34C2">
      <w:pPr>
        <w:spacing w:line="240" w:lineRule="auto"/>
        <w:rPr>
          <w:b/>
          <w:bCs/>
        </w:rPr>
      </w:pPr>
      <w:r w:rsidRPr="00790563">
        <w:rPr>
          <w:b/>
          <w:bCs/>
        </w:rPr>
        <w:t>Limitations</w:t>
      </w:r>
    </w:p>
    <w:p w14:paraId="4F826D26" w14:textId="77777777" w:rsidR="00AE34C2" w:rsidRPr="00790563" w:rsidRDefault="00AE34C2" w:rsidP="00AE34C2">
      <w:pPr>
        <w:spacing w:line="240" w:lineRule="auto"/>
      </w:pPr>
      <w:r w:rsidRPr="00790563">
        <w:t>The analysis is observational and identifies associations, not causes. The dataset covers 1999–2008 and may not reflect current clinical practice. The flag has not been clinically validated, and the encounter-based workload estimate is illustrative. Further validation using current patient-level data is recommended before operational adoption.</w:t>
      </w:r>
    </w:p>
    <w:p w14:paraId="5FF72880" w14:textId="3F5A5B8B" w:rsidR="00AE34C2" w:rsidRPr="00AE34C2" w:rsidRDefault="00AE34C2" w:rsidP="00AE34C2">
      <w:pPr>
        <w:spacing w:line="240" w:lineRule="auto"/>
        <w:rPr>
          <w:lang w:val="en-GB"/>
        </w:rPr>
      </w:pPr>
    </w:p>
    <w:sectPr w:rsidR="00AE34C2" w:rsidRPr="00AE34C2" w:rsidSect="00AE34C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4C2"/>
    <w:rsid w:val="008736CF"/>
    <w:rsid w:val="00AE3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68FDF"/>
  <w15:chartTrackingRefBased/>
  <w15:docId w15:val="{33B5A34A-BC3B-4A2D-AAA5-F66A21062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4C2"/>
  </w:style>
  <w:style w:type="paragraph" w:styleId="Heading1">
    <w:name w:val="heading 1"/>
    <w:basedOn w:val="Normal"/>
    <w:next w:val="Normal"/>
    <w:link w:val="Heading1Char"/>
    <w:uiPriority w:val="9"/>
    <w:qFormat/>
    <w:rsid w:val="00AE34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34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34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34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34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3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4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34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34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34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34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3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4C2"/>
    <w:rPr>
      <w:rFonts w:eastAsiaTheme="majorEastAsia" w:cstheme="majorBidi"/>
      <w:color w:val="272727" w:themeColor="text1" w:themeTint="D8"/>
    </w:rPr>
  </w:style>
  <w:style w:type="paragraph" w:styleId="Title">
    <w:name w:val="Title"/>
    <w:basedOn w:val="Normal"/>
    <w:next w:val="Normal"/>
    <w:link w:val="TitleChar"/>
    <w:uiPriority w:val="10"/>
    <w:qFormat/>
    <w:rsid w:val="00AE3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4C2"/>
    <w:pPr>
      <w:spacing w:before="160"/>
      <w:jc w:val="center"/>
    </w:pPr>
    <w:rPr>
      <w:i/>
      <w:iCs/>
      <w:color w:val="404040" w:themeColor="text1" w:themeTint="BF"/>
    </w:rPr>
  </w:style>
  <w:style w:type="character" w:customStyle="1" w:styleId="QuoteChar">
    <w:name w:val="Quote Char"/>
    <w:basedOn w:val="DefaultParagraphFont"/>
    <w:link w:val="Quote"/>
    <w:uiPriority w:val="29"/>
    <w:rsid w:val="00AE34C2"/>
    <w:rPr>
      <w:i/>
      <w:iCs/>
      <w:color w:val="404040" w:themeColor="text1" w:themeTint="BF"/>
    </w:rPr>
  </w:style>
  <w:style w:type="paragraph" w:styleId="ListParagraph">
    <w:name w:val="List Paragraph"/>
    <w:basedOn w:val="Normal"/>
    <w:uiPriority w:val="34"/>
    <w:qFormat/>
    <w:rsid w:val="00AE34C2"/>
    <w:pPr>
      <w:ind w:left="720"/>
      <w:contextualSpacing/>
    </w:pPr>
  </w:style>
  <w:style w:type="character" w:styleId="IntenseEmphasis">
    <w:name w:val="Intense Emphasis"/>
    <w:basedOn w:val="DefaultParagraphFont"/>
    <w:uiPriority w:val="21"/>
    <w:qFormat/>
    <w:rsid w:val="00AE34C2"/>
    <w:rPr>
      <w:i/>
      <w:iCs/>
      <w:color w:val="2F5496" w:themeColor="accent1" w:themeShade="BF"/>
    </w:rPr>
  </w:style>
  <w:style w:type="paragraph" w:styleId="IntenseQuote">
    <w:name w:val="Intense Quote"/>
    <w:basedOn w:val="Normal"/>
    <w:next w:val="Normal"/>
    <w:link w:val="IntenseQuoteChar"/>
    <w:uiPriority w:val="30"/>
    <w:qFormat/>
    <w:rsid w:val="00AE34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34C2"/>
    <w:rPr>
      <w:i/>
      <w:iCs/>
      <w:color w:val="2F5496" w:themeColor="accent1" w:themeShade="BF"/>
    </w:rPr>
  </w:style>
  <w:style w:type="character" w:styleId="IntenseReference">
    <w:name w:val="Intense Reference"/>
    <w:basedOn w:val="DefaultParagraphFont"/>
    <w:uiPriority w:val="32"/>
    <w:qFormat/>
    <w:rsid w:val="00AE34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440</Words>
  <Characters>2508</Characters>
  <Application>Microsoft Office Word</Application>
  <DocSecurity>0</DocSecurity>
  <Lines>20</Lines>
  <Paragraphs>5</Paragraphs>
  <ScaleCrop>false</ScaleCrop>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Hephzibah Ajala</dc:creator>
  <cp:keywords/>
  <dc:description/>
  <cp:lastModifiedBy>Hephzibah Ajala</cp:lastModifiedBy>
  <cp:revision>1</cp:revision>
  <dcterms:created xsi:type="dcterms:W3CDTF">2026-10-09T20:51:00Z</dcterms:created>
  <dcterms:modified xsi:type="dcterms:W3CDTF">2026-10-09T20:57:00Z</dcterms:modified>
</cp:coreProperties>
</file>