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C1" w:rsidRDefault="00FA61C1" w:rsidP="00FA61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61C1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:rsidR="00FA61C1" w:rsidRDefault="007672E0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FA3890">
        <w:rPr>
          <w:rFonts w:ascii="NimbusRomNo9L-Medi" w:hAnsi="NimbusRomNo9L-Medi" w:cs="NimbusRomNo9L-Medi"/>
          <w:sz w:val="28"/>
          <w:szCs w:val="28"/>
        </w:rPr>
        <w:t>W</w:t>
      </w:r>
      <w:r>
        <w:rPr>
          <w:rFonts w:ascii="NimbusRomNo9L-Regu" w:hAnsi="NimbusRomNo9L-Regu" w:cs="NimbusRomNo9L-Regu"/>
          <w:sz w:val="20"/>
          <w:szCs w:val="20"/>
        </w:rPr>
        <w:t>ITH the fast advance and pervasive deployment of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communication technologies, there is an increasing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demand of versatile cryptographic primitives to protect group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communicat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ions and computation platforms. </w:t>
      </w:r>
      <w:r>
        <w:rPr>
          <w:rFonts w:ascii="NimbusRomNo9L-Regu" w:hAnsi="NimbusRomNo9L-Regu" w:cs="NimbusRomNo9L-Regu"/>
          <w:sz w:val="20"/>
          <w:szCs w:val="20"/>
        </w:rPr>
        <w:t>These new platforms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include instant-messaging tools, collaborative computing,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mobile </w:t>
      </w:r>
      <w:r>
        <w:rPr>
          <w:rFonts w:ascii="NimbusRomNo9L-ReguItal" w:hAnsi="NimbusRomNo9L-ReguItal" w:cs="NimbusRomNo9L-ReguItal"/>
          <w:sz w:val="20"/>
          <w:szCs w:val="20"/>
        </w:rPr>
        <w:t xml:space="preserve">ad hoc </w:t>
      </w:r>
      <w:r>
        <w:rPr>
          <w:rFonts w:ascii="NimbusRomNo9L-Regu" w:hAnsi="NimbusRomNo9L-Regu" w:cs="NimbusRomNo9L-Regu"/>
          <w:sz w:val="20"/>
          <w:szCs w:val="20"/>
        </w:rPr>
        <w:t>networks and social networks. These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new applications call for cryptographic primitives allowing a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sender to securely encrypt to any subset of the users of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services without relying on a fully trusted dealer. Broadcast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encryption (BE) [1] is a well-studied primitive intended for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secure group-oriented communications. It allows a sender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to securely broadcast to any subset of the group members.</w:t>
      </w:r>
    </w:p>
    <w:p w:rsidR="003B3DB8" w:rsidRDefault="003B3DB8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321138" w:rsidRDefault="003B3DB8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Nevertheless, a BE system heavily relies on a fully trusted key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server who generates secret decryption keys for the members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and can read all the communications to any members.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Group key agreement (GKA) is another well-understood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cryptographic primitive to secure group-oriented communications.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 conventional GKA [2] allows a group of members to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establish a common secret key via open networks. However,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whenever a sender wants to send a message to a group, 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must first join the group and run a GKA protocol to share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 secret key with the intended members. More recently, and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to overcome this limitation, Wu </w:t>
      </w:r>
      <w:r>
        <w:rPr>
          <w:rFonts w:ascii="NimbusRomNo9L-ReguItal" w:hAnsi="NimbusRomNo9L-ReguItal" w:cs="NimbusRomNo9L-ReguItal"/>
          <w:sz w:val="20"/>
          <w:szCs w:val="20"/>
        </w:rPr>
        <w:t xml:space="preserve">et al. </w:t>
      </w:r>
      <w:r>
        <w:rPr>
          <w:rFonts w:ascii="NimbusRomNo9L-Regu" w:hAnsi="NimbusRomNo9L-Regu" w:cs="NimbusRomNo9L-Regu"/>
          <w:sz w:val="20"/>
          <w:szCs w:val="20"/>
        </w:rPr>
        <w:t>introduced asymmetric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GKA [3], in which only a common group public key is negotiated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and each group member holds a different decryption key.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However, neither conventional symmetric GKA nor the newly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introduced asymmetric GKA allow </w:t>
      </w:r>
      <w:r>
        <w:rPr>
          <w:rFonts w:ascii="NimbusRomNo9L-ReguItal" w:hAnsi="NimbusRomNo9L-ReguItal" w:cs="NimbusRomNo9L-ReguItal"/>
          <w:sz w:val="20"/>
          <w:szCs w:val="20"/>
        </w:rPr>
        <w:t xml:space="preserve">the sender </w:t>
      </w:r>
      <w:r>
        <w:rPr>
          <w:rFonts w:ascii="NimbusRomNo9L-Regu" w:hAnsi="NimbusRomNo9L-Regu" w:cs="NimbusRomNo9L-Regu"/>
          <w:sz w:val="20"/>
          <w:szCs w:val="20"/>
        </w:rPr>
        <w:t xml:space="preserve">to </w:t>
      </w:r>
      <w:r>
        <w:rPr>
          <w:rFonts w:ascii="NimbusRomNo9L-ReguItal" w:hAnsi="NimbusRomNo9L-ReguItal" w:cs="NimbusRomNo9L-ReguItal"/>
          <w:sz w:val="20"/>
          <w:szCs w:val="20"/>
        </w:rPr>
        <w:t>unilaterally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exclude any particular member from reading the plaintext</w:t>
      </w:r>
      <w:r>
        <w:rPr>
          <w:rFonts w:ascii="NimbusRomNo9L-Regu" w:hAnsi="NimbusRomNo9L-Regu" w:cs="NimbusRomNo9L-Regu"/>
          <w:sz w:val="14"/>
          <w:szCs w:val="14"/>
        </w:rPr>
        <w:t>1</w:t>
      </w:r>
      <w:r>
        <w:rPr>
          <w:rFonts w:ascii="NimbusRomNo9L-Regu" w:hAnsi="NimbusRomNo9L-Regu" w:cs="NimbusRomNo9L-Regu"/>
          <w:sz w:val="20"/>
          <w:szCs w:val="20"/>
        </w:rPr>
        <w:t>.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Hence, it is essential to find more flexible cryptographic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primitives allowing dynamic broadcasts without a fully trusted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dealer.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FA3890" w:rsidRDefault="00FA3890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321138" w:rsidRDefault="00321138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Ital" w:hAnsi="NimbusRomNo9L-ReguItal" w:cs="NimbusRomNo9L-ReguItal"/>
          <w:sz w:val="20"/>
          <w:szCs w:val="20"/>
        </w:rPr>
      </w:pPr>
      <w:r>
        <w:rPr>
          <w:rFonts w:ascii="NimbusRomNo9L-ReguItal" w:hAnsi="NimbusRomNo9L-ReguItal" w:cs="NimbusRomNo9L-ReguItal"/>
          <w:sz w:val="20"/>
          <w:szCs w:val="20"/>
        </w:rPr>
        <w:t>A. Our Contributions</w:t>
      </w:r>
    </w:p>
    <w:p w:rsidR="00321138" w:rsidRDefault="00321138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We present the Contributory Broadcast Encryption 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)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primitive, which is a hybrid of GKA and BE. Compared to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its preliminary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Asiacrypt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2011 version [5], this full paper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provides complete security proofs, illustrates the necessity of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aggregatability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of the underlying BE building block and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shows the practicality of our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 with experiments.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Specifically, our main contributions are as follows.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First, we model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primitive and formalize its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security definitions.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incorporates the underlying ideas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of GKA and BE. A group of members interact via open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networks to negotiate a public encryption key while each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member holds a different secret decryption key. Using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public encryption key, anyone can encrypt any message to any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subset of the group members and only the intended receivers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can decrypt. Unlike GKA,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allows the sender to exclude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some members from reading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ciphertexts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Compared to BE,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does not need a fully trusted third party to set up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system. We formalize collusion resistance by defining an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attacker who can fully control all the members outside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intended receivers but cannot extract useful information from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ciphertext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8524A3" w:rsidRDefault="008524A3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FA3890" w:rsidRDefault="00FA3890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8524A3" w:rsidRDefault="00A77A44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 xml:space="preserve">Second, we present the notion of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aggregatable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broadcast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encryption 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). Coarsely speaking, a BE scheme is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aggregatable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if its secure instances can be aggregated into a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new secure instance of the BE </w:t>
      </w:r>
      <w:r>
        <w:rPr>
          <w:rFonts w:ascii="NimbusRomNo9L-Regu" w:hAnsi="NimbusRomNo9L-Regu" w:cs="NimbusRomNo9L-Regu"/>
          <w:sz w:val="20"/>
          <w:szCs w:val="20"/>
        </w:rPr>
        <w:t>scheme. Specifically, only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aggregated decryption keys of the same user are valid decryption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keys corresponding to the aggregated public keys of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underlying BE instances. We observe that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aggregatability</w:t>
      </w:r>
      <w:proofErr w:type="spellEnd"/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of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schemes is necessary in the construction of our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 and the BE schemes in the literature are not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aggregatable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We construct a concrete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 tightly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proven to be fully collusion-resistant under the decision BDHE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assumption. The proposed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 offers efficient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encryption/decryption and short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ciphertexts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2D7B0F" w:rsidRDefault="002D7B0F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2D7B0F" w:rsidRDefault="002D7B0F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Finally, we construct an efficient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 with our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AggBE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 as a building block.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construction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is proven to be semi-adaptively secure under the decision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BDHE assumption in the standard model. Only one round is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required to establish the public group encryption key and set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up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system. After the system set-up, the storage cost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of both the sender and the group members is </w:t>
      </w:r>
      <w:proofErr w:type="gramStart"/>
      <w:r>
        <w:rPr>
          <w:rFonts w:ascii="CMMI10" w:hAnsi="CMMI10" w:cs="CMMI10"/>
          <w:sz w:val="20"/>
          <w:szCs w:val="20"/>
        </w:rPr>
        <w:t>O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NimbusRomNo9L-Regu" w:hAnsi="NimbusRomNo9L-Regu" w:cs="NimbusRomNo9L-Regu"/>
          <w:sz w:val="20"/>
          <w:szCs w:val="20"/>
        </w:rPr>
        <w:t>, where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NimbusRomNo9L-Regu" w:hAnsi="NimbusRomNo9L-Regu" w:cs="NimbusRomNo9L-Regu"/>
          <w:sz w:val="20"/>
          <w:szCs w:val="20"/>
        </w:rPr>
        <w:t>is the number of group members participating in the setup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stage. However, the online complexity (which dominates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practicality of 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scheme) is very low. We also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illustrate a trade-off between the set-up complexity and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online performance. After a trade-off, the variant has </w:t>
      </w:r>
      <w:proofErr w:type="gramStart"/>
      <w:r>
        <w:rPr>
          <w:rFonts w:ascii="CMMI10" w:hAnsi="CMMI10" w:cs="CMMI10"/>
          <w:sz w:val="20"/>
          <w:szCs w:val="20"/>
        </w:rPr>
        <w:t>O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n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MI7" w:hAnsi="CMMI7" w:cs="CMMI7"/>
          <w:sz w:val="14"/>
          <w:szCs w:val="14"/>
        </w:rPr>
        <w:t>=</w:t>
      </w:r>
      <w:r>
        <w:rPr>
          <w:rFonts w:ascii="CMR7" w:hAnsi="CMR7" w:cs="CMR7"/>
          <w:sz w:val="14"/>
          <w:szCs w:val="14"/>
        </w:rPr>
        <w:t>3</w:t>
      </w:r>
      <w:r>
        <w:rPr>
          <w:rFonts w:ascii="CMR10" w:hAnsi="CMR10" w:cs="CMR10"/>
          <w:sz w:val="20"/>
          <w:szCs w:val="20"/>
        </w:rPr>
        <w:t>)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complexity in </w:t>
      </w:r>
      <w:r>
        <w:rPr>
          <w:rFonts w:ascii="NimbusRomNo9L-Regu" w:hAnsi="NimbusRomNo9L-Regu" w:cs="NimbusRomNo9L-Regu"/>
          <w:sz w:val="20"/>
          <w:szCs w:val="20"/>
        </w:rPr>
        <w:t>communication, computation and storage. This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is comparable to up-to-date regular BE schemes which have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sz w:val="20"/>
          <w:szCs w:val="20"/>
        </w:rPr>
        <w:t>O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n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MI7" w:hAnsi="CMMI7" w:cs="CMMI7"/>
          <w:sz w:val="14"/>
          <w:szCs w:val="14"/>
        </w:rPr>
        <w:t>=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sz w:val="20"/>
          <w:szCs w:val="20"/>
        </w:rPr>
        <w:t>complexity in the same performance metrics, but our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scheme does not require a trusted key dealer. We conduct a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series of experiments and the experimental results validate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practicality of our scheme.</w:t>
      </w:r>
    </w:p>
    <w:p w:rsidR="00B7128A" w:rsidRDefault="00B7128A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B7128A" w:rsidRDefault="00B7128A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Ital" w:hAnsi="NimbusRomNo9L-ReguItal" w:cs="NimbusRomNo9L-ReguItal"/>
          <w:sz w:val="20"/>
          <w:szCs w:val="20"/>
        </w:rPr>
      </w:pPr>
      <w:r>
        <w:rPr>
          <w:rFonts w:ascii="NimbusRomNo9L-ReguItal" w:hAnsi="NimbusRomNo9L-ReguItal" w:cs="NimbusRomNo9L-ReguItal"/>
          <w:sz w:val="20"/>
          <w:szCs w:val="20"/>
        </w:rPr>
        <w:t>B. Potential Applications</w:t>
      </w:r>
    </w:p>
    <w:p w:rsidR="00B7128A" w:rsidRDefault="00B7128A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A potential application of our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is to secure data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exchanged among friends via social networks. Since the Prism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scandal [4], people are increasingly concerned about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protection of their personal data shared with their friends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over social networks. Our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can provide a feasible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solution to this problem. Indeed,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Phan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 xml:space="preserve">et al. </w:t>
      </w:r>
      <w:r>
        <w:rPr>
          <w:rFonts w:ascii="NimbusRomNo9L-Regu" w:hAnsi="NimbusRomNo9L-Regu" w:cs="NimbusRomNo9L-Regu"/>
          <w:sz w:val="20"/>
          <w:szCs w:val="20"/>
        </w:rPr>
        <w:t>[6] underlined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applications of our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[5] to social networks. In this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scenario, if a group of users want to share their data without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letting the social network operator know it, they can use our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scheme. Since the setup procedure of our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only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requires one round of communication, each member of the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group just needs to broadcast one message to other intended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members in a send-and-leave way, without the synchronization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requirement. After receiving the messages from the other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members, all the members share the encryption key that allows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any user to selectively share his/her data to any subgroup of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members. Furthermore, it also allows sensitive data to be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shared among different </w:t>
      </w:r>
      <w:r>
        <w:rPr>
          <w:rFonts w:ascii="NimbusRomNo9L-Regu" w:hAnsi="NimbusRomNo9L-Regu" w:cs="NimbusRomNo9L-Regu"/>
          <w:sz w:val="20"/>
          <w:szCs w:val="20"/>
        </w:rPr>
        <w:t>groups. Other applications may include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instant messaging among family members, secure scientific</w:t>
      </w:r>
    </w:p>
    <w:p w:rsidR="009536F2" w:rsidRDefault="00B7128A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research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tasks jointly conducted by scientists from different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places, and disaster rescue using a mobile </w:t>
      </w:r>
      <w:r w:rsidR="00FA3890">
        <w:rPr>
          <w:rFonts w:ascii="NimbusRomNo9L-ReguItal" w:hAnsi="NimbusRomNo9L-ReguItal" w:cs="NimbusRomNo9L-ReguItal"/>
          <w:sz w:val="20"/>
          <w:szCs w:val="20"/>
        </w:rPr>
        <w:t xml:space="preserve">ad </w:t>
      </w:r>
      <w:r>
        <w:rPr>
          <w:rFonts w:ascii="NimbusRomNo9L-ReguItal" w:hAnsi="NimbusRomNo9L-ReguItal" w:cs="NimbusRomNo9L-ReguItal"/>
          <w:sz w:val="20"/>
          <w:szCs w:val="20"/>
        </w:rPr>
        <w:t xml:space="preserve">hoc </w:t>
      </w:r>
      <w:r>
        <w:rPr>
          <w:rFonts w:ascii="NimbusRomNo9L-Regu" w:hAnsi="NimbusRomNo9L-Regu" w:cs="NimbusRomNo9L-Regu"/>
          <w:sz w:val="20"/>
          <w:szCs w:val="20"/>
        </w:rPr>
        <w:t>network. A</w:t>
      </w:r>
      <w:r w:rsidR="009536F2">
        <w:rPr>
          <w:rFonts w:ascii="NimbusRomNo9L-Regu" w:hAnsi="NimbusRomNo9L-Regu" w:cs="NimbusRomNo9L-Regu"/>
          <w:sz w:val="20"/>
          <w:szCs w:val="20"/>
        </w:rPr>
        <w:t xml:space="preserve"> common feature of these scenarios is that a group of users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 w:rsidR="009536F2">
        <w:rPr>
          <w:rFonts w:ascii="NimbusRomNo9L-Regu" w:hAnsi="NimbusRomNo9L-Regu" w:cs="NimbusRomNo9L-Regu"/>
          <w:sz w:val="20"/>
          <w:szCs w:val="20"/>
        </w:rPr>
        <w:t>would like to exchange sensitive data but a fully trusted third</w:t>
      </w:r>
      <w:r w:rsidR="00FA3890">
        <w:rPr>
          <w:rFonts w:ascii="NimbusRomNo9L-Regu" w:hAnsi="NimbusRomNo9L-Regu" w:cs="NimbusRomNo9L-Regu"/>
          <w:sz w:val="20"/>
          <w:szCs w:val="20"/>
        </w:rPr>
        <w:t xml:space="preserve"> </w:t>
      </w:r>
      <w:r w:rsidR="009536F2">
        <w:rPr>
          <w:rFonts w:ascii="NimbusRomNo9L-Regu" w:hAnsi="NimbusRomNo9L-Regu" w:cs="NimbusRomNo9L-Regu"/>
          <w:sz w:val="20"/>
          <w:szCs w:val="20"/>
        </w:rPr>
        <w:t xml:space="preserve">party is unavailable. Our </w:t>
      </w:r>
      <w:proofErr w:type="spellStart"/>
      <w:r w:rsidR="009536F2"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 w:rsidR="009536F2">
        <w:rPr>
          <w:rFonts w:ascii="NimbusRomNo9L-Regu" w:hAnsi="NimbusRomNo9L-Regu" w:cs="NimbusRomNo9L-Regu"/>
          <w:sz w:val="20"/>
          <w:szCs w:val="20"/>
        </w:rPr>
        <w:t xml:space="preserve"> provides an efficient solution</w:t>
      </w:r>
    </w:p>
    <w:p w:rsidR="00FD1375" w:rsidRPr="001967A9" w:rsidRDefault="009536F2" w:rsidP="000416F3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to these applications.</w:t>
      </w:r>
    </w:p>
    <w:sectPr w:rsidR="00FD1375" w:rsidRPr="001967A9" w:rsidSect="004A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A61C1"/>
    <w:rsid w:val="000416F3"/>
    <w:rsid w:val="001967A9"/>
    <w:rsid w:val="002D7B0F"/>
    <w:rsid w:val="00321138"/>
    <w:rsid w:val="003B3DB8"/>
    <w:rsid w:val="004A468C"/>
    <w:rsid w:val="005D5C06"/>
    <w:rsid w:val="007303C4"/>
    <w:rsid w:val="007672E0"/>
    <w:rsid w:val="008524A3"/>
    <w:rsid w:val="008B4D5B"/>
    <w:rsid w:val="009536F2"/>
    <w:rsid w:val="009E15CE"/>
    <w:rsid w:val="00A77A44"/>
    <w:rsid w:val="00B7128A"/>
    <w:rsid w:val="00FA3890"/>
    <w:rsid w:val="00FA61C1"/>
    <w:rsid w:val="00FD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HTG</Company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TMKS Infotech16</cp:lastModifiedBy>
  <cp:revision>15</cp:revision>
  <dcterms:created xsi:type="dcterms:W3CDTF">2014-09-29T22:42:00Z</dcterms:created>
  <dcterms:modified xsi:type="dcterms:W3CDTF">2015-12-31T07:33:00Z</dcterms:modified>
</cp:coreProperties>
</file>