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1255">
        <w:rPr>
          <w:rFonts w:ascii="Times New Roman" w:hAnsi="Times New Roman" w:cs="Times New Roman"/>
          <w:b/>
          <w:sz w:val="28"/>
          <w:szCs w:val="28"/>
        </w:rPr>
        <w:t>Implementation modules:</w:t>
      </w:r>
    </w:p>
    <w:p w:rsidR="000F1BBC" w:rsidRPr="00FA5A66" w:rsidRDefault="000F1BBC" w:rsidP="000F1B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A5A66">
        <w:rPr>
          <w:rFonts w:ascii="Times New Roman" w:hAnsi="Times New Roman"/>
          <w:bCs/>
          <w:sz w:val="24"/>
          <w:szCs w:val="24"/>
        </w:rPr>
        <w:t>Authenticating Short</w:t>
      </w:r>
      <w:r w:rsidRPr="00FA5A66">
        <w:rPr>
          <w:sz w:val="24"/>
          <w:szCs w:val="24"/>
        </w:rPr>
        <w:t xml:space="preserve"> Encrypted Messages</w:t>
      </w:r>
    </w:p>
    <w:p w:rsidR="000F1BBC" w:rsidRPr="00FA5A66" w:rsidRDefault="000F1BBC" w:rsidP="000F1B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A5A66">
        <w:rPr>
          <w:rFonts w:ascii="Times New Roman" w:hAnsi="Times New Roman"/>
          <w:bCs/>
          <w:sz w:val="24"/>
          <w:szCs w:val="24"/>
        </w:rPr>
        <w:t>Security Model</w:t>
      </w:r>
    </w:p>
    <w:p w:rsidR="000F1BBC" w:rsidRPr="00FA5A66" w:rsidRDefault="000F1BBC" w:rsidP="000F1B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A5A66">
        <w:rPr>
          <w:rFonts w:ascii="Times New Roman" w:hAnsi="Times New Roman"/>
          <w:sz w:val="24"/>
          <w:szCs w:val="24"/>
        </w:rPr>
        <w:t>Data Privacy</w:t>
      </w:r>
    </w:p>
    <w:p w:rsidR="000F1BBC" w:rsidRPr="00FA5A66" w:rsidRDefault="000F1BBC" w:rsidP="000F1B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A5A66">
        <w:rPr>
          <w:rFonts w:ascii="Times New Roman" w:hAnsi="Times New Roman"/>
          <w:sz w:val="24"/>
          <w:szCs w:val="24"/>
        </w:rPr>
        <w:t>Security of the Authenticated Encryption Composition</w:t>
      </w:r>
    </w:p>
    <w:p w:rsidR="000F1BBC" w:rsidRPr="00FA5A66" w:rsidRDefault="000F1BBC" w:rsidP="000F1BBC">
      <w:pPr>
        <w:pStyle w:val="Heading2"/>
        <w:rPr>
          <w:sz w:val="24"/>
          <w:szCs w:val="24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Cs/>
          <w:sz w:val="19"/>
          <w:szCs w:val="19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  <w:r w:rsidRPr="003B66E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B66E9">
        <w:rPr>
          <w:rFonts w:ascii="Times New Roman" w:hAnsi="Times New Roman" w:cs="Times New Roman"/>
          <w:b/>
          <w:bCs/>
          <w:sz w:val="19"/>
          <w:szCs w:val="19"/>
        </w:rPr>
        <w:t xml:space="preserve">UTHENTICATING </w:t>
      </w:r>
      <w:r w:rsidRPr="003B66E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B66E9">
        <w:rPr>
          <w:rFonts w:ascii="Times New Roman" w:hAnsi="Times New Roman" w:cs="Times New Roman"/>
          <w:b/>
          <w:bCs/>
          <w:sz w:val="19"/>
          <w:szCs w:val="19"/>
        </w:rPr>
        <w:t xml:space="preserve">HORT </w:t>
      </w:r>
      <w:r w:rsidRPr="003B66E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B66E9">
        <w:rPr>
          <w:rFonts w:ascii="Times New Roman" w:hAnsi="Times New Roman" w:cs="Times New Roman"/>
          <w:b/>
          <w:bCs/>
          <w:sz w:val="19"/>
          <w:szCs w:val="19"/>
        </w:rPr>
        <w:t xml:space="preserve">NCRYPTED </w:t>
      </w:r>
      <w:r w:rsidRPr="003B66E9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B66E9">
        <w:rPr>
          <w:rFonts w:ascii="Times New Roman" w:hAnsi="Times New Roman" w:cs="Times New Roman"/>
          <w:b/>
          <w:bCs/>
          <w:sz w:val="19"/>
          <w:szCs w:val="19"/>
        </w:rPr>
        <w:t>ESSAGES</w:t>
      </w:r>
      <w:r>
        <w:rPr>
          <w:rFonts w:ascii="Times New Roman" w:hAnsi="Times New Roman" w:cs="Times New Roman"/>
          <w:b/>
          <w:bCs/>
          <w:sz w:val="19"/>
          <w:szCs w:val="19"/>
        </w:rPr>
        <w:t>:</w:t>
      </w:r>
    </w:p>
    <w:p w:rsidR="000F1BBC" w:rsidRPr="003B66E9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0F1BBC" w:rsidRPr="003B66E9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9"/>
          <w:szCs w:val="19"/>
        </w:rPr>
      </w:pPr>
    </w:p>
    <w:p w:rsidR="000F1BBC" w:rsidRPr="003B66E9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6E9">
        <w:rPr>
          <w:rFonts w:ascii="Times New Roman" w:hAnsi="Times New Roman" w:cs="Times New Roman"/>
          <w:sz w:val="24"/>
          <w:szCs w:val="24"/>
        </w:rPr>
        <w:t>In this module, we describe our first authentication scheme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 xml:space="preserve">can be used with any IND-CPA secure encryption </w:t>
      </w:r>
      <w:proofErr w:type="gramStart"/>
      <w:r w:rsidRPr="003B66E9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.An</w:t>
      </w:r>
      <w:proofErr w:type="gramEnd"/>
      <w:r w:rsidRPr="003B66E9">
        <w:rPr>
          <w:rFonts w:ascii="Times New Roman" w:hAnsi="Times New Roman" w:cs="Times New Roman"/>
          <w:sz w:val="24"/>
          <w:szCs w:val="24"/>
        </w:rPr>
        <w:t xml:space="preserve"> important assumption we make is that messages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authenticated are no longer than a predefined length.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includes applications in which messages are of fixed length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that is known a priori, such as RFID systems in which tags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need to authenticate their identifiers, sensor nodes reporting events that belong to certain domain or measurements within a certain range, etc. The novelty of the proposed scheme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to utilize the encryption algorithm to deliver a random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and use it to reach the simplicity and efficiency of one-time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pad authentication without the need to manage impractically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66E9">
        <w:rPr>
          <w:rFonts w:ascii="Times New Roman" w:hAnsi="Times New Roman" w:cs="Times New Roman"/>
          <w:sz w:val="24"/>
          <w:szCs w:val="24"/>
        </w:rPr>
        <w:t>long keys.</w:t>
      </w:r>
    </w:p>
    <w:p w:rsidR="000F1BBC" w:rsidRPr="003B66E9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F1BBC" w:rsidRPr="00714474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474">
        <w:rPr>
          <w:rFonts w:ascii="Times New Roman" w:hAnsi="Times New Roman" w:cs="Times New Roman"/>
          <w:b/>
          <w:bCs/>
          <w:sz w:val="28"/>
          <w:szCs w:val="28"/>
        </w:rPr>
        <w:t>Security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</w:p>
    <w:p w:rsidR="000F1BBC" w:rsidRPr="00A75796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A89">
        <w:rPr>
          <w:rFonts w:ascii="Times New Roman" w:hAnsi="Times New Roman" w:cs="Times New Roman"/>
          <w:sz w:val="24"/>
          <w:szCs w:val="24"/>
        </w:rPr>
        <w:t>A message authentication scheme consists of a signing algorithm S and a verifying algorithm V. The signing algorithm might be probabilistic, while the verifying one is usually not.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6A89">
        <w:rPr>
          <w:rFonts w:ascii="Times New Roman" w:hAnsi="Times New Roman" w:cs="Times New Roman"/>
          <w:sz w:val="24"/>
          <w:szCs w:val="24"/>
        </w:rPr>
        <w:t xml:space="preserve">Associated with the scheme are </w:t>
      </w:r>
      <w:proofErr w:type="gramStart"/>
      <w:r w:rsidRPr="00E56A89">
        <w:rPr>
          <w:rFonts w:ascii="Times New Roman" w:hAnsi="Times New Roman" w:cs="Times New Roman"/>
          <w:sz w:val="24"/>
          <w:szCs w:val="24"/>
        </w:rPr>
        <w:t>parameters  and</w:t>
      </w:r>
      <w:proofErr w:type="gramEnd"/>
      <w:r w:rsidRPr="00E56A89">
        <w:rPr>
          <w:rFonts w:ascii="Times New Roman" w:hAnsi="Times New Roman" w:cs="Times New Roman"/>
          <w:sz w:val="24"/>
          <w:szCs w:val="24"/>
        </w:rPr>
        <w:t xml:space="preserve"> N describing the length of the shared key and the resulting authentication tag, respectively. </w:t>
      </w: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17AC1">
        <w:rPr>
          <w:rFonts w:ascii="Times New Roman" w:hAnsi="Times New Roman" w:cs="Times New Roman"/>
          <w:b/>
          <w:sz w:val="28"/>
          <w:szCs w:val="28"/>
        </w:rPr>
        <w:t>Security of the Authenticated Encryption Composition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8728C">
        <w:rPr>
          <w:rFonts w:ascii="Times New Roman" w:hAnsi="Times New Roman" w:cs="Times New Roman"/>
          <w:sz w:val="24"/>
          <w:szCs w:val="24"/>
        </w:rPr>
        <w:t>In  this</w:t>
      </w:r>
      <w:proofErr w:type="gramEnd"/>
      <w:r w:rsidRPr="00F8728C">
        <w:rPr>
          <w:rFonts w:ascii="Times New Roman" w:hAnsi="Times New Roman" w:cs="Times New Roman"/>
          <w:sz w:val="24"/>
          <w:szCs w:val="24"/>
        </w:rPr>
        <w:t xml:space="preserve"> module, it defined two notions of integrity for authenticated encryption systems: the first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integrity of plaintext (INT-PTXT) and the second is integrity of 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text (INT-CTXT). Combined with encryption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that provide in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F8728C">
        <w:rPr>
          <w:rFonts w:ascii="Times New Roman" w:hAnsi="Times New Roman" w:cs="Times New Roman"/>
          <w:sz w:val="24"/>
          <w:szCs w:val="24"/>
        </w:rPr>
        <w:t>distinguish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 xml:space="preserve"> ability</w:t>
      </w:r>
      <w:proofErr w:type="gramEnd"/>
      <w:r w:rsidRPr="00F8728C">
        <w:rPr>
          <w:rFonts w:ascii="Times New Roman" w:hAnsi="Times New Roman" w:cs="Times New Roman"/>
          <w:sz w:val="24"/>
          <w:szCs w:val="24"/>
        </w:rPr>
        <w:t xml:space="preserve"> under </w:t>
      </w:r>
      <w:r w:rsidRPr="00F8728C">
        <w:rPr>
          <w:rFonts w:ascii="Times New Roman" w:hAnsi="Times New Roman" w:cs="Times New Roman"/>
          <w:sz w:val="24"/>
          <w:szCs w:val="24"/>
        </w:rPr>
        <w:lastRenderedPageBreak/>
        <w:t>chosen plaintext attacks(IND-CPA), the security of different methods for constructing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generic compositions is analyzed. Note that our construction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is an instance of the Encrypt-and-Authenticate (E&amp;A) generic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composition since the plaintext message goes to the encryption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algorithm as an input, and the same plaintext message goes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728C">
        <w:rPr>
          <w:rFonts w:ascii="Times New Roman" w:hAnsi="Times New Roman" w:cs="Times New Roman"/>
          <w:sz w:val="24"/>
          <w:szCs w:val="24"/>
        </w:rPr>
        <w:t>the authentication algorithm as an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BBC" w:rsidRPr="00245936" w:rsidRDefault="000F1BBC" w:rsidP="000F1BB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45936">
        <w:rPr>
          <w:rFonts w:ascii="Times New Roman" w:hAnsi="Times New Roman" w:cs="Times New Roman"/>
          <w:b/>
          <w:sz w:val="28"/>
          <w:szCs w:val="28"/>
        </w:rPr>
        <w:t>Data Privacy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F1BBC" w:rsidRDefault="000F1BBC" w:rsidP="000F1B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F1BBC" w:rsidRPr="00CE63B5" w:rsidRDefault="000F1BBC" w:rsidP="000F1BB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B1B">
        <w:rPr>
          <w:rFonts w:ascii="Times New Roman" w:hAnsi="Times New Roman" w:cs="Times New Roman"/>
          <w:sz w:val="24"/>
          <w:szCs w:val="24"/>
        </w:rPr>
        <w:t>Recall that two pieces of information are transmitted to the intended receiver (the 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text and the authentication tag</w:t>
      </w:r>
      <w:proofErr w:type="gramStart"/>
      <w:r w:rsidRPr="00F75B1B">
        <w:rPr>
          <w:rFonts w:ascii="Times New Roman" w:hAnsi="Times New Roman" w:cs="Times New Roman"/>
          <w:sz w:val="24"/>
          <w:szCs w:val="24"/>
        </w:rPr>
        <w:t>),both</w:t>
      </w:r>
      <w:proofErr w:type="gramEnd"/>
      <w:r w:rsidRPr="00F75B1B">
        <w:rPr>
          <w:rFonts w:ascii="Times New Roman" w:hAnsi="Times New Roman" w:cs="Times New Roman"/>
          <w:sz w:val="24"/>
          <w:szCs w:val="24"/>
        </w:rPr>
        <w:t xml:space="preserve"> of which are functions of the private plaintext message.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Now, when it comes to the authentication tag, observe that then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once r serves as a one-time key (similar to the role r plays</w:t>
      </w:r>
      <w:r>
        <w:rPr>
          <w:rFonts w:ascii="Times New Roman" w:hAnsi="Times New Roman" w:cs="Times New Roman"/>
          <w:sz w:val="24"/>
          <w:szCs w:val="24"/>
        </w:rPr>
        <w:t xml:space="preserve"> in the construction of Section.</w:t>
      </w:r>
      <w:r w:rsidRPr="00F75B1B">
        <w:rPr>
          <w:rFonts w:ascii="Times New Roman" w:hAnsi="Times New Roman" w:cs="Times New Roman"/>
          <w:sz w:val="24"/>
          <w:szCs w:val="24"/>
        </w:rPr>
        <w:t xml:space="preserve"> The formal analysis that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authentication tag does not compromise message privacy is</w:t>
      </w:r>
      <w:r>
        <w:rPr>
          <w:rFonts w:ascii="Times New Roman" w:hAnsi="Times New Roman" w:cs="Times New Roman"/>
          <w:sz w:val="24"/>
          <w:szCs w:val="24"/>
        </w:rPr>
        <w:t xml:space="preserve"> the same as the one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provided </w:t>
      </w:r>
      <w:r w:rsidRPr="00F75B1B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The cipher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 xml:space="preserve">text of </w:t>
      </w:r>
      <w:proofErr w:type="gramStart"/>
      <w:r w:rsidRPr="00F75B1B">
        <w:rPr>
          <w:rFonts w:ascii="Times New Roman" w:hAnsi="Times New Roman" w:cs="Times New Roman"/>
          <w:sz w:val="24"/>
          <w:szCs w:val="24"/>
        </w:rPr>
        <w:t xml:space="preserve">equation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75B1B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75B1B">
        <w:rPr>
          <w:rFonts w:ascii="Times New Roman" w:hAnsi="Times New Roman" w:cs="Times New Roman"/>
          <w:sz w:val="24"/>
          <w:szCs w:val="24"/>
        </w:rPr>
        <w:t xml:space="preserve"> the other hand,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standard CBC encryption and its security is well-studied; thus,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5B1B">
        <w:rPr>
          <w:rFonts w:ascii="Times New Roman" w:hAnsi="Times New Roman" w:cs="Times New Roman"/>
          <w:sz w:val="24"/>
          <w:szCs w:val="24"/>
        </w:rPr>
        <w:t>we give the theorem statement below without a formal proof (interested readers may refer to textbooks in cryptography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425B" w:rsidRDefault="00F1425B"/>
    <w:sectPr w:rsidR="00F1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936A0"/>
    <w:multiLevelType w:val="hybridMultilevel"/>
    <w:tmpl w:val="D89A4788"/>
    <w:lvl w:ilvl="0" w:tplc="19AA0C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8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BC"/>
    <w:rsid w:val="000F1BBC"/>
    <w:rsid w:val="00E92A98"/>
    <w:rsid w:val="00F1425B"/>
    <w:rsid w:val="00F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DE09"/>
  <w15:chartTrackingRefBased/>
  <w15:docId w15:val="{BEEBDB14-6822-4F53-9F5D-4480375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BC"/>
    <w:pPr>
      <w:spacing w:after="200" w:line="276" w:lineRule="auto"/>
    </w:pPr>
    <w:rPr>
      <w:rFonts w:eastAsiaTheme="minorEastAsia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B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1BB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F1BB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hepsibah tryphosa</dc:creator>
  <cp:keywords/>
  <dc:description/>
  <cp:lastModifiedBy>hepsibah tryphosa</cp:lastModifiedBy>
  <cp:revision>1</cp:revision>
  <dcterms:created xsi:type="dcterms:W3CDTF">2023-01-24T07:08:00Z</dcterms:created>
  <dcterms:modified xsi:type="dcterms:W3CDTF">2023-01-24T07:08:00Z</dcterms:modified>
</cp:coreProperties>
</file>