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CAHIER D'EVALUATION</w:t>
      </w:r>
    </w:p>
    <w:p>
      <w:pPr>
        <w:pStyle w:val="Heading2"/>
      </w:pPr>
      <w:r>
        <w:rPr>
          <w:color w:val="2E86AB"/>
        </w:rPr>
        <w:t>Formation : Gestion des Sinistres — Toutes Branches</w:t>
      </w:r>
    </w:p>
    <w:p>
      <w:pPr>
        <w:spacing w:before="120" w:after="40"/>
      </w:pPr>
      <w:r>
        <w:rPr>
          <w:b/>
          <w:i w:val="0"/>
          <w:color w:val="F19001"/>
          <w:sz w:val="24"/>
        </w:rPr>
        <w:t>Formateur : TALOM Eric  |  Avril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Nom &amp; Prenom :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703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Entreprise / Structure :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703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Poste occupe :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4703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Date de la formation :</w:t>
            </w:r>
          </w:p>
        </w:tc>
        <w:tc>
          <w:tcPr>
            <w:tcW w:type="dxa" w:w="4703"/>
          </w:tcPr>
          <w:p>
            <w:r>
              <w:rPr>
                <w:sz w:val="22"/>
              </w:rPr>
              <w:t>Avril 2026</w:t>
            </w:r>
          </w:p>
        </w:tc>
      </w:tr>
    </w:tbl>
    <w:p/>
    <w:p>
      <w:pPr>
        <w:spacing w:before="120" w:after="40"/>
      </w:pPr>
      <w:r>
        <w:rPr>
          <w:b w:val="0"/>
          <w:i/>
          <w:color w:val="666666"/>
          <w:sz w:val="20"/>
        </w:rPr>
        <w:t>Instructions : Lisez attentivement chaque question avant de repondre. Justifiez vos reponses aux cas pratiques. Duree totale : 2h15. Note minimale de validation : 49/70 (70%).</w:t>
      </w:r>
    </w:p>
    <w:p>
      <w:r>
        <w:br w:type="page"/>
      </w:r>
    </w:p>
    <w:p>
      <w:pPr>
        <w:pStyle w:val="Heading1"/>
      </w:pPr>
      <w:r>
        <w:rPr>
          <w:color w:val="1B3A5C"/>
        </w:rPr>
        <w:t>PARTIE 1 — QCM THEORIQUE  (30 questions / 15 points)</w:t>
      </w:r>
    </w:p>
    <w:p>
      <w:pPr>
        <w:spacing w:before="120" w:after="40"/>
      </w:pPr>
      <w:r>
        <w:rPr>
          <w:b w:val="0"/>
          <w:i/>
          <w:color w:val="888888"/>
          <w:sz w:val="20"/>
        </w:rPr>
        <w:t>Une seule bonne reponse par question. Cochez la case correspondante.</w:t>
      </w:r>
    </w:p>
    <w:p/>
    <w:p>
      <w:pPr>
        <w:pStyle w:val="Heading2"/>
      </w:pPr>
      <w:r>
        <w:rPr>
          <w:color w:val="2E86AB"/>
        </w:rPr>
        <w:t>Connaissances Générales</w:t>
      </w:r>
    </w:p>
    <w:p>
      <w:pPr>
        <w:spacing w:before="200" w:after="40"/>
      </w:pPr>
      <w:r>
        <w:rPr>
          <w:b/>
          <w:i w:val="0"/>
          <w:color w:val="1B3A5C"/>
          <w:sz w:val="22"/>
        </w:rPr>
        <w:t>Question 1  (0,5 pt)   Quel article du Code CIMA fixe le délai de 30 jours pour la proposition d'indemnisation ?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Art. 12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Art. 15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Art. 16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Art. 28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  (0,5 pt)   Le principe indemnitaire signifie que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L'assuré peut s'enrichir grâce à l'assurance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L'indemnité ne peut dépasser la valeur du préjudice réel subi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L'assureur peut refuser tout sinistre sans motif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L'assuré est toujours indemnisé à 100%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3  (0,5 pt)   Quelle est la durée légale de prescription des actions nées d'un contrat d'assurance selon le Code CIMA ?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1 an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2 ans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5 ans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10 ans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4  (0,5 pt)   La subrogation en assurance consiste à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Annuler le contrat après un sinistre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Permettre à l'assureur de se substituer à l'assuré pour exercer un recours contre le tiers responsable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Obliger l'assuré à rembourser l'assureur dans tous les cas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Suspendre les garanties après déclaration de sinistre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5  (0,5 pt)   Qu'est-ce qu'une franchise absolue ?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Une somme déduite de l'indemnité, quelle que soit l'importance du sinistre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Une garantie couvrant tous les sinistres sans plafond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Un sinistre inférieur à la franchise qui reste entièrement à charge de l'assureur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Un plafond au-delà duquel l'assureur ne couvre plus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6  (0,5 pt)   En cas de double assurance (même risque assuré par deux assureurs différents), chaque assureur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Doit payer la totalité du sinistre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Peut refuser d'indemniser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Contribue proportionnellement à hauteur de sa quote-part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Est totalement déchargé de sa responsabilité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7  (0,5 pt)   Quelle est la première action du gestionnaire sinistres à réception d'une déclaration ?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Mandater l'expert immédiatement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Envoyer un refus de garantie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Enregistrer le dossier et envoyer un accusé de réception sous 24-48h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Contacter les pompiers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8  (0,5 pt)   La règle proportionnelle s'applique quand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L'assuré a déclaré la valeur exacte de ses biens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La valeur assurée est inférieure à la valeur réelle du bien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L'assureur refuse la garantie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Le sinistre dépasse le plafond de garantie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9  (0,5 pt)   Qu'est-ce que la déchéance de garantie ?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Un avenant au contrat réduisant les primes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La perte du droit à indemnisation suite au non-respect d'une obligation contractuelle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Une extension de garantie automatique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Un remboursement partiel de la prime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10  (0,5 pt)   La vétusté en assurance représente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La prime supplémentaire due après un sinistre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L'augmentation de valeur d'un bien avec le temps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La dépréciation d'un bien due à l'usure et au vieillissement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Un type de franchise applicable aux biens anciens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11  (0,5 pt)   En branche automobile, la Convention IDA (Indemnisation Directe de l'Assuré) permet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À l'assureur de refuser d'indemniser en cas de responsabilité partagée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À l'assuré d'être indemnisé directement par son propre assureur sans attendre le recours contre le tiers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Aux deux assureurs de partager les frais d'expertise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De supprimer la franchise pour les accidents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12  (0,5 pt)   En branche incendie, les 'dégâts des eaux' (DDO) sont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Toujours couverts automatiquement sans option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Une extension facultative à souscrire spécifiquement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Exclus de toutes les polices incendie sans exception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Couverts uniquement pour les entreprises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13  (0,5 pt)   En transports facultés maritimes, le connaissement (Bill of Lading) est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Un simple bon de commande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Un titre de propriété de la marchandise faisant preuve du contrat de transport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Un certificat phytosanitaire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Une facture douanière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14  (0,5 pt)   En branche santé, le tiers payant signifie que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L'assuré paie une partie des soins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L'assureur règle directement le prestataire sans avance de frais par l'assuré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Un tiers garant se substitue à l'assuré défaillant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Les frais sont remboursés 3 mois après les soins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15  (0,5 pt)   La consolidation en branche Individuel Accident désigne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La fusion de deux polices d'assurance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La date à partir de laquelle l'état de santé de la victime est stabilisé et ne nécessite plus de soins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Le remboursement total des frais médicaux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La clôture administrative du dossier sinistre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16  (0,5 pt)   La Clause A en assurance transport facultés maritimes couvre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Uniquement les naufrages et échouages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Les risques listés de manière limitative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Tous les risques sauf les exclusions expressément prévues (all risks)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Uniquement les avaries communes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17  (0,5 pt)   En cas de destruction totale d'un véhicule assuré en dommages, l'indemnité nette est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La valeur à neuf du véhicule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Le coût de réparation estimé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La valeur vénale au jour du sinistre moins la valeur de l'épave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Le capital souscrit dans la police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18  (0,5 pt)   L'avarie commune en transport maritime se produit lorsque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Un seul colis est endommagé lors du transport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Le capitaine prend une décision volontaire et raisonnable pour sauver l'expédition commune en péril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Le transporteur refuse de livrer la marchandise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L'assureur refuse la garantie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19  (0,5 pt)   En branche individuel accident, l'ITT (Incapacité Temporaire Totale) ouvre droit à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Un capital unique versé en fin d'arrêt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Une indemnité journalière versée pendant la durée de l'arrêt de travail (hors franchise)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Une rente viagère mensuelle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Le remboursement des frais médicaux uniquement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20  (0,5 pt)   Le délai légal de conservation des dossiers sinistres clos selon le Code CIMA est de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2 ans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5 ans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10 ans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30 ans</w:t>
      </w:r>
    </w:p>
    <w:p/>
    <w:p>
      <w:pPr>
        <w:pStyle w:val="Heading2"/>
      </w:pPr>
      <w:r>
        <w:rPr>
          <w:color w:val="2E86AB"/>
        </w:rPr>
        <w:t>Réglementation CIMA</w:t>
      </w:r>
    </w:p>
    <w:p>
      <w:pPr>
        <w:spacing w:before="200" w:after="40"/>
      </w:pPr>
      <w:r>
        <w:rPr>
          <w:b/>
          <w:i w:val="0"/>
          <w:color w:val="1B3A5C"/>
          <w:sz w:val="22"/>
        </w:rPr>
        <w:t>Question 21  (0,5 pt)   Le Code CIMA a été institué par le Traité signé à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Dakar le 14 juillet 1990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Yaoundé le 10 juillet 1992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Abidjan le 1er janvier 1995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Paris le 5 mars 1988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22  (0,5 pt)   L'article 15 du Code CIMA concerne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Le calcul des primes d'assurance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L'obligation d'accusé de réception et d'instruction de la déclaration de sinistre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Les conditions de résiliation du contrat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La nomination des experts agréés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23  (0,5 pt)   Selon l'article 18 du Code CIMA, en cas de retard de règlement, les pénalités dues par l'assureur sont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Les intérêts légaux uniquement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Une pénalité forfaitaire de 10% du capital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Les intérêts légaux majorés de 50%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Aucune pénalité n'est prévue par la loi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24  (0,5 pt)   La CIMA regroupe actuellement combien d'États membres ?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7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10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14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20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25  (0,5 pt)   En assurance vie et individuel accident, la fausse déclaration intentionnelle entraîne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Une réduction proportionnelle de l'indemnité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La nullité du contrat avec conservation des primes par l'assureur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Une simple majoration de prime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Un avertissement sans conséquence financière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26  (0,5 pt)   En assurance RC automobile obligatoire, la victime d'un accident peut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Seulement agir contre le conducteur responsable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Agir directement contre l'assureur du responsable (action directe)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Agir uniquement devant les juridictions civiles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Seulement demander réparation à l'État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27  (0,5 pt)   Un sinistre est déclaré 3 ans après sa survenance. En droit CIMA, cette action est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Recevable, car aucun délai n'est prévu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Prescrite, car le délai légal de 2 ans est dépassé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Recevable si l'assuré fournit une bonne raison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Prescrite uniquement en assurance vie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28  (0,5 pt)   Quelle est l'autorité de supervision des compagnies d'assurance dans l'espace CIMA ?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La Banque Centrale (BCEAO / BEAC)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La Commission Régionale de Contrôle des Assurances (CRCA)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Le Ministère des Finances de chaque État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L'UEMOA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29  (0,5 pt)   La RC automobile est qualifiée d'obligatoire car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Elle est souscrite volontairement par tous les conducteurs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La loi impose à tout propriétaire de véhicule de couvrir sa responsabilité envers les tiers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Elle est imposée uniquement aux flottes d'entreprises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Elle est exigée uniquement pour les véhicules de plus de 5 ans</w:t>
      </w:r>
    </w:p>
    <w:p/>
    <w:p>
      <w:pPr>
        <w:spacing w:before="200" w:after="40"/>
      </w:pPr>
      <w:r>
        <w:rPr>
          <w:b/>
          <w:i w:val="0"/>
          <w:color w:val="1B3A5C"/>
          <w:sz w:val="22"/>
        </w:rPr>
        <w:t>Question 30  (0,5 pt)   En cas de désaccord entre l'assuré et l'assureur sur le montant de l'indemnité, l'assuré peut :</w:t>
      </w:r>
    </w:p>
    <w:p>
      <w:pPr>
        <w:spacing w:before="40" w:after="40"/>
        <w:ind w:left="454"/>
      </w:pPr>
      <w:r>
        <w:rPr>
          <w:color w:val="444444"/>
          <w:sz w:val="22"/>
        </w:rPr>
        <w:t>☐  A.  Uniquement accepter la proposition de l'assureur</w:t>
      </w:r>
    </w:p>
    <w:p>
      <w:pPr>
        <w:spacing w:before="40" w:after="40"/>
        <w:ind w:left="454"/>
      </w:pPr>
      <w:r>
        <w:rPr>
          <w:color w:val="444444"/>
          <w:sz w:val="22"/>
        </w:rPr>
        <w:t>☐  B.  Demander une contre-expertise aux frais exclusifs de l'assureur</w:t>
      </w:r>
    </w:p>
    <w:p>
      <w:pPr>
        <w:spacing w:before="40" w:after="40"/>
        <w:ind w:left="454"/>
      </w:pPr>
      <w:r>
        <w:rPr>
          <w:color w:val="444444"/>
          <w:sz w:val="22"/>
        </w:rPr>
        <w:t>☐  C.  Demander une contre-expertise contradictoire, les frais étant partagés en cas de désaccord persistant</w:t>
      </w:r>
    </w:p>
    <w:p>
      <w:pPr>
        <w:spacing w:before="40" w:after="40"/>
        <w:ind w:left="454"/>
      </w:pPr>
      <w:r>
        <w:rPr>
          <w:color w:val="444444"/>
          <w:sz w:val="22"/>
        </w:rPr>
        <w:t>☐  D.  Saisir immédiatement le tribunal sans autre recours préalable</w:t>
      </w:r>
    </w:p>
    <w:p/>
    <w:p>
      <w:r>
        <w:br w:type="page"/>
      </w:r>
    </w:p>
    <w:p>
      <w:pPr>
        <w:pStyle w:val="Heading1"/>
      </w:pPr>
      <w:r>
        <w:rPr>
          <w:color w:val="1B3A5C"/>
        </w:rPr>
        <w:t>PARTIE 2 — CAS PRATIQUES  (3 dossiers / 30 points)</w:t>
      </w:r>
    </w:p>
    <w:p>
      <w:pPr>
        <w:spacing w:before="120" w:after="40"/>
      </w:pPr>
      <w:r>
        <w:rPr>
          <w:b w:val="0"/>
          <w:i/>
          <w:color w:val="888888"/>
          <w:sz w:val="20"/>
        </w:rPr>
        <w:t>Traitez chaque dossier de maniere independante. Justifiez vos calculs.</w:t>
      </w:r>
    </w:p>
    <w:p/>
    <w:p>
      <w:pPr>
        <w:pStyle w:val="Heading2"/>
      </w:pPr>
      <w:r>
        <w:rPr>
          <w:color w:val="1B3A5C"/>
        </w:rPr>
        <w:t>Cas Pratique 1 — Branche AUTOMOBILE  (20 min / 10 pts)</w:t>
      </w:r>
    </w:p>
    <w:p>
      <w:pPr>
        <w:spacing w:before="120" w:after="40"/>
      </w:pPr>
      <w:r>
        <w:rPr>
          <w:b/>
          <w:i w:val="0"/>
          <w:color w:val="2E86AB"/>
          <w:sz w:val="22"/>
        </w:rPr>
        <w:t>Intitule : Sinistre RC — Collision en agglomération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r>
              <w:rPr>
                <w:color w:val="444444"/>
                <w:sz w:val="20"/>
              </w:rPr>
              <w:t>CONTEXTE  —  M. KOUASSI Aimé, assuré chez ASSUR-PLUS depuis 4 ans, déclare un accident de la circulation survenu le 15 mars 2026 à 14h30, avenue de l'Indépendance à Abidjan. Son véhicule Toyota Corolla (immatriculé CI-1234-AB, valeur vénale estimée : 7 500 000 FCFA) a été percuté à l'arrière par le véhicule de M. BAMBA Seydou alors que M. KOUASSI était à l'arrêt à un feu rouge. M. BAMBA reconnaît sa responsabilité totale sur le constat amiable. Devis de réparation du garage agréé : 1 850 000 FCFA. Franchise contractuelle : 75 000 FCFA.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1B3A5C"/>
          <w:sz w:val="22"/>
        </w:rPr>
        <w:t>Q1. Listez les documents que vous devez réclamer à M. KOUASSI pour instruire ce dossier.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Q2. Quelle garantie de sa police M. KOUASSI peut-il actionner ? Justifiez.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Q3. Quel est le montant net de l'indemnité à verser à M. KOUASSI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Q4. L'assureur peut-il exercer un recours ? Contre qui et sur quel fondement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Q5. Quel délai maximum avez-vous pour formuler votre proposition d'indemnisation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r>
        <w:br w:type="page"/>
      </w:r>
    </w:p>
    <w:p/>
    <w:p>
      <w:pPr>
        <w:pStyle w:val="Heading2"/>
      </w:pPr>
      <w:r>
        <w:rPr>
          <w:color w:val="1B3A5C"/>
        </w:rPr>
        <w:t>Cas Pratique 2 — Branche INCENDIE  (20 min / 10 pts)</w:t>
      </w:r>
    </w:p>
    <w:p>
      <w:pPr>
        <w:spacing w:before="120" w:after="40"/>
      </w:pPr>
      <w:r>
        <w:rPr>
          <w:b/>
          <w:i w:val="0"/>
          <w:color w:val="2E86AB"/>
          <w:sz w:val="22"/>
        </w:rPr>
        <w:t>Intitule : Incendie d'un commerce — Règle proportionnelle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r>
              <w:rPr>
                <w:color w:val="444444"/>
                <w:sz w:val="20"/>
              </w:rPr>
              <w:t>CONTEXTE  —  Mme DIALLO Fatou exploite une boutique de prêt-à-porter à Dakar. Elle a souscrit une police incendie avec une valeur assurée de 15 000 000 FCFA pour les marchandises. Le 02 avril 2026 à 02h15, un incendie d'origine électrique détruit 60% de ses stocks. L'expertise contradictoire évalue : — Valeur réelle des marchandises au jour du sinistre : 25 000 000 FCFA. — Dommages constatés : 12 000 000 FCFA. Franchise absolue : 250 000 FCFA. Mme DIALLO demande une indemnité de 12 000 000 FCFA.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1B3A5C"/>
          <w:sz w:val="22"/>
        </w:rPr>
        <w:t>Q1. Quels documents constitutifs du dossier sinistre devez-vous rassembler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Q2. La valeur assurée est-elle suffisante ? Quelle conséquence cela entraîne-t-il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Q3. Calculez le montant de l'indemnité nette due à Mme DIALLO (montrez le calcul).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Q4. Mme DIALLO conteste votre décision. Quel est son recours possible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Q5. Comment ce dossier doit-il être archivé et pendant combien de temps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r>
        <w:br w:type="page"/>
      </w:r>
    </w:p>
    <w:p/>
    <w:p>
      <w:pPr>
        <w:pStyle w:val="Heading2"/>
      </w:pPr>
      <w:r>
        <w:rPr>
          <w:color w:val="1B3A5C"/>
        </w:rPr>
        <w:t>Cas Pratique 3 — Branche SANTÉ  (20 min / 10 pts)</w:t>
      </w:r>
    </w:p>
    <w:p>
      <w:pPr>
        <w:spacing w:before="120" w:after="40"/>
      </w:pPr>
      <w:r>
        <w:rPr>
          <w:b/>
          <w:i w:val="0"/>
          <w:color w:val="2E86AB"/>
          <w:sz w:val="22"/>
        </w:rPr>
        <w:t>Intitule : Hospitalisation — Prise en charge et liquidation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r>
              <w:rPr>
                <w:color w:val="444444"/>
                <w:sz w:val="20"/>
              </w:rPr>
              <w:t>CONTEXTE  —  M. TOSSOU Rodrigue, salarié dans une entreprise abonnée au contrat collectif santé d'ASSUR-VIE, est hospitalisé en urgence le 10 avril 2026 pour appendicite aiguë. Durée d'hospitalisation : 4 jours. Facture de la clinique agréée : 890 000 FCFA (dont honoraires chirurgien : 250 000 FCFA, frais de séjour : 480 000 FCFA, médicaments : 160 000 FCFA). Tableau de garanties : hospitalisation prise en charge à 80%, médicaments à 70%. Ticket modérateur à charge de l'assuré : 20% sur séjour + honoraires, 30% sur médicaments. Forfait journalier : non applicable (clinique agréée réseau).</w:t>
            </w:r>
          </w:p>
        </w:tc>
      </w:tr>
    </w:tbl>
    <w:p/>
    <w:p>
      <w:pPr>
        <w:spacing w:before="160" w:after="40"/>
      </w:pPr>
      <w:r>
        <w:rPr>
          <w:b/>
          <w:i w:val="0"/>
          <w:color w:val="1B3A5C"/>
          <w:sz w:val="22"/>
        </w:rPr>
        <w:t>Q1. M. TOSSOU a été hospitalisé en urgence. La PEC préalable était-elle obligatoire ? Quel protocole appliquer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Q2. Quels documents devez-vous exiger pour traiter la demande de remboursement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Q3. Calculez le montant pris en charge par l'assureur et le ticket modérateur de M. TOSSOU.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Q4. Dans quel délai devez-vous régler la facture une fois le dossier complet reçu ?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pPr>
        <w:spacing w:before="160" w:after="40"/>
      </w:pPr>
      <w:r>
        <w:rPr>
          <w:b/>
          <w:i w:val="0"/>
          <w:color w:val="1B3A5C"/>
          <w:sz w:val="22"/>
        </w:rPr>
        <w:t>Q5. Citez deux motifs légaux de refus de prise en charge en branche santé.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Reponse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rPr>
          <w:color w:val="1B3A5C"/>
        </w:rPr>
        <w:t>PARTIE 3 — MISE EN SITUATION  (20 points)</w:t>
      </w:r>
    </w:p>
    <w:p>
      <w:pPr>
        <w:spacing w:before="120" w:after="40"/>
      </w:pPr>
      <w:r>
        <w:rPr>
          <w:b w:val="0"/>
          <w:i/>
          <w:color w:val="888888"/>
          <w:sz w:val="20"/>
        </w:rPr>
        <w:t>Simulation en binomes — roles : gestionnaire sinistres / assure.</w:t>
      </w:r>
    </w:p>
    <w:p/>
    <w:p>
      <w:pPr>
        <w:spacing w:before="120" w:after="40"/>
      </w:pPr>
      <w:r>
        <w:rPr>
          <w:b/>
          <w:i w:val="0"/>
          <w:color w:val="1B3A5C"/>
          <w:sz w:val="22"/>
        </w:rPr>
        <w:t>Scenarios proposes (tires au sort) :</w:t>
      </w:r>
    </w:p>
    <w:p>
      <w:pPr>
        <w:spacing w:before="120" w:after="40"/>
      </w:pPr>
      <w:r>
        <w:rPr>
          <w:b w:val="0"/>
          <w:i w:val="0"/>
          <w:color w:val="444444"/>
          <w:sz w:val="22"/>
        </w:rPr>
        <w:t>▸  Scenario A : Reception telephonique d'une declaration de sinistre automobile</w:t>
      </w:r>
    </w:p>
    <w:p>
      <w:pPr>
        <w:spacing w:before="120" w:after="40"/>
      </w:pPr>
      <w:r>
        <w:rPr>
          <w:b w:val="0"/>
          <w:i w:val="0"/>
          <w:color w:val="444444"/>
          <w:sz w:val="22"/>
        </w:rPr>
        <w:t>▸  Scenario B : Annonce a un assure d'un refus de garantie (exclusion contractuelle)</w:t>
      </w:r>
    </w:p>
    <w:p>
      <w:pPr>
        <w:spacing w:before="120" w:after="40"/>
      </w:pPr>
      <w:r>
        <w:rPr>
          <w:b w:val="0"/>
          <w:i w:val="0"/>
          <w:color w:val="444444"/>
          <w:sz w:val="22"/>
        </w:rPr>
        <w:t>▸  Scenario C : Remise d'un courrier de reglement partiel (regle proportionnelle incendie)</w:t>
      </w:r>
    </w:p>
    <w:p/>
    <w:p>
      <w:pPr>
        <w:spacing w:before="120" w:after="40"/>
      </w:pPr>
      <w:r>
        <w:rPr>
          <w:b/>
          <w:i w:val="0"/>
          <w:color w:val="2E86AB"/>
          <w:sz w:val="22"/>
        </w:rPr>
        <w:t>Auto-evaluation du participant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Critere</w:t>
            </w:r>
          </w:p>
        </w:tc>
        <w:tc>
          <w:tcPr>
            <w:tcW w:type="dxa" w:w="2351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Descripteurs</w:t>
            </w:r>
          </w:p>
        </w:tc>
        <w:tc>
          <w:tcPr>
            <w:tcW w:type="dxa" w:w="2351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Bareme</w:t>
            </w:r>
          </w:p>
        </w:tc>
        <w:tc>
          <w:tcPr>
            <w:tcW w:type="dxa" w:w="2351"/>
            <w:shd w:val="clear" w:color="auto" w:fill="1B3A5C"/>
          </w:tcPr>
          <w:p>
            <w:r>
              <w:rPr>
                <w:b/>
                <w:color w:val="FFFFFF"/>
                <w:sz w:val="20"/>
              </w:rPr>
              <w:t>Auto-note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Communication &amp; Accueil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Vocabulaire adapté, ton professionnel, empathie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/4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Écoute active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Reformulation, questions pertinentes, prise de notes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Maîtrise réglementaire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Respect des délais CIMA cités, justification des décisions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/4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Gestion du conflit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Calme, argumentation factuelle, proposition de solution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Rédaction courrier de règlement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Clarté, structure, mentions obligatoires, ton adapté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  <w:t>/4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351"/>
            <w:shd w:val="clear" w:color="auto" w:fill="1B3A5C"/>
          </w:tcPr>
          <w:p>
            <w:r>
              <w:rPr>
                <w:b/>
                <w:color w:val="F19001"/>
                <w:sz w:val="20"/>
              </w:rPr>
              <w:t>TOTAL</w:t>
            </w:r>
          </w:p>
        </w:tc>
        <w:tc>
          <w:tcPr>
            <w:tcW w:type="dxa" w:w="2351"/>
            <w:shd w:val="clear" w:color="auto" w:fill="1B3A5C"/>
          </w:tcPr>
          <w:p>
            <w:r>
              <w:rPr>
                <w:b/>
                <w:color w:val="F19001"/>
                <w:sz w:val="20"/>
              </w:rPr>
            </w:r>
          </w:p>
        </w:tc>
        <w:tc>
          <w:tcPr>
            <w:tcW w:type="dxa" w:w="2351"/>
            <w:shd w:val="clear" w:color="auto" w:fill="1B3A5C"/>
          </w:tcPr>
          <w:p>
            <w:r>
              <w:rPr>
                <w:b/>
                <w:color w:val="F19001"/>
                <w:sz w:val="20"/>
              </w:rPr>
              <w:t>/20</w:t>
            </w:r>
          </w:p>
        </w:tc>
        <w:tc>
          <w:tcPr>
            <w:tcW w:type="dxa" w:w="2351"/>
            <w:shd w:val="clear" w:color="auto" w:fill="1B3A5C"/>
          </w:tcPr>
          <w:p>
            <w:r>
              <w:rPr>
                <w:b/>
                <w:color w:val="F19001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FICHE DE RESULTATS &amp; ATTESTATION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Partie</w:t>
            </w:r>
          </w:p>
        </w:tc>
        <w:tc>
          <w:tcPr>
            <w:tcW w:type="dxa" w:w="2351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Points Maximum</w:t>
            </w:r>
          </w:p>
        </w:tc>
        <w:tc>
          <w:tcPr>
            <w:tcW w:type="dxa" w:w="2351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Seuil (70%)</w:t>
            </w:r>
          </w:p>
        </w:tc>
        <w:tc>
          <w:tcPr>
            <w:tcW w:type="dxa" w:w="2351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Note Obtenue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r>
              <w:rPr>
                <w:b w:val="0"/>
                <w:sz w:val="22"/>
              </w:rPr>
              <w:t>QCM Théorique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b w:val="0"/>
                <w:sz w:val="22"/>
              </w:rPr>
              <w:t>15 pts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b w:val="0"/>
                <w:sz w:val="22"/>
              </w:rPr>
              <w:t>10,5 pts (70%)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2"/>
              </w:rPr>
              <w:t>Cas Pratiques</w:t>
            </w:r>
          </w:p>
        </w:tc>
        <w:tc>
          <w:tcPr>
            <w:tcW w:type="dxa" w:w="2351"/>
          </w:tcPr>
          <w:p>
            <w:r>
              <w:rPr>
                <w:b w:val="0"/>
                <w:sz w:val="22"/>
              </w:rPr>
              <w:t>30 pts</w:t>
            </w:r>
          </w:p>
        </w:tc>
        <w:tc>
          <w:tcPr>
            <w:tcW w:type="dxa" w:w="2351"/>
          </w:tcPr>
          <w:p>
            <w:r>
              <w:rPr>
                <w:b w:val="0"/>
                <w:sz w:val="22"/>
              </w:rPr>
              <w:t>21 pts (70%)</w:t>
            </w:r>
          </w:p>
        </w:tc>
        <w:tc>
          <w:tcPr>
            <w:tcW w:type="dxa" w:w="2351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351"/>
            <w:shd w:val="clear" w:color="auto" w:fill="F0F4F8"/>
          </w:tcPr>
          <w:p>
            <w:r>
              <w:rPr>
                <w:b w:val="0"/>
                <w:sz w:val="22"/>
              </w:rPr>
              <w:t>Mise en Situation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b w:val="0"/>
                <w:sz w:val="22"/>
              </w:rPr>
              <w:t>20 pts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b w:val="0"/>
                <w:sz w:val="22"/>
              </w:rPr>
              <w:t>14 pts (70%)</w:t>
            </w:r>
          </w:p>
        </w:tc>
        <w:tc>
          <w:tcPr>
            <w:tcW w:type="dxa" w:w="2351"/>
            <w:shd w:val="clear" w:color="auto" w:fill="F0F4F8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b w:val="0"/>
                <w:sz w:val="22"/>
              </w:rPr>
              <w:t>Participation active</w:t>
            </w:r>
          </w:p>
        </w:tc>
        <w:tc>
          <w:tcPr>
            <w:tcW w:type="dxa" w:w="2351"/>
          </w:tcPr>
          <w:p>
            <w:r>
              <w:rPr>
                <w:b w:val="0"/>
                <w:sz w:val="22"/>
              </w:rPr>
              <w:t>5 pts</w:t>
            </w:r>
          </w:p>
        </w:tc>
        <w:tc>
          <w:tcPr>
            <w:tcW w:type="dxa" w:w="2351"/>
          </w:tcPr>
          <w:p>
            <w:r>
              <w:rPr>
                <w:b w:val="0"/>
                <w:sz w:val="22"/>
              </w:rPr>
              <w:t>Appréciation</w:t>
            </w:r>
          </w:p>
        </w:tc>
        <w:tc>
          <w:tcPr>
            <w:tcW w:type="dxa" w:w="2351"/>
          </w:tcPr>
          <w:p>
            <w:r>
              <w:rPr>
                <w:b w:val="0"/>
                <w:sz w:val="22"/>
              </w:rPr>
            </w:r>
          </w:p>
        </w:tc>
      </w:tr>
      <w:tr>
        <w:tc>
          <w:tcPr>
            <w:tcW w:type="dxa" w:w="2351"/>
            <w:shd w:val="clear" w:color="auto" w:fill="F0F4F8"/>
            <w:shd w:val="clear" w:color="auto" w:fill="1B3A5C"/>
          </w:tcPr>
          <w:p>
            <w:r>
              <w:rPr>
                <w:b/>
                <w:color w:val="F19001"/>
                <w:sz w:val="22"/>
              </w:rPr>
              <w:t>TOTAL GÉNÉRAL</w:t>
            </w:r>
          </w:p>
        </w:tc>
        <w:tc>
          <w:tcPr>
            <w:tcW w:type="dxa" w:w="2351"/>
            <w:shd w:val="clear" w:color="auto" w:fill="F0F4F8"/>
            <w:shd w:val="clear" w:color="auto" w:fill="1B3A5C"/>
          </w:tcPr>
          <w:p>
            <w:r>
              <w:rPr>
                <w:b/>
                <w:color w:val="F19001"/>
                <w:sz w:val="22"/>
              </w:rPr>
              <w:t>70 pts</w:t>
            </w:r>
          </w:p>
        </w:tc>
        <w:tc>
          <w:tcPr>
            <w:tcW w:type="dxa" w:w="2351"/>
            <w:shd w:val="clear" w:color="auto" w:fill="F0F4F8"/>
            <w:shd w:val="clear" w:color="auto" w:fill="1B3A5C"/>
          </w:tcPr>
          <w:p>
            <w:r>
              <w:rPr>
                <w:b/>
                <w:color w:val="F19001"/>
                <w:sz w:val="22"/>
              </w:rPr>
              <w:t>49 pts (70%)</w:t>
            </w:r>
          </w:p>
        </w:tc>
        <w:tc>
          <w:tcPr>
            <w:tcW w:type="dxa" w:w="2351"/>
            <w:shd w:val="clear" w:color="auto" w:fill="F0F4F8"/>
            <w:shd w:val="clear" w:color="auto" w:fill="1B3A5C"/>
          </w:tcPr>
          <w:p>
            <w:r>
              <w:rPr>
                <w:b/>
                <w:color w:val="F19001"/>
                <w:sz w:val="22"/>
              </w:rPr>
            </w:r>
          </w:p>
        </w:tc>
      </w:tr>
    </w:tbl>
    <w:p/>
    <w:p>
      <w:pPr>
        <w:spacing w:before="120" w:after="40"/>
      </w:pPr>
      <w:r>
        <w:rPr>
          <w:b/>
          <w:i w:val="0"/>
          <w:color w:val="1B3A5C"/>
          <w:sz w:val="22"/>
        </w:rPr>
        <w:t>Apreciation generale :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Commentaires du formateur :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>
      <w:pPr>
        <w:spacing w:before="40" w:after="0"/>
      </w:pPr>
      <w:r>
        <w:rPr>
          <w:color w:val="CCCCCC"/>
          <w:sz w:val="18"/>
        </w:rPr>
        <w:t>______________________________________________________________________________________________________________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Signature du Participant</w:t>
            </w:r>
          </w:p>
        </w:tc>
        <w:tc>
          <w:tcPr>
            <w:tcW w:type="dxa" w:w="4703"/>
            <w:shd w:val="clear" w:color="auto" w:fill="1B3A5C"/>
          </w:tcPr>
          <w:p>
            <w:r>
              <w:rPr>
                <w:b/>
                <w:color w:val="FFFFFF"/>
                <w:sz w:val="22"/>
              </w:rPr>
              <w:t>Signature du Formateur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B3A5C"/>
                <w:sz w:val="22"/>
              </w:rPr>
            </w:r>
          </w:p>
        </w:tc>
        <w:tc>
          <w:tcPr>
            <w:tcW w:type="dxa" w:w="4703"/>
          </w:tcPr>
          <w:p>
            <w:r>
              <w:rPr>
                <w:b/>
                <w:color w:val="1B3A5C"/>
                <w:sz w:val="22"/>
              </w:rPr>
              <w:t>TALOM Eric</w:t>
            </w:r>
          </w:p>
        </w:tc>
      </w:tr>
    </w:tbl>
    <w:p/>
    <w:p>
      <w:pPr>
        <w:spacing w:before="120" w:after="40"/>
      </w:pPr>
      <w:r>
        <w:rPr>
          <w:b w:val="0"/>
          <w:i/>
          <w:color w:val="AAAAAA"/>
          <w:sz w:val="18"/>
        </w:rPr>
        <w:t>Ce document est confidentiel — Formation TALOM Eric — Avril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