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PROJECTIONS FINANCIÈRES - Yukpomnang</w:t>
      </w:r>
    </w:p>
    <w:p>
      <w:pPr>
        <w:pStyle w:val="Heading2"/>
      </w:pPr>
      <w:r>
        <w:t>Analyse Financière Détaillée 2026-2030 - Basée sur les Produits/Services</w:t>
      </w:r>
    </w:p>
    <w:p/>
    <w:p>
      <w:pPr/>
      <w:r>
        <w:rPr>
          <w:b/>
          <w:color w:val="003366"/>
        </w:rPr>
        <w:t>Date</w:t>
      </w:r>
      <w:r>
        <w:t>: Janvier 2026</w:t>
      </w:r>
    </w:p>
    <w:p>
      <w:pPr/>
      <w:r>
        <w:rPr>
          <w:b/>
          <w:color w:val="003366"/>
        </w:rPr>
        <w:t>Version</w:t>
      </w:r>
      <w:r>
        <w:t>: 3.0 - Révisée avec Paramètres Réalistes</w:t>
      </w:r>
    </w:p>
    <w:p>
      <w:pPr/>
      <w:r>
        <w:rPr>
          <w:b/>
          <w:color w:val="003366"/>
        </w:rPr>
        <w:t>Confidentialité</w:t>
      </w:r>
      <w:r>
        <w:t>: Document confidentiel</w:t>
      </w:r>
    </w:p>
    <w:p>
      <w:pPr/>
      <w:r>
        <w:rPr>
          <w:b/>
          <w:color w:val="003366"/>
        </w:rPr>
        <w:t>Taux de change</w:t>
      </w:r>
      <w:r>
        <w:t xml:space="preserve"> : 1 FCFA = 600 FCFA (approximatif)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PARAMÈTRES ÉCONOMIQUES RÉALISTES</w:t>
      </w:r>
    </w:p>
    <w:p/>
    <w:p>
      <w:pPr>
        <w:pStyle w:val="Heading3"/>
      </w:pPr>
      <w:r>
        <w:t>Structure de Revenus par Catégorie</w:t>
      </w:r>
    </w:p>
    <w:p/>
    <w:p>
      <w:pPr>
        <w:pStyle w:val="Heading4"/>
      </w:pPr>
      <w:r>
        <w:t>1. Utilisation de Tokens pour Produits/Services</w:t>
      </w:r>
    </w:p>
    <w:p/>
    <w:p>
      <w:pPr/>
      <w:r>
        <w:rPr>
          <w:b/>
          <w:color w:val="003366"/>
        </w:rPr>
        <w:t>Système de Tokens (Pay-Per-Use)</w:t>
      </w:r>
    </w:p>
    <w:p/>
    <w:p>
      <w:pPr/>
      <w:r>
        <w:t xml:space="preserve">Yukpomnang utilise un </w:t>
      </w:r>
      <w:r>
        <w:rPr>
          <w:b/>
          <w:color w:val="003366"/>
        </w:rPr>
        <w:t>système de tokens</w:t>
      </w:r>
      <w:r>
        <w:t xml:space="preserve"> (et non un système d'abonnement) où les commerçants achètent des tokens pour utiliser les fonctionnalités de la plateforme :</w:t>
      </w:r>
    </w:p>
    <w:p/>
    <w:p>
      <w:pPr>
        <w:pStyle w:val="ListBullet"/>
      </w:pPr>
      <w:r>
        <w:rPr>
          <w:b/>
          <w:color w:val="003366"/>
        </w:rPr>
        <w:t>Achat de tokens</w:t>
      </w:r>
      <w:r>
        <w:t xml:space="preserve"> : Les commerçants achètent des tokens selon leurs besoins (pas d'engagement mensuel)</w:t>
      </w:r>
    </w:p>
    <w:p>
      <w:pPr>
        <w:pStyle w:val="ListBullet"/>
      </w:pPr>
      <w:r>
        <w:rPr>
          <w:b/>
          <w:color w:val="003366"/>
        </w:rPr>
        <w:t>Utilisation des tokens</w:t>
      </w:r>
      <w:r>
        <w:t xml:space="preserve"> :</w:t>
      </w:r>
    </w:p>
    <w:p>
      <w:pPr>
        <w:pStyle w:val="ListBullet"/>
      </w:pPr>
      <w:r>
        <w:t>Création de produits/services : Consommation de tokens selon complexité</w:t>
      </w:r>
    </w:p>
    <w:p>
      <w:pPr>
        <w:pStyle w:val="ListBullet"/>
      </w:pPr>
      <w:r>
        <w:t>Maintien en ligne : Tokens débités pour maintenir la visibilité des produits</w:t>
      </w:r>
    </w:p>
    <w:p>
      <w:pPr>
        <w:pStyle w:val="ListBullet"/>
      </w:pPr>
      <w:r>
        <w:t>Actions supplémentaires : Clics, promotions, mises à jour</w:t>
      </w:r>
    </w:p>
    <w:p>
      <w:pPr>
        <w:pStyle w:val="ListBullet"/>
      </w:pPr>
      <w:r>
        <w:rPr>
          <w:b/>
          <w:color w:val="003366"/>
        </w:rPr>
        <w:t>Équivalence</w:t>
      </w:r>
      <w:r>
        <w:t xml:space="preserve"> : 1 FCFA = 1 token dans le système de balance</w:t>
      </w:r>
    </w:p>
    <w:p>
      <w:pPr>
        <w:pStyle w:val="ListBullet"/>
      </w:pPr>
      <w:r>
        <w:rPr>
          <w:b/>
          <w:color w:val="003366"/>
        </w:rPr>
        <w:t>Coût moyen équivalent</w:t>
      </w:r>
      <w:r>
        <w:t xml:space="preserve"> : ~2,000 FCFA/mois par produit/service actif (basé sur utilisation moyenne observée)</w:t>
      </w:r>
    </w:p>
    <w:p>
      <w:pPr>
        <w:pStyle w:val="ListBullet"/>
      </w:pPr>
      <w:r>
        <w:rPr>
          <w:b/>
          <w:color w:val="003366"/>
        </w:rPr>
        <w:t>Avantages</w:t>
      </w:r>
      <w:r>
        <w:t xml:space="preserve"> : Flexibilité totale, pas d'engagement, paiement selon usage réel</w:t>
      </w:r>
    </w:p>
    <w:p/>
    <w:p>
      <w:pPr/>
      <w:r>
        <w:rPr>
          <w:b/>
          <w:color w:val="003366"/>
        </w:rPr>
        <w:t>Projections Revenus</w:t>
      </w:r>
    </w:p>
    <w:p>
      <w:pPr>
        <w:pStyle w:val="ListBullet"/>
      </w:pPr>
      <w:r>
        <w:rPr>
          <w:b/>
          <w:color w:val="003366"/>
        </w:rPr>
        <w:t>Revenu mensuel moyen</w:t>
      </w:r>
      <w:r>
        <w:t xml:space="preserve"> : ~2,000 FCFA × nombre de produits actifs</w:t>
      </w:r>
    </w:p>
    <w:p>
      <w:pPr>
        <w:pStyle w:val="ListBullet"/>
      </w:pPr>
      <w:r>
        <w:rPr>
          <w:b/>
          <w:color w:val="003366"/>
        </w:rPr>
        <w:t>Revenu annuel moyen</w:t>
      </w:r>
      <w:r>
        <w:t xml:space="preserve"> : ~24,000 FCFA par produit/service actif (basé sur utilisation moyenne)</w:t>
      </w:r>
    </w:p>
    <w:p/>
    <w:p>
      <w:pPr>
        <w:pStyle w:val="Heading4"/>
      </w:pPr>
      <w:r>
        <w:t>2. Commissions sur Livraisons</w:t>
      </w:r>
    </w:p>
    <w:p>
      <w:pPr>
        <w:pStyle w:val="ListBullet"/>
      </w:pPr>
      <w:r>
        <w:rPr>
          <w:b/>
          <w:color w:val="003366"/>
        </w:rPr>
        <w:t>Commission minimum</w:t>
      </w:r>
      <w:r>
        <w:t xml:space="preserve"> : 100 FCFA par livraison</w:t>
      </w:r>
    </w:p>
    <w:p>
      <w:pPr>
        <w:pStyle w:val="ListBullet"/>
      </w:pPr>
      <w:r>
        <w:rPr>
          <w:b/>
          <w:color w:val="003366"/>
        </w:rPr>
        <w:t>Commission variable</w:t>
      </w:r>
      <w:r>
        <w:t xml:space="preserve"> : 5-10% du montant livraison (selon distance)</w:t>
      </w:r>
    </w:p>
    <w:p>
      <w:pPr>
        <w:pStyle w:val="ListBullet"/>
      </w:pPr>
      <w:r>
        <w:rPr>
          <w:b/>
          <w:color w:val="003366"/>
        </w:rPr>
        <w:t>Panier moyen livraison</w:t>
      </w:r>
      <w:r>
        <w:t xml:space="preserve"> : 5,000 FCFA</w:t>
      </w:r>
    </w:p>
    <w:p>
      <w:pPr>
        <w:pStyle w:val="ListBullet"/>
      </w:pPr>
      <w:r>
        <w:rPr>
          <w:b/>
          <w:color w:val="003366"/>
        </w:rPr>
        <w:t>Commission moyenne</w:t>
      </w:r>
      <w:r>
        <w:t xml:space="preserve"> : 150-200 FCFA par livraison</w:t>
      </w:r>
    </w:p>
    <w:p/>
    <w:p>
      <w:pPr>
        <w:pStyle w:val="Heading4"/>
      </w:pPr>
      <w:r>
        <w:t>3. Commissions sur Ventes Produits</w:t>
      </w:r>
    </w:p>
    <w:p>
      <w:pPr>
        <w:pStyle w:val="ListBullet"/>
      </w:pPr>
      <w:r>
        <w:rPr>
          <w:b/>
          <w:color w:val="003366"/>
        </w:rPr>
        <w:t>Commission</w:t>
      </w:r>
      <w:r>
        <w:t xml:space="preserve"> : 5% du montant de vente</w:t>
      </w:r>
    </w:p>
    <w:p>
      <w:pPr>
        <w:pStyle w:val="ListBullet"/>
      </w:pPr>
      <w:r>
        <w:rPr>
          <w:b/>
          <w:color w:val="003366"/>
        </w:rPr>
        <w:t>Panier moyen e-commerce</w:t>
      </w:r>
      <w:r>
        <w:t xml:space="preserve"> : 8,000 FCFA</w:t>
      </w:r>
    </w:p>
    <w:p>
      <w:pPr>
        <w:pStyle w:val="ListBullet"/>
      </w:pPr>
      <w:r>
        <w:rPr>
          <w:b/>
          <w:color w:val="003366"/>
        </w:rPr>
        <w:t>Commission moyenne</w:t>
      </w:r>
      <w:r>
        <w:t xml:space="preserve"> : 400 FCFA par vente</w:t>
      </w:r>
    </w:p>
    <w:p/>
    <w:p>
      <w:pPr>
        <w:pStyle w:val="Heading4"/>
      </w:pPr>
      <w:r>
        <w:t>4. Publicités et Génération Vidéos</w:t>
      </w:r>
    </w:p>
    <w:p>
      <w:pPr>
        <w:pStyle w:val="ListBullet"/>
      </w:pPr>
      <w:r>
        <w:rPr>
          <w:b/>
          <w:color w:val="003366"/>
        </w:rPr>
        <w:t>Création vidéo publicitaire</w:t>
      </w:r>
      <w:r>
        <w:t xml:space="preserve"> : 15,000 - 30,000 FCFA/vidéo</w:t>
      </w:r>
    </w:p>
    <w:p>
      <w:pPr>
        <w:pStyle w:val="ListBullet"/>
      </w:pPr>
      <w:r>
        <w:rPr>
          <w:b/>
          <w:color w:val="003366"/>
        </w:rPr>
        <w:t>Placement publicitaire</w:t>
      </w:r>
      <w:r>
        <w:t xml:space="preserve"> : 50,000 - 500,000 FCFA/mois selon visibilité</w:t>
      </w:r>
    </w:p>
    <w:p>
      <w:pPr>
        <w:pStyle w:val="ListBullet"/>
      </w:pPr>
      <w:r>
        <w:rPr>
          <w:b/>
          <w:color w:val="003366"/>
        </w:rPr>
        <w:t>Promotion produits</w:t>
      </w:r>
      <w:r>
        <w:t xml:space="preserve"> : 2,000 - 10,000 FCFA par campagne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RÉSUMÉ EXÉCUTIF FINANCIER</w:t>
      </w:r>
    </w:p>
    <w:p/>
    <w:p>
      <w:pPr>
        <w:pStyle w:val="Heading3"/>
      </w:pPr>
      <w:r>
        <w:t>Objectifs Clés - Basés sur les Produits/Services (Révisés - Plan 3 Ans)</w:t>
      </w:r>
    </w:p>
    <w:p/>
    <w:p>
      <w:pPr>
        <w:pStyle w:val="Heading4"/>
      </w:pPr>
      <w:r>
        <w:t>2026 - Année 1 : Lancement Cameroun</w:t>
      </w:r>
    </w:p>
    <w:p>
      <w:pPr>
        <w:pStyle w:val="ListBullet"/>
      </w:pPr>
      <w:r>
        <w:rPr>
          <w:b/>
          <w:color w:val="003366"/>
        </w:rPr>
        <w:t>Revenus</w:t>
      </w:r>
      <w:r>
        <w:t xml:space="preserve"> : 1,2 milliard FCFA</w:t>
      </w:r>
    </w:p>
    <w:p>
      <w:pPr>
        <w:pStyle w:val="ListBullet"/>
      </w:pPr>
      <w:r>
        <w:rPr>
          <w:b/>
          <w:color w:val="003366"/>
        </w:rPr>
        <w:t>Charges</w:t>
      </w:r>
      <w:r>
        <w:t xml:space="preserve"> : 1,4 milliard FCFA</w:t>
      </w:r>
    </w:p>
    <w:p>
      <w:pPr>
        <w:pStyle w:val="ListBullet"/>
      </w:pPr>
      <w:r>
        <w:rPr>
          <w:b/>
          <w:color w:val="003366"/>
        </w:rPr>
        <w:t>EBITDA</w:t>
      </w:r>
      <w:r>
        <w:t xml:space="preserve"> : -200 millions FCFA (investissement croissance)</w:t>
      </w:r>
    </w:p>
    <w:p>
      <w:pPr>
        <w:pStyle w:val="ListBullet"/>
      </w:pPr>
      <w:r>
        <w:rPr>
          <w:b/>
          <w:color w:val="003366"/>
        </w:rPr>
        <w:t>30,000 produits/services actifs</w:t>
      </w:r>
      <w:r>
        <w:t xml:space="preserve"> (utilisant tokens) - Objectif réaliste</w:t>
      </w:r>
    </w:p>
    <w:p>
      <w:pPr>
        <w:pStyle w:val="ListBullet"/>
      </w:pPr>
      <w:r>
        <w:rPr>
          <w:b/>
          <w:color w:val="003366"/>
        </w:rPr>
        <w:t>200,000 utilisateurs actifs</w:t>
      </w:r>
      <w:r>
        <w:t xml:space="preserve"> - Objectif réaliste</w:t>
      </w:r>
    </w:p>
    <w:p>
      <w:pPr>
        <w:pStyle w:val="ListBullet"/>
      </w:pPr>
      <w:r>
        <w:rPr>
          <w:b/>
          <w:color w:val="003366"/>
        </w:rPr>
        <w:t>800,000 livraisons</w:t>
      </w:r>
      <w:r>
        <w:t xml:space="preserve"> - Objectif réaliste</w:t>
      </w:r>
    </w:p>
    <w:p>
      <w:pPr>
        <w:pStyle w:val="ListBullet"/>
      </w:pPr>
      <w:r>
        <w:rPr>
          <w:b/>
          <w:color w:val="003366"/>
        </w:rPr>
        <w:t>600,000 ventes produits</w:t>
      </w:r>
      <w:r>
        <w:t xml:space="preserve"> - Objectif réaliste</w:t>
      </w:r>
    </w:p>
    <w:p>
      <w:pPr>
        <w:pStyle w:val="ListBullet"/>
      </w:pPr>
      <w:r>
        <w:rPr>
          <w:b/>
          <w:color w:val="003366"/>
        </w:rPr>
        <w:t>GMV</w:t>
      </w:r>
      <w:r>
        <w:t xml:space="preserve"> : 12 milliards FCFA</w:t>
      </w:r>
    </w:p>
    <w:p>
      <w:pPr>
        <w:pStyle w:val="ListBullet"/>
      </w:pPr>
      <w:r>
        <w:rPr>
          <w:b/>
          <w:color w:val="003366"/>
        </w:rPr>
        <w:t>Trésorerie fin année</w:t>
      </w:r>
      <w:r>
        <w:t xml:space="preserve"> : 1,8 milliard FCFA (après Série A)</w:t>
      </w:r>
    </w:p>
    <w:p/>
    <w:p>
      <w:pPr>
        <w:pStyle w:val="Heading4"/>
      </w:pPr>
      <w:r>
        <w:t>2027 - Année 2 : Expansion 3 Pays</w:t>
      </w:r>
    </w:p>
    <w:p>
      <w:pPr>
        <w:pStyle w:val="ListBullet"/>
      </w:pPr>
      <w:r>
        <w:rPr>
          <w:b/>
          <w:color w:val="003366"/>
        </w:rPr>
        <w:t>Revenus</w:t>
      </w:r>
      <w:r>
        <w:t xml:space="preserve"> : 6,5 milliards FCFA</w:t>
      </w:r>
    </w:p>
    <w:p>
      <w:pPr>
        <w:pStyle w:val="ListBullet"/>
      </w:pPr>
      <w:r>
        <w:rPr>
          <w:b/>
          <w:color w:val="003366"/>
        </w:rPr>
        <w:t>Charges</w:t>
      </w:r>
      <w:r>
        <w:t xml:space="preserve"> : 5,85 milliards FCFA</w:t>
      </w:r>
    </w:p>
    <w:p>
      <w:pPr>
        <w:pStyle w:val="ListBullet"/>
      </w:pPr>
      <w:r>
        <w:rPr>
          <w:b/>
          <w:color w:val="003366"/>
        </w:rPr>
        <w:t>EBITDA</w:t>
      </w:r>
      <w:r>
        <w:t xml:space="preserve"> : +650 millions FCFA (10% marge)</w:t>
      </w:r>
    </w:p>
    <w:p>
      <w:pPr>
        <w:pStyle w:val="ListBullet"/>
      </w:pPr>
      <w:r>
        <w:rPr>
          <w:b/>
          <w:color w:val="003366"/>
        </w:rPr>
        <w:t>120,000 produits/services actifs</w:t>
      </w:r>
      <w:r>
        <w:t xml:space="preserve"> - Objectif réaliste</w:t>
      </w:r>
    </w:p>
    <w:p>
      <w:pPr>
        <w:pStyle w:val="ListBullet"/>
      </w:pPr>
      <w:r>
        <w:rPr>
          <w:b/>
          <w:color w:val="003366"/>
        </w:rPr>
        <w:t>800,000 utilisateurs actifs</w:t>
      </w:r>
      <w:r>
        <w:t xml:space="preserve"> - Objectif réaliste</w:t>
      </w:r>
    </w:p>
    <w:p>
      <w:pPr>
        <w:pStyle w:val="ListBullet"/>
      </w:pPr>
      <w:r>
        <w:rPr>
          <w:b/>
          <w:color w:val="003366"/>
        </w:rPr>
        <w:t>3,5 millions de livraisons</w:t>
      </w:r>
      <w:r>
        <w:t xml:space="preserve"> - Objectif réaliste</w:t>
      </w:r>
    </w:p>
    <w:p>
      <w:pPr>
        <w:pStyle w:val="ListBullet"/>
      </w:pPr>
      <w:r>
        <w:rPr>
          <w:b/>
          <w:color w:val="003366"/>
        </w:rPr>
        <w:t>2,5 millions de ventes produits</w:t>
      </w:r>
      <w:r>
        <w:t xml:space="preserve"> - Objectif réaliste</w:t>
      </w:r>
    </w:p>
    <w:p>
      <w:pPr>
        <w:pStyle w:val="ListBullet"/>
      </w:pPr>
      <w:r>
        <w:rPr>
          <w:b/>
          <w:color w:val="003366"/>
        </w:rPr>
        <w:t>GMV</w:t>
      </w:r>
      <w:r>
        <w:t xml:space="preserve"> : 55 milliards FCFA</w:t>
      </w:r>
    </w:p>
    <w:p>
      <w:pPr>
        <w:pStyle w:val="ListBullet"/>
      </w:pPr>
      <w:r>
        <w:rPr>
          <w:b/>
          <w:color w:val="003366"/>
        </w:rPr>
        <w:t>Trésorerie fin année</w:t>
      </w:r>
      <w:r>
        <w:t xml:space="preserve"> : 8,95 milliards FCFA (après Série B)</w:t>
      </w:r>
    </w:p>
    <w:p/>
    <w:p>
      <w:pPr>
        <w:pStyle w:val="Heading4"/>
      </w:pPr>
      <w:r>
        <w:t>2028 - Année 3 : Expansion Francophone</w:t>
      </w:r>
    </w:p>
    <w:p>
      <w:pPr>
        <w:pStyle w:val="ListBullet"/>
      </w:pPr>
      <w:r>
        <w:rPr>
          <w:b/>
          <w:color w:val="003366"/>
        </w:rPr>
        <w:t>Revenus</w:t>
      </w:r>
      <w:r>
        <w:t xml:space="preserve"> : 18 milliards FCFA</w:t>
      </w:r>
    </w:p>
    <w:p>
      <w:pPr>
        <w:pStyle w:val="ListBullet"/>
      </w:pPr>
      <w:r>
        <w:rPr>
          <w:b/>
          <w:color w:val="003366"/>
        </w:rPr>
        <w:t>Charges</w:t>
      </w:r>
      <w:r>
        <w:t xml:space="preserve"> : 14,4 milliards FCFA</w:t>
      </w:r>
    </w:p>
    <w:p>
      <w:pPr>
        <w:pStyle w:val="ListBullet"/>
      </w:pPr>
      <w:r>
        <w:rPr>
          <w:b/>
          <w:color w:val="003366"/>
        </w:rPr>
        <w:t>EBITDA</w:t>
      </w:r>
      <w:r>
        <w:t xml:space="preserve"> : +3,6 milliards FCFA (20% marge)</w:t>
      </w:r>
    </w:p>
    <w:p>
      <w:pPr>
        <w:pStyle w:val="ListBullet"/>
      </w:pPr>
      <w:r>
        <w:rPr>
          <w:b/>
          <w:color w:val="003366"/>
        </w:rPr>
        <w:t>400,000 produits/services actifs</w:t>
      </w:r>
      <w:r>
        <w:t xml:space="preserve"> - Objectif réaliste</w:t>
      </w:r>
    </w:p>
    <w:p>
      <w:pPr>
        <w:pStyle w:val="ListBullet"/>
      </w:pPr>
      <w:r>
        <w:rPr>
          <w:b/>
          <w:color w:val="003366"/>
        </w:rPr>
        <w:t>2,500,000 utilisateurs actifs</w:t>
      </w:r>
      <w:r>
        <w:t xml:space="preserve"> - Objectif réaliste</w:t>
      </w:r>
    </w:p>
    <w:p>
      <w:pPr>
        <w:pStyle w:val="ListBullet"/>
      </w:pPr>
      <w:r>
        <w:rPr>
          <w:b/>
          <w:color w:val="003366"/>
        </w:rPr>
        <w:t>10 millions de livraisons</w:t>
      </w:r>
      <w:r>
        <w:t xml:space="preserve"> - Objectif réaliste</w:t>
      </w:r>
    </w:p>
    <w:p>
      <w:pPr>
        <w:pStyle w:val="ListBullet"/>
      </w:pPr>
      <w:r>
        <w:rPr>
          <w:b/>
          <w:color w:val="003366"/>
        </w:rPr>
        <w:t>8 millions de ventes produits</w:t>
      </w:r>
      <w:r>
        <w:t xml:space="preserve"> - Objectif réaliste</w:t>
      </w:r>
    </w:p>
    <w:p>
      <w:pPr>
        <w:pStyle w:val="ListBullet"/>
      </w:pPr>
      <w:r>
        <w:rPr>
          <w:b/>
          <w:color w:val="003366"/>
        </w:rPr>
        <w:t>GMV</w:t>
      </w:r>
      <w:r>
        <w:t xml:space="preserve"> : 150 milliards FCFA</w:t>
      </w:r>
    </w:p>
    <w:p>
      <w:pPr>
        <w:pStyle w:val="ListBullet"/>
      </w:pPr>
      <w:r>
        <w:rPr>
          <w:b/>
          <w:color w:val="003366"/>
        </w:rPr>
        <w:t>Trésorerie fin année</w:t>
      </w:r>
      <w:r>
        <w:t xml:space="preserve"> : 30,55 milliards FCFA (après Série C)</w:t>
      </w:r>
    </w:p>
    <w:p/>
    <w:p>
      <w:pPr>
        <w:pStyle w:val="ListBullet"/>
      </w:pPr>
      <w:r>
        <w:rPr>
          <w:b/>
          <w:color w:val="003366"/>
        </w:rPr>
        <w:t>2029</w:t>
      </w:r>
      <w:r>
        <w:t xml:space="preserve"> : 60 milliards FCFA revenus, +15 milliards FCFA EBITDA (25% marge)</w:t>
      </w:r>
    </w:p>
    <w:p>
      <w:pPr>
        <w:pStyle w:val="ListBullet"/>
      </w:pPr>
      <w:r>
        <w:rPr>
          <w:b/>
          <w:color w:val="003366"/>
        </w:rPr>
        <w:t>3,5 millions de produits/services actifs</w:t>
      </w:r>
    </w:p>
    <w:p>
      <w:pPr>
        <w:pStyle w:val="ListBullet"/>
      </w:pPr>
      <w:r>
        <w:rPr>
          <w:b/>
          <w:color w:val="003366"/>
        </w:rPr>
        <w:t>40 millions de livraisons</w:t>
      </w:r>
    </w:p>
    <w:p>
      <w:pPr>
        <w:pStyle w:val="ListBullet"/>
      </w:pPr>
      <w:r>
        <w:rPr>
          <w:b/>
          <w:color w:val="003366"/>
        </w:rPr>
        <w:t>30 millions de ventes produits</w:t>
      </w:r>
    </w:p>
    <w:p>
      <w:pPr>
        <w:pStyle w:val="ListBullet"/>
      </w:pPr>
      <w:r>
        <w:rPr>
          <w:b/>
          <w:color w:val="003366"/>
        </w:rPr>
        <w:t>GMV</w:t>
      </w:r>
      <w:r>
        <w:t xml:space="preserve"> : 520 milliards FCFA</w:t>
      </w:r>
    </w:p>
    <w:p/>
    <w:p>
      <w:pPr>
        <w:pStyle w:val="ListBullet"/>
      </w:pPr>
      <w:r>
        <w:rPr>
          <w:b/>
          <w:color w:val="003366"/>
        </w:rPr>
        <w:t>2030</w:t>
      </w:r>
      <w:r>
        <w:t xml:space="preserve"> : 132+ milliards FCFA revenus, +39,6 milliards FCFA EBITDA (30% marge)</w:t>
      </w:r>
    </w:p>
    <w:p>
      <w:pPr>
        <w:pStyle w:val="ListBullet"/>
      </w:pPr>
      <w:r>
        <w:rPr>
          <w:b/>
          <w:color w:val="003366"/>
        </w:rPr>
        <w:t>7,5 millions de produits/services actifs</w:t>
      </w:r>
    </w:p>
    <w:p>
      <w:pPr>
        <w:pStyle w:val="ListBullet"/>
      </w:pPr>
      <w:r>
        <w:rPr>
          <w:b/>
          <w:color w:val="003366"/>
        </w:rPr>
        <w:t>85 millions de livraisons</w:t>
      </w:r>
    </w:p>
    <w:p>
      <w:pPr>
        <w:pStyle w:val="ListBullet"/>
      </w:pPr>
      <w:r>
        <w:rPr>
          <w:b/>
          <w:color w:val="003366"/>
        </w:rPr>
        <w:t>65 millions de ventes produits</w:t>
      </w:r>
    </w:p>
    <w:p>
      <w:pPr>
        <w:pStyle w:val="ListBullet"/>
      </w:pPr>
      <w:r>
        <w:rPr>
          <w:b/>
          <w:color w:val="003366"/>
        </w:rPr>
        <w:t>GMV</w:t>
      </w:r>
      <w:r>
        <w:t xml:space="preserve"> : 1,120 milliards FCFA</w:t>
      </w:r>
    </w:p>
    <w:p/>
    <w:p>
      <w:pPr>
        <w:pStyle w:val="Heading3"/>
      </w:pPr>
      <w:r>
        <w:t>Besoins de Financement</w:t>
      </w:r>
    </w:p>
    <w:p>
      <w:pPr>
        <w:pStyle w:val="ListBullet"/>
      </w:pPr>
      <w:r>
        <w:rPr>
          <w:b/>
          <w:color w:val="003366"/>
        </w:rPr>
        <w:t>Série A (2026)</w:t>
      </w:r>
      <w:r>
        <w:t xml:space="preserve"> : 2,1 - 3 milliards FCFA</w:t>
      </w:r>
    </w:p>
    <w:p>
      <w:pPr>
        <w:pStyle w:val="ListBullet"/>
      </w:pPr>
      <w:r>
        <w:rPr>
          <w:b/>
          <w:color w:val="003366"/>
        </w:rPr>
        <w:t>Série B (2027)</w:t>
      </w:r>
      <w:r>
        <w:t xml:space="preserve"> : 7,2 - 9 milliards FCFA</w:t>
      </w:r>
    </w:p>
    <w:p>
      <w:pPr>
        <w:pStyle w:val="ListBullet"/>
      </w:pPr>
      <w:r>
        <w:rPr>
          <w:b/>
          <w:color w:val="003366"/>
        </w:rPr>
        <w:t>Série C (2028)</w:t>
      </w:r>
      <w:r>
        <w:t xml:space="preserve"> : 18 - 24 milliards FCFA</w:t>
      </w:r>
    </w:p>
    <w:p>
      <w:pPr>
        <w:pStyle w:val="ListBullet"/>
      </w:pPr>
      <w:r>
        <w:rPr>
          <w:b/>
          <w:color w:val="003366"/>
        </w:rPr>
        <w:t>Série D (2029)</w:t>
      </w:r>
      <w:r>
        <w:t xml:space="preserve"> : 36 - 48 milliards FCFA</w:t>
      </w:r>
    </w:p>
    <w:p/>
    <w:p>
      <w:pPr>
        <w:pStyle w:val="Heading3"/>
      </w:pPr>
      <w:r>
        <w:t>Retour sur Investissement</w:t>
      </w:r>
    </w:p>
    <w:p>
      <w:pPr>
        <w:pStyle w:val="ListBullet"/>
      </w:pPr>
      <w:r>
        <w:rPr>
          <w:b/>
          <w:color w:val="003366"/>
        </w:rPr>
        <w:t>ROI Série A</w:t>
      </w:r>
      <w:r>
        <w:t xml:space="preserve"> : 10-15x sur 5 ans</w:t>
      </w:r>
    </w:p>
    <w:p>
      <w:pPr>
        <w:pStyle w:val="ListBullet"/>
      </w:pPr>
      <w:r>
        <w:rPr>
          <w:b/>
          <w:color w:val="003366"/>
        </w:rPr>
        <w:t>Valuation 2030</w:t>
      </w:r>
      <w:r>
        <w:t xml:space="preserve"> : 300 - 480 milliards FCFA (projection conservatrice)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PROJECTIONS DE REVENUS DÉTAILLÉES (2026-2030)</w:t>
      </w:r>
    </w:p>
    <w:p/>
    <w:p>
      <w:pPr>
        <w:pStyle w:val="Heading3"/>
      </w:pPr>
      <w:r>
        <w:t>2026 - Lancement Cameroun</w:t>
      </w:r>
    </w:p>
    <w:p/>
    <w:p>
      <w:pPr>
        <w:pStyle w:val="Heading4"/>
      </w:pPr>
      <w:r>
        <w:t>Volume et Revenus par Source</w:t>
      </w:r>
    </w:p>
    <w:p/>
    <w:p/>
    <w:p>
      <w:pPr>
        <w:pStyle w:val="Heading4"/>
      </w:pPr>
      <w:r>
        <w:t>Détail Publicité &amp; Vidéos 2026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7E6E6"/>
          </w:tcPr>
          <w:p>
            <w:r>
              <w:rPr>
                <w:b/>
                <w:sz w:val="22"/>
              </w:rPr>
              <w:t>Source</w:t>
            </w:r>
          </w:p>
        </w:tc>
        <w:tc>
          <w:tcPr>
            <w:tcW w:type="dxa" w:w="1440"/>
            <w:shd w:fill="E7E6E6"/>
          </w:tcPr>
          <w:p>
            <w:r>
              <w:rPr>
                <w:b/>
                <w:sz w:val="22"/>
              </w:rPr>
              <w:t>Volume</w:t>
            </w:r>
          </w:p>
        </w:tc>
        <w:tc>
          <w:tcPr>
            <w:tcW w:type="dxa" w:w="1440"/>
            <w:shd w:fill="E7E6E6"/>
          </w:tcPr>
          <w:p>
            <w:r>
              <w:rPr>
                <w:b/>
                <w:sz w:val="22"/>
              </w:rPr>
              <w:t>Unité</w:t>
            </w:r>
          </w:p>
        </w:tc>
        <w:tc>
          <w:tcPr>
            <w:tcW w:type="dxa" w:w="1440"/>
            <w:shd w:fill="E7E6E6"/>
          </w:tcPr>
          <w:p>
            <w:r>
              <w:rPr>
                <w:b/>
                <w:sz w:val="22"/>
              </w:rPr>
              <w:t>Revenu/Unité</w:t>
            </w:r>
          </w:p>
        </w:tc>
        <w:tc>
          <w:tcPr>
            <w:tcW w:type="dxa" w:w="1440"/>
            <w:shd w:fill="E7E6E6"/>
          </w:tcPr>
          <w:p>
            <w:r>
              <w:rPr>
                <w:b/>
                <w:sz w:val="22"/>
              </w:rPr>
              <w:t>Revenus (FCFA)</w:t>
            </w:r>
          </w:p>
        </w:tc>
        <w:tc>
          <w:tcPr>
            <w:tcW w:type="dxa" w:w="1440"/>
            <w:shd w:fill="E7E6E6"/>
          </w:tcPr>
          <w:p>
            <w:r>
              <w:rPr>
                <w:b/>
                <w:sz w:val="22"/>
              </w:rPr>
              <w:t>% Total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color w:val="003366"/>
                <w:sz w:val="20"/>
              </w:rPr>
              <w:t>Achat Tokens Produits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30,000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Produits actifs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~24,000/an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720 millions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60%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color w:val="003366"/>
                <w:sz w:val="20"/>
              </w:rPr>
              <w:t>Commissions Livraisons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800,000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Livraisons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150 FCFA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120 millions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10%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color w:val="003366"/>
                <w:sz w:val="20"/>
              </w:rPr>
              <w:t>Commissions Ventes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600,000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Ventes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400 FCFA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240 millions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20%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color w:val="003366"/>
                <w:sz w:val="20"/>
              </w:rPr>
              <w:t>Publicité &amp; Vidéos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100 millions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8%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color w:val="003366"/>
                <w:sz w:val="20"/>
              </w:rPr>
              <w:t>Services Spécialisés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100,000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Transactions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200 FCFA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20 millions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2%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color w:val="003366"/>
                <w:sz w:val="20"/>
              </w:rPr>
              <w:t>TOTAL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b/>
                <w:color w:val="003366"/>
                <w:sz w:val="20"/>
              </w:rPr>
              <w:t>1,2 milliard</w:t>
            </w:r>
          </w:p>
        </w:tc>
        <w:tc>
          <w:tcPr>
            <w:tcW w:type="dxa" w:w="1440"/>
          </w:tcPr>
          <w:p>
            <w:r>
              <w:rPr>
                <w:b/>
                <w:color w:val="003366"/>
                <w:sz w:val="20"/>
              </w:rPr>
              <w:t>100%</w:t>
            </w:r>
          </w:p>
        </w:tc>
      </w:tr>
    </w:tbl>
    <w:p>
      <w:pPr>
        <w:pStyle w:val="ListBullet"/>
      </w:pPr>
      <w:r>
        <w:rPr>
          <w:b/>
          <w:color w:val="003366"/>
        </w:rPr>
        <w:t>Création vidéos</w:t>
      </w:r>
      <w:r>
        <w:t xml:space="preserve"> : 3,000 vidéos × 25,000 FCFA = 75 millions FCFA</w:t>
      </w:r>
    </w:p>
    <w:p>
      <w:pPr>
        <w:pStyle w:val="ListBullet"/>
      </w:pPr>
      <w:r>
        <w:rPr>
          <w:b/>
          <w:color w:val="003366"/>
        </w:rPr>
        <w:t>Placement publicitaire</w:t>
      </w:r>
      <w:r>
        <w:t xml:space="preserve"> : 50 campagnes × 500,000 FCFA = 25 millions FCFA</w:t>
      </w:r>
    </w:p>
    <w:p>
      <w:pPr>
        <w:pStyle w:val="ListBullet"/>
      </w:pPr>
      <w:r>
        <w:rPr>
          <w:b/>
          <w:color w:val="003366"/>
        </w:rPr>
        <w:t>Total</w:t>
      </w:r>
      <w:r>
        <w:t xml:space="preserve"> : 100 millions FCFA</w:t>
      </w:r>
    </w:p>
    <w:p/>
    <w:p>
      <w:pPr>
        <w:pStyle w:val="Heading4"/>
      </w:pPr>
      <w:r>
        <w:t>Hypothèses 2026 - Objectifs Réalistes</w:t>
      </w:r>
    </w:p>
    <w:p>
      <w:pPr>
        <w:pStyle w:val="ListBullet"/>
      </w:pPr>
      <w:r>
        <w:rPr>
          <w:b/>
          <w:color w:val="003366"/>
        </w:rPr>
        <w:t>Produits/services actifs</w:t>
      </w:r>
      <w:r>
        <w:t xml:space="preserve"> : 30,000 (utilisation tokens, équivalent ~2,000 FCFA/mois) - Objectif atteignable</w:t>
      </w:r>
    </w:p>
    <w:p>
      <w:pPr>
        <w:pStyle w:val="ListBullet"/>
      </w:pPr>
      <w:r>
        <w:rPr>
          <w:b/>
          <w:color w:val="003366"/>
        </w:rPr>
        <w:t>Utilisateurs actifs</w:t>
      </w:r>
      <w:r>
        <w:t xml:space="preserve"> : 200,000 - Objectif réaliste</w:t>
      </w:r>
    </w:p>
    <w:p>
      <w:pPr>
        <w:pStyle w:val="ListBullet"/>
      </w:pPr>
      <w:r>
        <w:rPr>
          <w:b/>
          <w:color w:val="003366"/>
        </w:rPr>
        <w:t>Livraisons</w:t>
      </w:r>
      <w:r>
        <w:t xml:space="preserve"> : 800,000 (commission moyenne 150 FCFA) - Objectif réaliste</w:t>
      </w:r>
    </w:p>
    <w:p>
      <w:pPr>
        <w:pStyle w:val="ListBullet"/>
      </w:pPr>
      <w:r>
        <w:rPr>
          <w:b/>
          <w:color w:val="003366"/>
        </w:rPr>
        <w:t>Ventes produits</w:t>
      </w:r>
      <w:r>
        <w:t xml:space="preserve"> : 600,000 (commission 5% = 400 FCFA en moyenne) - Objectif réaliste</w:t>
      </w:r>
    </w:p>
    <w:p>
      <w:pPr>
        <w:pStyle w:val="ListBullet"/>
      </w:pPr>
      <w:r>
        <w:rPr>
          <w:b/>
          <w:color w:val="003366"/>
        </w:rPr>
        <w:t>GMV total</w:t>
      </w:r>
      <w:r>
        <w:t xml:space="preserve"> : 12 milliards FCFA</w:t>
      </w:r>
    </w:p>
    <w:p>
      <w:pPr>
        <w:pStyle w:val="ListBullet"/>
      </w:pPr>
      <w:r>
        <w:rPr>
          <w:b/>
          <w:color w:val="003366"/>
        </w:rPr>
        <w:t>Partenaires actifs</w:t>
      </w:r>
      <w:r>
        <w:t xml:space="preserve"> : 3,000 commerçants + 1,500 coursiers = 4,500 partenaires</w:t>
      </w:r>
    </w:p>
    <w:p/>
    <w:p>
      <w:pPr>
        <w:pStyle w:val="Heading4"/>
      </w:pPr>
      <w:r>
        <w:t>Détail par Trimestre 2026</w:t>
      </w:r>
    </w:p>
    <w:p/>
    <w:p>
      <w:pPr/>
      <w:r>
        <w:rPr>
          <w:b/>
          <w:color w:val="003366"/>
        </w:rPr>
        <w:t>Q1 2026</w:t>
      </w:r>
      <w:r>
        <w:t xml:space="preserve"> (Lancement - Avril)</w:t>
      </w:r>
    </w:p>
    <w:p>
      <w:pPr>
        <w:pStyle w:val="ListBullet"/>
      </w:pPr>
      <w:r>
        <w:t>Produits actifs : 5,000 (après lancement 01 avril)</w:t>
      </w:r>
    </w:p>
    <w:p>
      <w:pPr>
        <w:pStyle w:val="ListBullet"/>
      </w:pPr>
      <w:r>
        <w:t>Utilisateurs actifs : 25,000</w:t>
      </w:r>
    </w:p>
    <w:p>
      <w:pPr>
        <w:pStyle w:val="ListBullet"/>
      </w:pPr>
      <w:r>
        <w:t>Livraisons : 50,000</w:t>
      </w:r>
    </w:p>
    <w:p>
      <w:pPr>
        <w:pStyle w:val="ListBullet"/>
      </w:pPr>
      <w:r>
        <w:t>Ventes : 30,000</w:t>
      </w:r>
    </w:p>
    <w:p>
      <w:pPr>
        <w:pStyle w:val="ListBullet"/>
      </w:pPr>
      <w:r>
        <w:t>GMV : 800 millions FCFA</w:t>
      </w:r>
    </w:p>
    <w:p>
      <w:pPr>
        <w:pStyle w:val="ListBullet"/>
      </w:pPr>
      <w:r>
        <w:t>Revenus : 100 millions FCFA</w:t>
      </w:r>
    </w:p>
    <w:p/>
    <w:p>
      <w:pPr/>
      <w:r>
        <w:rPr>
          <w:b/>
          <w:color w:val="003366"/>
        </w:rPr>
        <w:t>Q2 2026</w:t>
      </w:r>
      <w:r>
        <w:t xml:space="preserve"> (Croissance)</w:t>
      </w:r>
    </w:p>
    <w:p>
      <w:pPr>
        <w:pStyle w:val="ListBullet"/>
      </w:pPr>
      <w:r>
        <w:t>Produits actifs : 10,000</w:t>
      </w:r>
    </w:p>
    <w:p>
      <w:pPr>
        <w:pStyle w:val="ListBullet"/>
      </w:pPr>
      <w:r>
        <w:t>Utilisateurs actifs : 50,000</w:t>
      </w:r>
    </w:p>
    <w:p>
      <w:pPr>
        <w:pStyle w:val="ListBullet"/>
      </w:pPr>
      <w:r>
        <w:t>Livraisons : 150,000</w:t>
      </w:r>
    </w:p>
    <w:p>
      <w:pPr>
        <w:pStyle w:val="ListBullet"/>
      </w:pPr>
      <w:r>
        <w:t>Ventes : 100,000</w:t>
      </w:r>
    </w:p>
    <w:p>
      <w:pPr>
        <w:pStyle w:val="ListBullet"/>
      </w:pPr>
      <w:r>
        <w:t>GMV : 2,5 milliards FCFA</w:t>
      </w:r>
    </w:p>
    <w:p>
      <w:pPr>
        <w:pStyle w:val="ListBullet"/>
      </w:pPr>
      <w:r>
        <w:t>Revenus : 300 millions FCFA</w:t>
      </w:r>
    </w:p>
    <w:p/>
    <w:p>
      <w:pPr/>
      <w:r>
        <w:rPr>
          <w:b/>
          <w:color w:val="003366"/>
        </w:rPr>
        <w:t>Q3 2026</w:t>
      </w:r>
      <w:r>
        <w:t xml:space="preserve"> (Expansion)</w:t>
      </w:r>
    </w:p>
    <w:p>
      <w:pPr>
        <w:pStyle w:val="ListBullet"/>
      </w:pPr>
      <w:r>
        <w:t>Produits actifs : 20,000</w:t>
      </w:r>
    </w:p>
    <w:p>
      <w:pPr>
        <w:pStyle w:val="ListBullet"/>
      </w:pPr>
      <w:r>
        <w:t>Utilisateurs actifs : 100,000</w:t>
      </w:r>
    </w:p>
    <w:p>
      <w:pPr>
        <w:pStyle w:val="ListBullet"/>
      </w:pPr>
      <w:r>
        <w:t>Livraisons : 250,000</w:t>
      </w:r>
    </w:p>
    <w:p>
      <w:pPr>
        <w:pStyle w:val="ListBullet"/>
      </w:pPr>
      <w:r>
        <w:t>Ventes : 180,000</w:t>
      </w:r>
    </w:p>
    <w:p>
      <w:pPr>
        <w:pStyle w:val="ListBullet"/>
      </w:pPr>
      <w:r>
        <w:t>GMV : 4,5 milliards FCFA</w:t>
      </w:r>
    </w:p>
    <w:p>
      <w:pPr>
        <w:pStyle w:val="ListBullet"/>
      </w:pPr>
      <w:r>
        <w:t>Revenus : 400 millions FCFA</w:t>
      </w:r>
    </w:p>
    <w:p/>
    <w:p>
      <w:pPr/>
      <w:r>
        <w:rPr>
          <w:b/>
          <w:color w:val="003366"/>
        </w:rPr>
        <w:t>Q4 2026</w:t>
      </w:r>
      <w:r>
        <w:t xml:space="preserve"> (Consolidation)</w:t>
      </w:r>
    </w:p>
    <w:p>
      <w:pPr>
        <w:pStyle w:val="ListBullet"/>
      </w:pPr>
      <w:r>
        <w:t>Produits actifs : 30,000</w:t>
      </w:r>
    </w:p>
    <w:p>
      <w:pPr>
        <w:pStyle w:val="ListBullet"/>
      </w:pPr>
      <w:r>
        <w:t>Utilisateurs actifs : 200,000</w:t>
      </w:r>
    </w:p>
    <w:p>
      <w:pPr>
        <w:pStyle w:val="ListBullet"/>
      </w:pPr>
      <w:r>
        <w:t>Livraisons : 350,000</w:t>
      </w:r>
    </w:p>
    <w:p>
      <w:pPr>
        <w:pStyle w:val="ListBullet"/>
      </w:pPr>
      <w:r>
        <w:t>Ventes : 290,000</w:t>
      </w:r>
    </w:p>
    <w:p>
      <w:pPr>
        <w:pStyle w:val="ListBullet"/>
      </w:pPr>
      <w:r>
        <w:t>GMV : 6,5 milliards FCFA</w:t>
      </w:r>
    </w:p>
    <w:p>
      <w:pPr>
        <w:pStyle w:val="ListBullet"/>
      </w:pPr>
      <w:r>
        <w:t>Revenus : 400 millions FCFA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3"/>
      </w:pPr>
      <w:r>
        <w:t>2027 - Expansion 3 Pays</w:t>
      </w:r>
    </w:p>
    <w:p/>
    <w:p>
      <w:pPr>
        <w:pStyle w:val="Heading4"/>
      </w:pPr>
      <w:r>
        <w:t>Volume et Revenus par Source</w:t>
      </w:r>
    </w:p>
    <w:p/>
    <w:p/>
    <w:p>
      <w:pPr>
        <w:pStyle w:val="Heading4"/>
      </w:pPr>
      <w:r>
        <w:t>Détail Publicité &amp; Vidéos 2027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7E6E6"/>
          </w:tcPr>
          <w:p>
            <w:r>
              <w:rPr>
                <w:b/>
                <w:sz w:val="22"/>
              </w:rPr>
              <w:t>Source</w:t>
            </w:r>
          </w:p>
        </w:tc>
        <w:tc>
          <w:tcPr>
            <w:tcW w:type="dxa" w:w="1440"/>
            <w:shd w:fill="E7E6E6"/>
          </w:tcPr>
          <w:p>
            <w:r>
              <w:rPr>
                <w:b/>
                <w:sz w:val="22"/>
              </w:rPr>
              <w:t>Volume</w:t>
            </w:r>
          </w:p>
        </w:tc>
        <w:tc>
          <w:tcPr>
            <w:tcW w:type="dxa" w:w="1440"/>
            <w:shd w:fill="E7E6E6"/>
          </w:tcPr>
          <w:p>
            <w:r>
              <w:rPr>
                <w:b/>
                <w:sz w:val="22"/>
              </w:rPr>
              <w:t>Unité</w:t>
            </w:r>
          </w:p>
        </w:tc>
        <w:tc>
          <w:tcPr>
            <w:tcW w:type="dxa" w:w="1440"/>
            <w:shd w:fill="E7E6E6"/>
          </w:tcPr>
          <w:p>
            <w:r>
              <w:rPr>
                <w:b/>
                <w:sz w:val="22"/>
              </w:rPr>
              <w:t>Revenu/Unité</w:t>
            </w:r>
          </w:p>
        </w:tc>
        <w:tc>
          <w:tcPr>
            <w:tcW w:type="dxa" w:w="1440"/>
            <w:shd w:fill="E7E6E6"/>
          </w:tcPr>
          <w:p>
            <w:r>
              <w:rPr>
                <w:b/>
                <w:sz w:val="22"/>
              </w:rPr>
              <w:t>Revenus (FCFA)</w:t>
            </w:r>
          </w:p>
        </w:tc>
        <w:tc>
          <w:tcPr>
            <w:tcW w:type="dxa" w:w="1440"/>
            <w:shd w:fill="E7E6E6"/>
          </w:tcPr>
          <w:p>
            <w:r>
              <w:rPr>
                <w:b/>
                <w:sz w:val="22"/>
              </w:rPr>
              <w:t>% Total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color w:val="003366"/>
                <w:sz w:val="20"/>
              </w:rPr>
              <w:t>Achat Tokens Produits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600,000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Produits actifs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~24,000/an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14,4 milliards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17%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color w:val="003366"/>
                <w:sz w:val="20"/>
              </w:rPr>
              <w:t>Commissions Livraisons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5,500,000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Livraisons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150 FCFA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825 millions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10%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color w:val="003366"/>
                <w:sz w:val="20"/>
              </w:rPr>
              <w:t>Commissions Ventes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4,200,000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Ventes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400 FCFA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1,68 milliard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20%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color w:val="003366"/>
                <w:sz w:val="20"/>
              </w:rPr>
              <w:t>Publicité &amp; Vidéos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3,5 milliards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42%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color w:val="003366"/>
                <w:sz w:val="20"/>
              </w:rPr>
              <w:t>Services Spécialisés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1,000,000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Transactions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200 FCFA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200 millions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2%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color w:val="003366"/>
                <w:sz w:val="20"/>
              </w:rPr>
              <w:t>E-Commerce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2,500,000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Transactions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400 FCFA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 milliard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12%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color w:val="003366"/>
                <w:sz w:val="20"/>
              </w:rPr>
              <w:t>TOTAL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b/>
                <w:color w:val="003366"/>
                <w:sz w:val="20"/>
              </w:rPr>
              <w:t>8,4 milliards</w:t>
            </w:r>
          </w:p>
        </w:tc>
        <w:tc>
          <w:tcPr>
            <w:tcW w:type="dxa" w:w="1440"/>
          </w:tcPr>
          <w:p>
            <w:r>
              <w:rPr>
                <w:b/>
                <w:color w:val="003366"/>
                <w:sz w:val="20"/>
              </w:rPr>
              <w:t>100%</w:t>
            </w:r>
          </w:p>
        </w:tc>
      </w:tr>
    </w:tbl>
    <w:p>
      <w:pPr>
        <w:pStyle w:val="ListBullet"/>
      </w:pPr>
      <w:r>
        <w:rPr>
          <w:b/>
          <w:color w:val="003366"/>
        </w:rPr>
        <w:t>Création vidéos</w:t>
      </w:r>
      <w:r>
        <w:t xml:space="preserve"> : 100,000 vidéos × 25,000 FCFA = 2,5 milliards FCFA</w:t>
      </w:r>
    </w:p>
    <w:p>
      <w:pPr>
        <w:pStyle w:val="ListBullet"/>
      </w:pPr>
      <w:r>
        <w:rPr>
          <w:b/>
          <w:color w:val="003366"/>
        </w:rPr>
        <w:t>Placement publicitaire</w:t>
      </w:r>
      <w:r>
        <w:t xml:space="preserve"> : 1,000 campagnes × 1 million FCFA = 1 milliard FCFA</w:t>
      </w:r>
    </w:p>
    <w:p>
      <w:pPr>
        <w:pStyle w:val="ListBullet"/>
      </w:pPr>
      <w:r>
        <w:rPr>
          <w:b/>
          <w:color w:val="003366"/>
        </w:rPr>
        <w:t>Total</w:t>
      </w:r>
      <w:r>
        <w:t xml:space="preserve"> : 3,5 milliards FCFA</w:t>
      </w:r>
    </w:p>
    <w:p/>
    <w:p>
      <w:pPr>
        <w:pStyle w:val="Heading4"/>
      </w:pPr>
      <w:r>
        <w:t>Hypothèses 2027</w:t>
      </w:r>
    </w:p>
    <w:p>
      <w:pPr>
        <w:pStyle w:val="ListBullet"/>
      </w:pPr>
      <w:r>
        <w:rPr>
          <w:b/>
          <w:color w:val="003366"/>
        </w:rPr>
        <w:t>Produits/services actifs</w:t>
      </w:r>
      <w:r>
        <w:t xml:space="preserve"> : 600,000</w:t>
      </w:r>
    </w:p>
    <w:p>
      <w:pPr>
        <w:pStyle w:val="ListBullet"/>
      </w:pPr>
      <w:r>
        <w:rPr>
          <w:b/>
          <w:color w:val="003366"/>
        </w:rPr>
        <w:t>Livraisons</w:t>
      </w:r>
      <w:r>
        <w:t xml:space="preserve"> : 5,5 millions</w:t>
      </w:r>
    </w:p>
    <w:p>
      <w:pPr>
        <w:pStyle w:val="ListBullet"/>
      </w:pPr>
      <w:r>
        <w:rPr>
          <w:b/>
          <w:color w:val="003366"/>
        </w:rPr>
        <w:t>Ventes produits</w:t>
      </w:r>
      <w:r>
        <w:t xml:space="preserve"> : 4,2 millions</w:t>
      </w:r>
    </w:p>
    <w:p>
      <w:pPr>
        <w:pStyle w:val="ListBullet"/>
      </w:pPr>
      <w:r>
        <w:rPr>
          <w:b/>
          <w:color w:val="003366"/>
        </w:rPr>
        <w:t>GMV total</w:t>
      </w:r>
      <w:r>
        <w:t xml:space="preserve"> : 72 milliards FCFA</w:t>
      </w:r>
    </w:p>
    <w:p>
      <w:pPr>
        <w:pStyle w:val="ListBullet"/>
      </w:pPr>
      <w:r>
        <w:rPr>
          <w:b/>
          <w:color w:val="003366"/>
        </w:rPr>
        <w:t>Pays</w:t>
      </w:r>
      <w:r>
        <w:t xml:space="preserve"> : Cameroun, Côte d'Ivoire, Sénégal</w:t>
      </w:r>
    </w:p>
    <w:p>
      <w:pPr>
        <w:pStyle w:val="ListBullet"/>
      </w:pPr>
      <w:r>
        <w:rPr>
          <w:b/>
          <w:color w:val="003366"/>
        </w:rPr>
        <w:t>Partenaires actifs</w:t>
      </w:r>
      <w:r>
        <w:t xml:space="preserve"> : 250,000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3"/>
      </w:pPr>
      <w:r>
        <w:t>2028 - Expansion Francophone</w:t>
      </w:r>
    </w:p>
    <w:p/>
    <w:p>
      <w:pPr>
        <w:pStyle w:val="Heading4"/>
      </w:pPr>
      <w:r>
        <w:t>Volume et Revenus par Source</w:t>
      </w:r>
    </w:p>
    <w:p/>
    <w:p/>
    <w:p>
      <w:pPr>
        <w:pStyle w:val="Heading4"/>
      </w:pPr>
      <w:r>
        <w:t>Détail Publicité &amp; Vidéos 2028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7E6E6"/>
          </w:tcPr>
          <w:p>
            <w:r>
              <w:rPr>
                <w:b/>
                <w:sz w:val="22"/>
              </w:rPr>
              <w:t>Source</w:t>
            </w:r>
          </w:p>
        </w:tc>
        <w:tc>
          <w:tcPr>
            <w:tcW w:type="dxa" w:w="1440"/>
            <w:shd w:fill="E7E6E6"/>
          </w:tcPr>
          <w:p>
            <w:r>
              <w:rPr>
                <w:b/>
                <w:sz w:val="22"/>
              </w:rPr>
              <w:t>Volume</w:t>
            </w:r>
          </w:p>
        </w:tc>
        <w:tc>
          <w:tcPr>
            <w:tcW w:type="dxa" w:w="1440"/>
            <w:shd w:fill="E7E6E6"/>
          </w:tcPr>
          <w:p>
            <w:r>
              <w:rPr>
                <w:b/>
                <w:sz w:val="22"/>
              </w:rPr>
              <w:t>Unité</w:t>
            </w:r>
          </w:p>
        </w:tc>
        <w:tc>
          <w:tcPr>
            <w:tcW w:type="dxa" w:w="1440"/>
            <w:shd w:fill="E7E6E6"/>
          </w:tcPr>
          <w:p>
            <w:r>
              <w:rPr>
                <w:b/>
                <w:sz w:val="22"/>
              </w:rPr>
              <w:t>Revenu/Unité</w:t>
            </w:r>
          </w:p>
        </w:tc>
        <w:tc>
          <w:tcPr>
            <w:tcW w:type="dxa" w:w="1440"/>
            <w:shd w:fill="E7E6E6"/>
          </w:tcPr>
          <w:p>
            <w:r>
              <w:rPr>
                <w:b/>
                <w:sz w:val="22"/>
              </w:rPr>
              <w:t>Revenus (FCFA)</w:t>
            </w:r>
          </w:p>
        </w:tc>
        <w:tc>
          <w:tcPr>
            <w:tcW w:type="dxa" w:w="1440"/>
            <w:shd w:fill="E7E6E6"/>
          </w:tcPr>
          <w:p>
            <w:r>
              <w:rPr>
                <w:b/>
                <w:sz w:val="22"/>
              </w:rPr>
              <w:t>% Total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color w:val="003366"/>
                <w:sz w:val="20"/>
              </w:rPr>
              <w:t>Achat Tokens Produits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1,500,000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Produits actifs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~24,000/an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36 milliards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15%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color w:val="003366"/>
                <w:sz w:val="20"/>
              </w:rPr>
              <w:t>Commissions Livraisons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16,000,000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Livraisons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150 FCFA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2,4 milliards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10%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color w:val="003366"/>
                <w:sz w:val="20"/>
              </w:rPr>
              <w:t>Commissions Ventes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12,500,000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Ventes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400 FCFA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 milliards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20%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color w:val="003366"/>
                <w:sz w:val="20"/>
              </w:rPr>
              <w:t>Publicité &amp; Vidéos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10,2 milliards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41%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color w:val="003366"/>
                <w:sz w:val="20"/>
              </w:rPr>
              <w:t>Services Spécialisés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3,000,000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Transactions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200 FCFA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600 millions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2%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color w:val="003366"/>
                <w:sz w:val="20"/>
              </w:rPr>
              <w:t>E-Commerce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7,500,000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Transactions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400 FCFA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 milliards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12%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color w:val="003366"/>
                <w:sz w:val="20"/>
              </w:rPr>
              <w:t>TOTAL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b/>
                <w:color w:val="003366"/>
                <w:sz w:val="20"/>
              </w:rPr>
              <w:t>24,6 milliards</w:t>
            </w:r>
          </w:p>
        </w:tc>
        <w:tc>
          <w:tcPr>
            <w:tcW w:type="dxa" w:w="1440"/>
          </w:tcPr>
          <w:p>
            <w:r>
              <w:rPr>
                <w:b/>
                <w:color w:val="003366"/>
                <w:sz w:val="20"/>
              </w:rPr>
              <w:t>100%</w:t>
            </w:r>
          </w:p>
        </w:tc>
      </w:tr>
    </w:tbl>
    <w:p>
      <w:pPr>
        <w:pStyle w:val="ListBullet"/>
      </w:pPr>
      <w:r>
        <w:rPr>
          <w:b/>
          <w:color w:val="003366"/>
        </w:rPr>
        <w:t>Création vidéos</w:t>
      </w:r>
      <w:r>
        <w:t xml:space="preserve"> : 300,000 vidéos × 25,000 FCFA = 7,5 milliards FCFA</w:t>
      </w:r>
    </w:p>
    <w:p>
      <w:pPr>
        <w:pStyle w:val="ListBullet"/>
      </w:pPr>
      <w:r>
        <w:rPr>
          <w:b/>
          <w:color w:val="003366"/>
        </w:rPr>
        <w:t>Placement publicitaire</w:t>
      </w:r>
      <w:r>
        <w:t xml:space="preserve"> : 2,700 campagnes × 1 million FCFA = 2,7 milliards FCFA</w:t>
      </w:r>
    </w:p>
    <w:p>
      <w:pPr>
        <w:pStyle w:val="ListBullet"/>
      </w:pPr>
      <w:r>
        <w:rPr>
          <w:b/>
          <w:color w:val="003366"/>
        </w:rPr>
        <w:t>Total</w:t>
      </w:r>
      <w:r>
        <w:t xml:space="preserve"> : 10,2 milliards FCFA</w:t>
      </w:r>
    </w:p>
    <w:p/>
    <w:p>
      <w:pPr>
        <w:pStyle w:val="Heading4"/>
      </w:pPr>
      <w:r>
        <w:t>Hypothèses 2028</w:t>
      </w:r>
    </w:p>
    <w:p>
      <w:pPr>
        <w:pStyle w:val="ListBullet"/>
      </w:pPr>
      <w:r>
        <w:rPr>
          <w:b/>
          <w:color w:val="003366"/>
        </w:rPr>
        <w:t>Produits/services actifs</w:t>
      </w:r>
      <w:r>
        <w:t xml:space="preserve"> : 1,5 million</w:t>
      </w:r>
    </w:p>
    <w:p>
      <w:pPr>
        <w:pStyle w:val="ListBullet"/>
      </w:pPr>
      <w:r>
        <w:rPr>
          <w:b/>
          <w:color w:val="003366"/>
        </w:rPr>
        <w:t>Livraisons</w:t>
      </w:r>
      <w:r>
        <w:t xml:space="preserve"> : 16 millions</w:t>
      </w:r>
    </w:p>
    <w:p>
      <w:pPr>
        <w:pStyle w:val="ListBullet"/>
      </w:pPr>
      <w:r>
        <w:rPr>
          <w:b/>
          <w:color w:val="003366"/>
        </w:rPr>
        <w:t>Ventes produits</w:t>
      </w:r>
      <w:r>
        <w:t xml:space="preserve"> : 12,5 millions</w:t>
      </w:r>
    </w:p>
    <w:p>
      <w:pPr>
        <w:pStyle w:val="ListBullet"/>
      </w:pPr>
      <w:r>
        <w:rPr>
          <w:b/>
          <w:color w:val="003366"/>
        </w:rPr>
        <w:t>GMV total</w:t>
      </w:r>
      <w:r>
        <w:t xml:space="preserve"> : 210 milliards FCFA</w:t>
      </w:r>
    </w:p>
    <w:p>
      <w:pPr>
        <w:pStyle w:val="ListBullet"/>
      </w:pPr>
      <w:r>
        <w:rPr>
          <w:b/>
          <w:color w:val="003366"/>
        </w:rPr>
        <w:t>Pays</w:t>
      </w:r>
      <w:r>
        <w:t xml:space="preserve"> : 10+ pays francophones</w:t>
      </w:r>
    </w:p>
    <w:p>
      <w:pPr>
        <w:pStyle w:val="ListBullet"/>
      </w:pPr>
      <w:r>
        <w:rPr>
          <w:b/>
          <w:color w:val="003366"/>
        </w:rPr>
        <w:t>Partenaires actifs</w:t>
      </w:r>
      <w:r>
        <w:t xml:space="preserve"> : 700,000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3"/>
      </w:pPr>
      <w:r>
        <w:t>2029 - Leadership Panafricain</w:t>
      </w:r>
    </w:p>
    <w:p/>
    <w:p>
      <w:pPr>
        <w:pStyle w:val="Heading4"/>
      </w:pPr>
      <w:r>
        <w:t>Volume et Revenus par Source</w:t>
      </w:r>
    </w:p>
    <w:p/>
    <w:p/>
    <w:p>
      <w:pPr>
        <w:pStyle w:val="Heading4"/>
      </w:pPr>
      <w:r>
        <w:t>Détail Publicité &amp; Vidéos 2029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7E6E6"/>
          </w:tcPr>
          <w:p>
            <w:r>
              <w:rPr>
                <w:b/>
                <w:sz w:val="22"/>
              </w:rPr>
              <w:t>Source</w:t>
            </w:r>
          </w:p>
        </w:tc>
        <w:tc>
          <w:tcPr>
            <w:tcW w:type="dxa" w:w="1440"/>
            <w:shd w:fill="E7E6E6"/>
          </w:tcPr>
          <w:p>
            <w:r>
              <w:rPr>
                <w:b/>
                <w:sz w:val="22"/>
              </w:rPr>
              <w:t>Volume</w:t>
            </w:r>
          </w:p>
        </w:tc>
        <w:tc>
          <w:tcPr>
            <w:tcW w:type="dxa" w:w="1440"/>
            <w:shd w:fill="E7E6E6"/>
          </w:tcPr>
          <w:p>
            <w:r>
              <w:rPr>
                <w:b/>
                <w:sz w:val="22"/>
              </w:rPr>
              <w:t>Unité</w:t>
            </w:r>
          </w:p>
        </w:tc>
        <w:tc>
          <w:tcPr>
            <w:tcW w:type="dxa" w:w="1440"/>
            <w:shd w:fill="E7E6E6"/>
          </w:tcPr>
          <w:p>
            <w:r>
              <w:rPr>
                <w:b/>
                <w:sz w:val="22"/>
              </w:rPr>
              <w:t>Revenu/Unité</w:t>
            </w:r>
          </w:p>
        </w:tc>
        <w:tc>
          <w:tcPr>
            <w:tcW w:type="dxa" w:w="1440"/>
            <w:shd w:fill="E7E6E6"/>
          </w:tcPr>
          <w:p>
            <w:r>
              <w:rPr>
                <w:b/>
                <w:sz w:val="22"/>
              </w:rPr>
              <w:t>Revenus (FCFA)</w:t>
            </w:r>
          </w:p>
        </w:tc>
        <w:tc>
          <w:tcPr>
            <w:tcW w:type="dxa" w:w="1440"/>
            <w:shd w:fill="E7E6E6"/>
          </w:tcPr>
          <w:p>
            <w:r>
              <w:rPr>
                <w:b/>
                <w:sz w:val="22"/>
              </w:rPr>
              <w:t>% Total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color w:val="003366"/>
                <w:sz w:val="20"/>
              </w:rPr>
              <w:t>Achat Tokens Produits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3,500,000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Produits actifs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~24,000/an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84 milliards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14%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color w:val="003366"/>
                <w:sz w:val="20"/>
              </w:rPr>
              <w:t>Commissions Livraisons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40,000,000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Livraisons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150 FCFA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 milliards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10%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color w:val="003366"/>
                <w:sz w:val="20"/>
              </w:rPr>
              <w:t>Commissions Ventes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30,000,000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Ventes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400 FCFA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12 milliards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20%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color w:val="003366"/>
                <w:sz w:val="20"/>
              </w:rPr>
              <w:t>Publicité &amp; Vidéos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24,6 milliards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41%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color w:val="003366"/>
                <w:sz w:val="20"/>
              </w:rPr>
              <w:t>Services Spécialisés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7,500,000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Transactions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200 FCFA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1,5 milliard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3%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color w:val="003366"/>
                <w:sz w:val="20"/>
              </w:rPr>
              <w:t>E-Commerce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18,000,000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Transactions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400 FCFA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7,2 milliards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12%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color w:val="003366"/>
                <w:sz w:val="20"/>
              </w:rPr>
              <w:t>TOTAL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b/>
                <w:color w:val="003366"/>
                <w:sz w:val="20"/>
              </w:rPr>
              <w:t>60 milliards</w:t>
            </w:r>
          </w:p>
        </w:tc>
        <w:tc>
          <w:tcPr>
            <w:tcW w:type="dxa" w:w="1440"/>
          </w:tcPr>
          <w:p>
            <w:r>
              <w:rPr>
                <w:b/>
                <w:color w:val="003366"/>
                <w:sz w:val="20"/>
              </w:rPr>
              <w:t>100%</w:t>
            </w:r>
          </w:p>
        </w:tc>
      </w:tr>
    </w:tbl>
    <w:p>
      <w:pPr>
        <w:pStyle w:val="ListBullet"/>
      </w:pPr>
      <w:r>
        <w:rPr>
          <w:b/>
          <w:color w:val="003366"/>
        </w:rPr>
        <w:t>Création vidéos</w:t>
      </w:r>
      <w:r>
        <w:t xml:space="preserve"> : 750,000 vidéos × 25,000 FCFA = 18,75 milliards FCFA</w:t>
      </w:r>
    </w:p>
    <w:p>
      <w:pPr>
        <w:pStyle w:val="ListBullet"/>
      </w:pPr>
      <w:r>
        <w:rPr>
          <w:b/>
          <w:color w:val="003366"/>
        </w:rPr>
        <w:t>Placement publicitaire</w:t>
      </w:r>
      <w:r>
        <w:t xml:space="preserve"> : 5,850 campagnes × 1 million FCFA = 5,85 milliards FCFA</w:t>
      </w:r>
    </w:p>
    <w:p>
      <w:pPr>
        <w:pStyle w:val="ListBullet"/>
      </w:pPr>
      <w:r>
        <w:rPr>
          <w:b/>
          <w:color w:val="003366"/>
        </w:rPr>
        <w:t>Total</w:t>
      </w:r>
      <w:r>
        <w:t xml:space="preserve"> : 24,6 milliards FCFA</w:t>
      </w:r>
    </w:p>
    <w:p/>
    <w:p>
      <w:pPr>
        <w:pStyle w:val="Heading4"/>
      </w:pPr>
      <w:r>
        <w:t>Hypothèses 2029</w:t>
      </w:r>
    </w:p>
    <w:p>
      <w:pPr>
        <w:pStyle w:val="ListBullet"/>
      </w:pPr>
      <w:r>
        <w:rPr>
          <w:b/>
          <w:color w:val="003366"/>
        </w:rPr>
        <w:t>Produits/services actifs</w:t>
      </w:r>
      <w:r>
        <w:t xml:space="preserve"> : 3,5 millions</w:t>
      </w:r>
    </w:p>
    <w:p>
      <w:pPr>
        <w:pStyle w:val="ListBullet"/>
      </w:pPr>
      <w:r>
        <w:rPr>
          <w:b/>
          <w:color w:val="003366"/>
        </w:rPr>
        <w:t>Livraisons</w:t>
      </w:r>
      <w:r>
        <w:t xml:space="preserve"> : 40 millions</w:t>
      </w:r>
    </w:p>
    <w:p>
      <w:pPr>
        <w:pStyle w:val="ListBullet"/>
      </w:pPr>
      <w:r>
        <w:rPr>
          <w:b/>
          <w:color w:val="003366"/>
        </w:rPr>
        <w:t>Ventes produits</w:t>
      </w:r>
      <w:r>
        <w:t xml:space="preserve"> : 30 millions</w:t>
      </w:r>
    </w:p>
    <w:p>
      <w:pPr>
        <w:pStyle w:val="ListBullet"/>
      </w:pPr>
      <w:r>
        <w:rPr>
          <w:b/>
          <w:color w:val="003366"/>
        </w:rPr>
        <w:t>GMV total</w:t>
      </w:r>
      <w:r>
        <w:t xml:space="preserve"> : 520 milliards FCFA</w:t>
      </w:r>
    </w:p>
    <w:p>
      <w:pPr>
        <w:pStyle w:val="ListBullet"/>
      </w:pPr>
      <w:r>
        <w:rPr>
          <w:b/>
          <w:color w:val="003366"/>
        </w:rPr>
        <w:t>Pays</w:t>
      </w:r>
      <w:r>
        <w:t xml:space="preserve"> : 20+ pays (francophone + anglophone + lusophone)</w:t>
      </w:r>
    </w:p>
    <w:p>
      <w:pPr>
        <w:pStyle w:val="ListBullet"/>
      </w:pPr>
      <w:r>
        <w:rPr>
          <w:b/>
          <w:color w:val="003366"/>
        </w:rPr>
        <w:t>Partenaires actifs</w:t>
      </w:r>
      <w:r>
        <w:t xml:space="preserve"> : 1,800,000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3"/>
      </w:pPr>
      <w:r>
        <w:t>2030 - Consolidation Leader</w:t>
      </w:r>
    </w:p>
    <w:p/>
    <w:p>
      <w:pPr>
        <w:pStyle w:val="Heading4"/>
      </w:pPr>
      <w:r>
        <w:t>Volume et Revenus par Source</w:t>
      </w:r>
    </w:p>
    <w:p/>
    <w:p/>
    <w:p>
      <w:pPr>
        <w:pStyle w:val="Heading4"/>
      </w:pPr>
      <w:r>
        <w:t>Détail Publicité &amp; Vidéos 2030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7E6E6"/>
          </w:tcPr>
          <w:p>
            <w:r>
              <w:rPr>
                <w:b/>
                <w:sz w:val="22"/>
              </w:rPr>
              <w:t>Source</w:t>
            </w:r>
          </w:p>
        </w:tc>
        <w:tc>
          <w:tcPr>
            <w:tcW w:type="dxa" w:w="1440"/>
            <w:shd w:fill="E7E6E6"/>
          </w:tcPr>
          <w:p>
            <w:r>
              <w:rPr>
                <w:b/>
                <w:sz w:val="22"/>
              </w:rPr>
              <w:t>Volume</w:t>
            </w:r>
          </w:p>
        </w:tc>
        <w:tc>
          <w:tcPr>
            <w:tcW w:type="dxa" w:w="1440"/>
            <w:shd w:fill="E7E6E6"/>
          </w:tcPr>
          <w:p>
            <w:r>
              <w:rPr>
                <w:b/>
                <w:sz w:val="22"/>
              </w:rPr>
              <w:t>Unité</w:t>
            </w:r>
          </w:p>
        </w:tc>
        <w:tc>
          <w:tcPr>
            <w:tcW w:type="dxa" w:w="1440"/>
            <w:shd w:fill="E7E6E6"/>
          </w:tcPr>
          <w:p>
            <w:r>
              <w:rPr>
                <w:b/>
                <w:sz w:val="22"/>
              </w:rPr>
              <w:t>Revenu/Unité</w:t>
            </w:r>
          </w:p>
        </w:tc>
        <w:tc>
          <w:tcPr>
            <w:tcW w:type="dxa" w:w="1440"/>
            <w:shd w:fill="E7E6E6"/>
          </w:tcPr>
          <w:p>
            <w:r>
              <w:rPr>
                <w:b/>
                <w:sz w:val="22"/>
              </w:rPr>
              <w:t>Revenus (FCFA)</w:t>
            </w:r>
          </w:p>
        </w:tc>
        <w:tc>
          <w:tcPr>
            <w:tcW w:type="dxa" w:w="1440"/>
            <w:shd w:fill="E7E6E6"/>
          </w:tcPr>
          <w:p>
            <w:r>
              <w:rPr>
                <w:b/>
                <w:sz w:val="22"/>
              </w:rPr>
              <w:t>% Total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color w:val="003366"/>
                <w:sz w:val="20"/>
              </w:rPr>
              <w:t>Achat Tokens Produits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7,500,000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Produits actifs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~24,000/an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180 milliards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14%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color w:val="003366"/>
                <w:sz w:val="20"/>
              </w:rPr>
              <w:t>Commissions Livraisons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85,000,000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Livraisons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150 FCFA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12,75 milliards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10%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color w:val="003366"/>
                <w:sz w:val="20"/>
              </w:rPr>
              <w:t>Commissions Ventes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65,000,000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Ventes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400 FCFA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26 milliards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20%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color w:val="003366"/>
                <w:sz w:val="20"/>
              </w:rPr>
              <w:t>Publicité &amp; Vidéos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54,2 milliards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41%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color w:val="003366"/>
                <w:sz w:val="20"/>
              </w:rPr>
              <w:t>Services Spécialisés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16,000,000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Transactions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200 FCFA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3,2 milliards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2%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color w:val="003366"/>
                <w:sz w:val="20"/>
              </w:rPr>
              <w:t>E-Commerce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40,000,000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Transactions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400 FCFA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16 milliards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12%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color w:val="003366"/>
                <w:sz w:val="20"/>
              </w:rPr>
              <w:t>TOTAL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b/>
                <w:color w:val="003366"/>
                <w:sz w:val="20"/>
              </w:rPr>
              <w:t>132 milliards</w:t>
            </w:r>
          </w:p>
        </w:tc>
        <w:tc>
          <w:tcPr>
            <w:tcW w:type="dxa" w:w="1440"/>
          </w:tcPr>
          <w:p>
            <w:r>
              <w:rPr>
                <w:b/>
                <w:color w:val="003366"/>
                <w:sz w:val="20"/>
              </w:rPr>
              <w:t>100%</w:t>
            </w:r>
          </w:p>
        </w:tc>
      </w:tr>
    </w:tbl>
    <w:p>
      <w:pPr>
        <w:pStyle w:val="ListBullet"/>
      </w:pPr>
      <w:r>
        <w:rPr>
          <w:b/>
          <w:color w:val="003366"/>
        </w:rPr>
        <w:t>Création vidéos</w:t>
      </w:r>
      <w:r>
        <w:t xml:space="preserve"> : 1,600,000 vidéos × 25,000 FCFA = 40 milliards FCFA</w:t>
      </w:r>
    </w:p>
    <w:p>
      <w:pPr>
        <w:pStyle w:val="ListBullet"/>
      </w:pPr>
      <w:r>
        <w:rPr>
          <w:b/>
          <w:color w:val="003366"/>
        </w:rPr>
        <w:t>Placement publicitaire</w:t>
      </w:r>
      <w:r>
        <w:t xml:space="preserve"> : 14,200 campagnes × 1 million FCFA = 14,2 milliards FCFA</w:t>
      </w:r>
    </w:p>
    <w:p>
      <w:pPr>
        <w:pStyle w:val="ListBullet"/>
      </w:pPr>
      <w:r>
        <w:rPr>
          <w:b/>
          <w:color w:val="003366"/>
        </w:rPr>
        <w:t>Total</w:t>
      </w:r>
      <w:r>
        <w:t xml:space="preserve"> : 54,2 milliards FCFA</w:t>
      </w:r>
    </w:p>
    <w:p/>
    <w:p>
      <w:pPr>
        <w:pStyle w:val="Heading4"/>
      </w:pPr>
      <w:r>
        <w:t>Hypothèses 2030</w:t>
      </w:r>
    </w:p>
    <w:p>
      <w:pPr>
        <w:pStyle w:val="ListBullet"/>
      </w:pPr>
      <w:r>
        <w:rPr>
          <w:b/>
          <w:color w:val="003366"/>
        </w:rPr>
        <w:t>Produits/services actifs</w:t>
      </w:r>
      <w:r>
        <w:t xml:space="preserve"> : 7,5 millions</w:t>
      </w:r>
    </w:p>
    <w:p>
      <w:pPr>
        <w:pStyle w:val="ListBullet"/>
      </w:pPr>
      <w:r>
        <w:rPr>
          <w:b/>
          <w:color w:val="003366"/>
        </w:rPr>
        <w:t>Livraisons</w:t>
      </w:r>
      <w:r>
        <w:t xml:space="preserve"> : 85 millions</w:t>
      </w:r>
    </w:p>
    <w:p>
      <w:pPr>
        <w:pStyle w:val="ListBullet"/>
      </w:pPr>
      <w:r>
        <w:rPr>
          <w:b/>
          <w:color w:val="003366"/>
        </w:rPr>
        <w:t>Ventes produits</w:t>
      </w:r>
      <w:r>
        <w:t xml:space="preserve"> : 65 millions</w:t>
      </w:r>
    </w:p>
    <w:p>
      <w:pPr>
        <w:pStyle w:val="ListBullet"/>
      </w:pPr>
      <w:r>
        <w:rPr>
          <w:b/>
          <w:color w:val="003366"/>
        </w:rPr>
        <w:t>GMV total</w:t>
      </w:r>
      <w:r>
        <w:t xml:space="preserve"> : 1,120 milliards FCFA</w:t>
      </w:r>
    </w:p>
    <w:p>
      <w:pPr>
        <w:pStyle w:val="ListBullet"/>
      </w:pPr>
      <w:r>
        <w:rPr>
          <w:b/>
          <w:color w:val="003366"/>
        </w:rPr>
        <w:t>Pays</w:t>
      </w:r>
      <w:r>
        <w:t xml:space="preserve"> : 25+ pays</w:t>
      </w:r>
    </w:p>
    <w:p>
      <w:pPr>
        <w:pStyle w:val="ListBullet"/>
      </w:pPr>
      <w:r>
        <w:rPr>
          <w:b/>
          <w:color w:val="003366"/>
        </w:rPr>
        <w:t>Partenaires actifs</w:t>
      </w:r>
      <w:r>
        <w:t xml:space="preserve"> : 4,000,000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STRUCTURE DES COÛTS (2026-2030)</w:t>
      </w:r>
    </w:p>
    <w:p/>
    <w:p>
      <w:pPr>
        <w:pStyle w:val="Heading3"/>
      </w:pPr>
      <w:r>
        <w:t>2026 - Coûts Détaillés</w:t>
      </w:r>
    </w:p>
    <w:p/>
    <w:p>
      <w:pPr>
        <w:pStyle w:val="Heading4"/>
      </w:pPr>
      <w:r>
        <w:t>Coûts Variables (45% des revenus = 810 millions FCFA)</w:t>
      </w:r>
    </w:p>
    <w:p/>
    <w:p/>
    <w:p>
      <w:pPr>
        <w:pStyle w:val="Heading4"/>
      </w:pPr>
      <w:r>
        <w:t>Coûts Fixes (55% des revenus = 990 millions FCFA)</w:t>
      </w:r>
    </w:p>
    <w:p/>
    <w:p/>
    <w:p>
      <w:pPr>
        <w:pStyle w:val="Heading4"/>
      </w:pPr>
      <w:r>
        <w:t>Total Coûts 2026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7E6E6"/>
          </w:tcPr>
          <w:p>
            <w:r>
              <w:rPr>
                <w:b/>
                <w:sz w:val="22"/>
              </w:rPr>
              <w:t>Poste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2"/>
              </w:rPr>
              <w:t>Montant (FCFA)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2"/>
              </w:rPr>
              <w:t>Détail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03366"/>
                <w:sz w:val="20"/>
              </w:rPr>
              <w:t>Commissions Coursiers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360 millions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60% des revenus livraison (180M)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03366"/>
                <w:sz w:val="20"/>
              </w:rPr>
              <w:t>Coûts IA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120 millions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OpenAI, embeddings, génération vidéo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03366"/>
                <w:sz w:val="20"/>
              </w:rPr>
              <w:t>Frais Transaction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54 millions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Paiements (3% GMV)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03366"/>
                <w:sz w:val="20"/>
              </w:rPr>
              <w:t>Support Client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72 millions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4% des revenus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03366"/>
                <w:sz w:val="20"/>
              </w:rPr>
              <w:t>Autres Variables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204 millions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Frais divers, marketing performance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03366"/>
                <w:sz w:val="20"/>
              </w:rPr>
              <w:t>TOTAL VARIABLES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  <w:sz w:val="20"/>
              </w:rPr>
              <w:t>810 millions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  <w:sz w:val="20"/>
              </w:rPr>
              <w:t>45%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Montant (FCFA)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Détail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03366"/>
                <w:sz w:val="20"/>
              </w:rPr>
              <w:t>Personnel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540 millions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30% - 25 personnes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03366"/>
                <w:sz w:val="20"/>
              </w:rPr>
              <w:t>Infrastructure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144 millions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Cloud, serveurs (8%)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03366"/>
                <w:sz w:val="20"/>
              </w:rPr>
              <w:t>Marketing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216 millions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12% - Acquisition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03366"/>
                <w:sz w:val="20"/>
              </w:rPr>
              <w:t>Bureaux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54 millions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3% - Locations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03366"/>
                <w:sz w:val="20"/>
              </w:rPr>
              <w:t>Légal &amp; Admin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36 millions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2%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03366"/>
                <w:sz w:val="20"/>
              </w:rPr>
              <w:t>TOTAL FIXES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  <w:sz w:val="20"/>
              </w:rPr>
              <w:t>990 millions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  <w:sz w:val="20"/>
              </w:rPr>
              <w:t>55%</w:t>
            </w:r>
          </w:p>
        </w:tc>
      </w:tr>
    </w:tbl>
    <w:p>
      <w:pPr>
        <w:pStyle w:val="ListBullet"/>
      </w:pPr>
      <w:r>
        <w:rPr>
          <w:b/>
          <w:color w:val="003366"/>
        </w:rPr>
        <w:t>Coûts totaux</w:t>
      </w:r>
      <w:r>
        <w:t xml:space="preserve"> : 1,4 milliard FCFA</w:t>
      </w:r>
    </w:p>
    <w:p>
      <w:pPr>
        <w:pStyle w:val="ListBullet"/>
      </w:pPr>
      <w:r>
        <w:rPr>
          <w:b/>
          <w:color w:val="003366"/>
        </w:rPr>
        <w:t>EBITDA</w:t>
      </w:r>
      <w:r>
        <w:t xml:space="preserve"> : -200 millions FCFA (investissement croissance)</w:t>
      </w:r>
    </w:p>
    <w:p>
      <w:pPr>
        <w:pStyle w:val="ListBullet"/>
      </w:pPr>
      <w:r>
        <w:rPr>
          <w:b/>
          <w:color w:val="003366"/>
        </w:rPr>
        <w:t>Marge brute</w:t>
      </w:r>
      <w:r>
        <w:t xml:space="preserve"> : 55% (revenus - coûts variables)</w:t>
      </w:r>
    </w:p>
    <w:p>
      <w:pPr>
        <w:pStyle w:val="ListBullet"/>
      </w:pPr>
      <w:r>
        <w:rPr>
          <w:b/>
          <w:color w:val="003366"/>
        </w:rPr>
        <w:t>Coût par produit actif</w:t>
      </w:r>
      <w:r>
        <w:t xml:space="preserve"> : 46,667 FCFA/an (30,000 produits)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3"/>
      </w:pPr>
      <w:r>
        <w:t>2027 - Coûts Détaillés</w:t>
      </w:r>
    </w:p>
    <w:p/>
    <w:p>
      <w:pPr>
        <w:pStyle w:val="Heading4"/>
      </w:pPr>
      <w:r>
        <w:t>Coûts Variables (42% des revenus = 3,528 milliards FCFA)</w:t>
      </w:r>
    </w:p>
    <w:p>
      <w:pPr>
        <w:pStyle w:val="ListBullet"/>
      </w:pPr>
      <w:r>
        <w:t>Commissions coursiers : 1,485 millions FCFA</w:t>
      </w:r>
    </w:p>
    <w:p>
      <w:pPr>
        <w:pStyle w:val="ListBullet"/>
      </w:pPr>
      <w:r>
        <w:t>Coûts IA : 504 millions FCFA</w:t>
      </w:r>
    </w:p>
    <w:p>
      <w:pPr>
        <w:pStyle w:val="ListBullet"/>
      </w:pPr>
      <w:r>
        <w:t>Frais transaction : 216 millions FCFA</w:t>
      </w:r>
    </w:p>
    <w:p>
      <w:pPr>
        <w:pStyle w:val="ListBullet"/>
      </w:pPr>
      <w:r>
        <w:t>Support client : 336 millions FCFA</w:t>
      </w:r>
    </w:p>
    <w:p>
      <w:pPr>
        <w:pStyle w:val="ListBullet"/>
      </w:pPr>
      <w:r>
        <w:t>Autres : 987 millions FCFA</w:t>
      </w:r>
    </w:p>
    <w:p/>
    <w:p>
      <w:pPr>
        <w:pStyle w:val="Heading4"/>
      </w:pPr>
      <w:r>
        <w:t>Coûts Fixes (38% des revenus = 3,192 milliards FCFA)</w:t>
      </w:r>
    </w:p>
    <w:p>
      <w:pPr>
        <w:pStyle w:val="ListBullet"/>
      </w:pPr>
      <w:r>
        <w:t>Personnel : 2,52 milliards FCFA (80 personnes)</w:t>
      </w:r>
    </w:p>
    <w:p>
      <w:pPr>
        <w:pStyle w:val="ListBullet"/>
      </w:pPr>
      <w:r>
        <w:t>Infrastructure : 672 millions FCFA</w:t>
      </w:r>
    </w:p>
    <w:p>
      <w:pPr>
        <w:pStyle w:val="ListBullet"/>
      </w:pPr>
      <w:r>
        <w:t>Marketing : 1,008 milliards FCFA</w:t>
      </w:r>
    </w:p>
    <w:p>
      <w:pPr>
        <w:pStyle w:val="ListBullet"/>
      </w:pPr>
      <w:r>
        <w:t>Bureaux : 252 millions FCFA</w:t>
      </w:r>
    </w:p>
    <w:p>
      <w:pPr>
        <w:pStyle w:val="ListBullet"/>
      </w:pPr>
      <w:r>
        <w:t>Légal &amp; Admin : 240 millions FCFA</w:t>
      </w:r>
    </w:p>
    <w:p/>
    <w:p>
      <w:pPr>
        <w:pStyle w:val="Heading4"/>
      </w:pPr>
      <w:r>
        <w:t>Total Coûts 2027</w:t>
      </w:r>
    </w:p>
    <w:p>
      <w:pPr>
        <w:pStyle w:val="ListBullet"/>
      </w:pPr>
      <w:r>
        <w:rPr>
          <w:b/>
          <w:color w:val="003366"/>
        </w:rPr>
        <w:t>Coûts totaux</w:t>
      </w:r>
      <w:r>
        <w:t xml:space="preserve"> : 6,72 milliards FCFA</w:t>
      </w:r>
    </w:p>
    <w:p>
      <w:pPr>
        <w:pStyle w:val="ListBullet"/>
      </w:pPr>
      <w:r>
        <w:rPr>
          <w:b/>
          <w:color w:val="003366"/>
        </w:rPr>
        <w:t>EBITDA</w:t>
      </w:r>
      <w:r>
        <w:t xml:space="preserve"> : +1,68 milliard FCFA (20% marge)</w:t>
      </w:r>
    </w:p>
    <w:p>
      <w:pPr>
        <w:pStyle w:val="ListBullet"/>
      </w:pPr>
      <w:r>
        <w:rPr>
          <w:b/>
          <w:color w:val="003366"/>
        </w:rPr>
        <w:t>Marge brute</w:t>
      </w:r>
      <w:r>
        <w:t xml:space="preserve"> : 58%</w:t>
      </w:r>
    </w:p>
    <w:p>
      <w:pPr>
        <w:pStyle w:val="ListBullet"/>
      </w:pPr>
      <w:r>
        <w:rPr>
          <w:b/>
          <w:color w:val="003366"/>
        </w:rPr>
        <w:t>Coût par produit actif</w:t>
      </w:r>
      <w:r>
        <w:t xml:space="preserve"> : 11,200 FCFA/an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3"/>
      </w:pPr>
      <w:r>
        <w:t>2028 - Coûts Détaillés</w:t>
      </w:r>
    </w:p>
    <w:p/>
    <w:p>
      <w:pPr>
        <w:pStyle w:val="Heading4"/>
      </w:pPr>
      <w:r>
        <w:t>Coûts Variables (40% des revenus = 9,84 milliards FCFA)</w:t>
      </w:r>
    </w:p>
    <w:p>
      <w:pPr>
        <w:pStyle w:val="ListBullet"/>
      </w:pPr>
      <w:r>
        <w:t>Commissions coursiers : 4,2 milliards FCFA</w:t>
      </w:r>
    </w:p>
    <w:p>
      <w:pPr>
        <w:pStyle w:val="ListBullet"/>
      </w:pPr>
      <w:r>
        <w:t>Coûts IA : 1,476 milliards FCFA</w:t>
      </w:r>
    </w:p>
    <w:p>
      <w:pPr>
        <w:pStyle w:val="ListBullet"/>
      </w:pPr>
      <w:r>
        <w:t>Frais transaction : 630 millions FCFA</w:t>
      </w:r>
    </w:p>
    <w:p>
      <w:pPr>
        <w:pStyle w:val="ListBullet"/>
      </w:pPr>
      <w:r>
        <w:t>Support client : 984 millions FCFA</w:t>
      </w:r>
    </w:p>
    <w:p>
      <w:pPr>
        <w:pStyle w:val="ListBullet"/>
      </w:pPr>
      <w:r>
        <w:t>Autres : 2,55 milliards FCFA</w:t>
      </w:r>
    </w:p>
    <w:p/>
    <w:p>
      <w:pPr>
        <w:pStyle w:val="Heading4"/>
      </w:pPr>
      <w:r>
        <w:t>Coûts Fixes (40% des revenus = 9,84 milliards FCFA)</w:t>
      </w:r>
    </w:p>
    <w:p>
      <w:pPr>
        <w:pStyle w:val="ListBullet"/>
      </w:pPr>
      <w:r>
        <w:t>Personnel : 7,38 milliards FCFA (200 personnes)</w:t>
      </w:r>
    </w:p>
    <w:p>
      <w:pPr>
        <w:pStyle w:val="ListBullet"/>
      </w:pPr>
      <w:r>
        <w:t>Infrastructure : 1,968 milliards FCFA</w:t>
      </w:r>
    </w:p>
    <w:p>
      <w:pPr>
        <w:pStyle w:val="ListBullet"/>
      </w:pPr>
      <w:r>
        <w:t>Marketing : 2,952 milliards FCFA</w:t>
      </w:r>
    </w:p>
    <w:p>
      <w:pPr>
        <w:pStyle w:val="ListBullet"/>
      </w:pPr>
      <w:r>
        <w:t>Bureaux : 738 millions FCFA</w:t>
      </w:r>
    </w:p>
    <w:p>
      <w:pPr>
        <w:pStyle w:val="ListBullet"/>
      </w:pPr>
      <w:r>
        <w:t>Légal &amp; Admin : 690 millions FCFA</w:t>
      </w:r>
    </w:p>
    <w:p/>
    <w:p>
      <w:pPr>
        <w:pStyle w:val="Heading4"/>
      </w:pPr>
      <w:r>
        <w:t>Total Coûts 2028</w:t>
      </w:r>
    </w:p>
    <w:p>
      <w:pPr>
        <w:pStyle w:val="ListBullet"/>
      </w:pPr>
      <w:r>
        <w:rPr>
          <w:b/>
          <w:color w:val="003366"/>
        </w:rPr>
        <w:t>Coûts totaux</w:t>
      </w:r>
      <w:r>
        <w:t xml:space="preserve"> : 19,68 milliards FCFA</w:t>
      </w:r>
    </w:p>
    <w:p>
      <w:pPr>
        <w:pStyle w:val="ListBullet"/>
      </w:pPr>
      <w:r>
        <w:rPr>
          <w:b/>
          <w:color w:val="003366"/>
        </w:rPr>
        <w:t>EBITDA</w:t>
      </w:r>
      <w:r>
        <w:t xml:space="preserve"> : +4,92 milliards FCFA (20% marge)</w:t>
      </w:r>
    </w:p>
    <w:p>
      <w:pPr>
        <w:pStyle w:val="ListBullet"/>
      </w:pPr>
      <w:r>
        <w:rPr>
          <w:b/>
          <w:color w:val="003366"/>
        </w:rPr>
        <w:t>Marge brute</w:t>
      </w:r>
      <w:r>
        <w:t xml:space="preserve"> : 60%</w:t>
      </w:r>
    </w:p>
    <w:p>
      <w:pPr>
        <w:pStyle w:val="ListBullet"/>
      </w:pPr>
      <w:r>
        <w:rPr>
          <w:b/>
          <w:color w:val="003366"/>
        </w:rPr>
        <w:t>Coût par produit actif</w:t>
      </w:r>
      <w:r>
        <w:t xml:space="preserve"> : 13,120 FCFA/an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3"/>
      </w:pPr>
      <w:r>
        <w:t>2029 - Coûts Détaillés</w:t>
      </w:r>
    </w:p>
    <w:p/>
    <w:p>
      <w:pPr>
        <w:pStyle w:val="Heading4"/>
      </w:pPr>
      <w:r>
        <w:t>Coûts Variables (38% des revenus = 22,8 milliards FCFA)</w:t>
      </w:r>
    </w:p>
    <w:p>
      <w:pPr>
        <w:pStyle w:val="ListBullet"/>
      </w:pPr>
      <w:r>
        <w:t>Commissions coursiers : 9,6 milliards FCFA</w:t>
      </w:r>
    </w:p>
    <w:p>
      <w:pPr>
        <w:pStyle w:val="ListBullet"/>
      </w:pPr>
      <w:r>
        <w:t>Coûts IA : 3,6 milliards FCFA</w:t>
      </w:r>
    </w:p>
    <w:p>
      <w:pPr>
        <w:pStyle w:val="ListBullet"/>
      </w:pPr>
      <w:r>
        <w:t>Frais transaction : 1,56 milliard FCFA</w:t>
      </w:r>
    </w:p>
    <w:p>
      <w:pPr>
        <w:pStyle w:val="ListBullet"/>
      </w:pPr>
      <w:r>
        <w:t>Support client : 2,4 milliards FCFA</w:t>
      </w:r>
    </w:p>
    <w:p>
      <w:pPr>
        <w:pStyle w:val="ListBullet"/>
      </w:pPr>
      <w:r>
        <w:t>Autres : 5,64 milliards FCFA</w:t>
      </w:r>
    </w:p>
    <w:p/>
    <w:p>
      <w:pPr>
        <w:pStyle w:val="Heading4"/>
      </w:pPr>
      <w:r>
        <w:t>Coûts Fixes (37% des revenus = 22,2 milliards FCFA)</w:t>
      </w:r>
    </w:p>
    <w:p>
      <w:pPr>
        <w:pStyle w:val="ListBullet"/>
      </w:pPr>
      <w:r>
        <w:t>Personnel : 18 milliards FCFA (400 personnes)</w:t>
      </w:r>
    </w:p>
    <w:p>
      <w:pPr>
        <w:pStyle w:val="ListBullet"/>
      </w:pPr>
      <w:r>
        <w:t>Infrastructure : 4,8 milliards FCFA</w:t>
      </w:r>
    </w:p>
    <w:p>
      <w:pPr>
        <w:pStyle w:val="ListBullet"/>
      </w:pPr>
      <w:r>
        <w:t>Marketing : 7,2 milliards FCFA</w:t>
      </w:r>
    </w:p>
    <w:p>
      <w:pPr>
        <w:pStyle w:val="ListBullet"/>
      </w:pPr>
      <w:r>
        <w:t>Bureaux : 1,8 milliard FCFA</w:t>
      </w:r>
    </w:p>
    <w:p>
      <w:pPr>
        <w:pStyle w:val="ListBullet"/>
      </w:pPr>
      <w:r>
        <w:t>Légal &amp; Admin : 1,5 milliard FCFA</w:t>
      </w:r>
    </w:p>
    <w:p/>
    <w:p>
      <w:pPr>
        <w:pStyle w:val="Heading4"/>
      </w:pPr>
      <w:r>
        <w:t>Total Coûts 2029</w:t>
      </w:r>
    </w:p>
    <w:p>
      <w:pPr>
        <w:pStyle w:val="ListBullet"/>
      </w:pPr>
      <w:r>
        <w:rPr>
          <w:b/>
          <w:color w:val="003366"/>
        </w:rPr>
        <w:t>Coûts totaux</w:t>
      </w:r>
      <w:r>
        <w:t xml:space="preserve"> : 45 milliards FCFA</w:t>
      </w:r>
    </w:p>
    <w:p>
      <w:pPr>
        <w:pStyle w:val="ListBullet"/>
      </w:pPr>
      <w:r>
        <w:rPr>
          <w:b/>
          <w:color w:val="003366"/>
        </w:rPr>
        <w:t>EBITDA</w:t>
      </w:r>
      <w:r>
        <w:t xml:space="preserve"> : +15 milliards FCFA (25% marge)</w:t>
      </w:r>
    </w:p>
    <w:p>
      <w:pPr>
        <w:pStyle w:val="ListBullet"/>
      </w:pPr>
      <w:r>
        <w:rPr>
          <w:b/>
          <w:color w:val="003366"/>
        </w:rPr>
        <w:t>Marge brute</w:t>
      </w:r>
      <w:r>
        <w:t xml:space="preserve"> : 62%</w:t>
      </w:r>
    </w:p>
    <w:p>
      <w:pPr>
        <w:pStyle w:val="ListBullet"/>
      </w:pPr>
      <w:r>
        <w:rPr>
          <w:b/>
          <w:color w:val="003366"/>
        </w:rPr>
        <w:t>Coût par produit actif</w:t>
      </w:r>
      <w:r>
        <w:t xml:space="preserve"> : 12,857 FCFA/an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3"/>
      </w:pPr>
      <w:r>
        <w:t>2030 - Coûts Détaillés</w:t>
      </w:r>
    </w:p>
    <w:p/>
    <w:p>
      <w:pPr>
        <w:pStyle w:val="Heading4"/>
      </w:pPr>
      <w:r>
        <w:t>Coûts Variables (35% des revenus = 46,2 milliards FCFA)</w:t>
      </w:r>
    </w:p>
    <w:p>
      <w:pPr>
        <w:pStyle w:val="ListBullet"/>
      </w:pPr>
      <w:r>
        <w:t>Commissions coursiers : 19,125 milliards FCFA</w:t>
      </w:r>
    </w:p>
    <w:p>
      <w:pPr>
        <w:pStyle w:val="ListBullet"/>
      </w:pPr>
      <w:r>
        <w:t>Coûts IA : 7,92 milliards FCFA</w:t>
      </w:r>
    </w:p>
    <w:p>
      <w:pPr>
        <w:pStyle w:val="ListBullet"/>
      </w:pPr>
      <w:r>
        <w:t>Frais transaction : 3,36 milliards FCFA</w:t>
      </w:r>
    </w:p>
    <w:p>
      <w:pPr>
        <w:pStyle w:val="ListBullet"/>
      </w:pPr>
      <w:r>
        <w:t>Support client : 5,28 milliards FCFA</w:t>
      </w:r>
    </w:p>
    <w:p>
      <w:pPr>
        <w:pStyle w:val="ListBullet"/>
      </w:pPr>
      <w:r>
        <w:t>Autres : 10,515 milliards FCFA</w:t>
      </w:r>
    </w:p>
    <w:p/>
    <w:p>
      <w:pPr>
        <w:pStyle w:val="Heading4"/>
      </w:pPr>
      <w:r>
        <w:t>Coûts Fixes (35% des revenus = 46,2 milliards FCFA)</w:t>
      </w:r>
    </w:p>
    <w:p>
      <w:pPr>
        <w:pStyle w:val="ListBullet"/>
      </w:pPr>
      <w:r>
        <w:t>Personnel : 39,6 milliards FCFA (800 personnes)</w:t>
      </w:r>
    </w:p>
    <w:p>
      <w:pPr>
        <w:pStyle w:val="ListBullet"/>
      </w:pPr>
      <w:r>
        <w:t>Infrastructure : 10,56 milliards FCFA</w:t>
      </w:r>
    </w:p>
    <w:p>
      <w:pPr>
        <w:pStyle w:val="ListBullet"/>
      </w:pPr>
      <w:r>
        <w:t>Marketing : 15,84 milliards FCFA</w:t>
      </w:r>
    </w:p>
    <w:p>
      <w:pPr>
        <w:pStyle w:val="ListBullet"/>
      </w:pPr>
      <w:r>
        <w:t>Bureaux : 3,96 milliards FCFA</w:t>
      </w:r>
    </w:p>
    <w:p>
      <w:pPr>
        <w:pStyle w:val="ListBullet"/>
      </w:pPr>
      <w:r>
        <w:t>Légal &amp; Admin : 3,24 milliards FCFA</w:t>
      </w:r>
    </w:p>
    <w:p/>
    <w:p>
      <w:pPr>
        <w:pStyle w:val="Heading4"/>
      </w:pPr>
      <w:r>
        <w:t>Total Coûts 2030</w:t>
      </w:r>
    </w:p>
    <w:p>
      <w:pPr>
        <w:pStyle w:val="ListBullet"/>
      </w:pPr>
      <w:r>
        <w:rPr>
          <w:b/>
          <w:color w:val="003366"/>
        </w:rPr>
        <w:t>Coûts totaux</w:t>
      </w:r>
      <w:r>
        <w:t xml:space="preserve"> : 92,4 milliards FCFA</w:t>
      </w:r>
    </w:p>
    <w:p>
      <w:pPr>
        <w:pStyle w:val="ListBullet"/>
      </w:pPr>
      <w:r>
        <w:rPr>
          <w:b/>
          <w:color w:val="003366"/>
        </w:rPr>
        <w:t>EBITDA</w:t>
      </w:r>
      <w:r>
        <w:t xml:space="preserve"> : +39,6 milliards FCFA (30% marge)</w:t>
      </w:r>
    </w:p>
    <w:p>
      <w:pPr>
        <w:pStyle w:val="ListBullet"/>
      </w:pPr>
      <w:r>
        <w:rPr>
          <w:b/>
          <w:color w:val="003366"/>
        </w:rPr>
        <w:t>Marge brute</w:t>
      </w:r>
      <w:r>
        <w:t xml:space="preserve"> : 65%</w:t>
      </w:r>
    </w:p>
    <w:p>
      <w:pPr>
        <w:pStyle w:val="ListBullet"/>
      </w:pPr>
      <w:r>
        <w:rPr>
          <w:b/>
          <w:color w:val="003366"/>
        </w:rPr>
        <w:t>Coût par produit actif</w:t>
      </w:r>
      <w:r>
        <w:t xml:space="preserve"> : 12,320 FCFA/an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BESOINS DE FINANCEMENT DÉTAILLÉS</w:t>
      </w:r>
    </w:p>
    <w:p/>
    <w:p>
      <w:pPr>
        <w:pStyle w:val="Heading3"/>
      </w:pPr>
      <w:r>
        <w:t>Série A : 2,1 - 3 milliards FCFA (Q1 2026)</w:t>
      </w:r>
    </w:p>
    <w:p/>
    <w:p>
      <w:pPr>
        <w:pStyle w:val="Heading4"/>
      </w:pPr>
      <w:r>
        <w:t>Utilisation des Fonds</w:t>
      </w:r>
    </w:p>
    <w:p/>
    <w:p/>
    <w:p>
      <w:pPr>
        <w:pStyle w:val="Heading4"/>
      </w:pPr>
      <w:r>
        <w:t>Runway Série 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7E6E6"/>
          </w:tcPr>
          <w:p>
            <w:r>
              <w:rPr>
                <w:b/>
                <w:sz w:val="22"/>
              </w:rPr>
              <w:t>Poste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  <w:sz w:val="22"/>
              </w:rPr>
              <w:t>Montant (FCFA)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  <w:sz w:val="22"/>
              </w:rPr>
              <w:t>%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  <w:sz w:val="22"/>
              </w:rPr>
              <w:t>Détail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003366"/>
                <w:sz w:val="20"/>
              </w:rPr>
              <w:t>Développement Produit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840M - 1,2 milliard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IA, mobile, infrastructure, vidéo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003366"/>
                <w:sz w:val="20"/>
              </w:rPr>
              <w:t>Marketing &amp; Acquisition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630M - 900M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Campagnes, influenceurs, événements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003366"/>
                <w:sz w:val="20"/>
              </w:rPr>
              <w:t>Recrutement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315M - 450M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15%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Salaires 6-12 mois, recrutement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003366"/>
                <w:sz w:val="20"/>
              </w:rPr>
              <w:t>Infrastructure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210M - 300M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Cloud, outils, bureaux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003366"/>
                <w:sz w:val="20"/>
              </w:rPr>
              <w:t>Réserve Opérationnelle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105M - 150M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Trésorerie, imprévus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003366"/>
                <w:sz w:val="20"/>
              </w:rPr>
              <w:t>TOTAL</w:t>
            </w:r>
          </w:p>
        </w:tc>
        <w:tc>
          <w:tcPr>
            <w:tcW w:type="dxa" w:w="2160"/>
          </w:tcPr>
          <w:p>
            <w:r>
              <w:rPr>
                <w:b/>
                <w:color w:val="003366"/>
                <w:sz w:val="20"/>
              </w:rPr>
              <w:t>2,1 - 3 milliards</w:t>
            </w:r>
          </w:p>
        </w:tc>
        <w:tc>
          <w:tcPr>
            <w:tcW w:type="dxa" w:w="2160"/>
          </w:tcPr>
          <w:p>
            <w:r>
              <w:rPr>
                <w:b/>
                <w:color w:val="003366"/>
                <w:sz w:val="20"/>
              </w:rPr>
              <w:t>100%</w:t>
            </w:r>
          </w:p>
        </w:tc>
        <w:tc>
          <w:tcPr>
            <w:tcW w:type="dxa" w:w="2160"/>
          </w:tcPr>
          <w:p/>
        </w:tc>
      </w:tr>
    </w:tbl>
    <w:p>
      <w:pPr>
        <w:pStyle w:val="ListBullet"/>
      </w:pPr>
      <w:r>
        <w:rPr>
          <w:b/>
          <w:color w:val="003366"/>
        </w:rPr>
        <w:t>Durée</w:t>
      </w:r>
      <w:r>
        <w:t xml:space="preserve"> : 12-18 mois</w:t>
      </w:r>
    </w:p>
    <w:p>
      <w:pPr>
        <w:pStyle w:val="ListBullet"/>
      </w:pPr>
      <w:r>
        <w:rPr>
          <w:b/>
          <w:color w:val="003366"/>
        </w:rPr>
        <w:t>Burn rate mensuel</w:t>
      </w:r>
      <w:r>
        <w:t xml:space="preserve"> : 175M - 250M FCFA</w:t>
      </w:r>
    </w:p>
    <w:p>
      <w:pPr>
        <w:pStyle w:val="ListBullet"/>
      </w:pPr>
      <w:r>
        <w:rPr>
          <w:b/>
          <w:color w:val="003366"/>
        </w:rPr>
        <w:t>Objectif</w:t>
      </w:r>
      <w:r>
        <w:t xml:space="preserve"> : Atteindre 150,000 produits actifs, 1,8 milliard FCFA revenus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MÉTRIQUES FINANCIÈRES CLÉS - BASÉES SUR LES PRODUITS</w:t>
      </w:r>
    </w:p>
    <w:p/>
    <w:p>
      <w:pPr>
        <w:pStyle w:val="Heading3"/>
      </w:pPr>
      <w:r>
        <w:t>Métriques de Croissance</w:t>
      </w:r>
    </w:p>
    <w:p/>
    <w:p/>
    <w:p>
      <w:pPr>
        <w:pStyle w:val="Heading3"/>
      </w:pPr>
      <w:r>
        <w:t>Métriques de Rentabilité</w:t>
      </w:r>
    </w:p>
    <w:p/>
    <w:p/>
    <w:p>
      <w:pPr>
        <w:pStyle w:val="Heading3"/>
      </w:pPr>
      <w:r>
        <w:t>Métriques Opérationnelles</w:t>
      </w:r>
    </w:p>
    <w:p/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VALORISATION ET SORTIE</w:t>
      </w:r>
    </w:p>
    <w:p/>
    <w:p>
      <w:pPr>
        <w:pStyle w:val="Heading3"/>
      </w:pPr>
      <w:r>
        <w:t>Valorisation Projetée - Basée sur les Revenus</w:t>
      </w:r>
    </w:p>
    <w:p/>
    <w:p/>
    <w:p>
      <w:pPr>
        <w:pStyle w:val="Heading3"/>
      </w:pPr>
      <w:r>
        <w:t>Scénarios de Sortie</w:t>
      </w:r>
    </w:p>
    <w:p/>
    <w:p>
      <w:pPr>
        <w:pStyle w:val="Heading4"/>
      </w:pPr>
      <w:r>
        <w:t>Scénario Conservateur (2030)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7E6E6"/>
          </w:tcPr>
          <w:p>
            <w:r>
              <w:rPr>
                <w:b/>
                <w:sz w:val="22"/>
              </w:rPr>
              <w:t>Année</w:t>
            </w:r>
          </w:p>
        </w:tc>
        <w:tc>
          <w:tcPr>
            <w:tcW w:type="dxa" w:w="1440"/>
            <w:shd w:fill="E7E6E6"/>
          </w:tcPr>
          <w:p>
            <w:r>
              <w:rPr>
                <w:b/>
                <w:sz w:val="22"/>
              </w:rPr>
              <w:t>Produits Actifs</w:t>
            </w:r>
          </w:p>
        </w:tc>
        <w:tc>
          <w:tcPr>
            <w:tcW w:type="dxa" w:w="1440"/>
            <w:shd w:fill="E7E6E6"/>
          </w:tcPr>
          <w:p>
            <w:r>
              <w:rPr>
                <w:b/>
                <w:sz w:val="22"/>
              </w:rPr>
              <w:t>Livraisons</w:t>
            </w:r>
          </w:p>
        </w:tc>
        <w:tc>
          <w:tcPr>
            <w:tcW w:type="dxa" w:w="1440"/>
            <w:shd w:fill="E7E6E6"/>
          </w:tcPr>
          <w:p>
            <w:r>
              <w:rPr>
                <w:b/>
                <w:sz w:val="22"/>
              </w:rPr>
              <w:t>Ventes</w:t>
            </w:r>
          </w:p>
        </w:tc>
        <w:tc>
          <w:tcPr>
            <w:tcW w:type="dxa" w:w="1440"/>
            <w:shd w:fill="E7E6E6"/>
          </w:tcPr>
          <w:p>
            <w:r>
              <w:rPr>
                <w:b/>
                <w:sz w:val="22"/>
              </w:rPr>
              <w:t>GMV (FCFA)</w:t>
            </w:r>
          </w:p>
        </w:tc>
        <w:tc>
          <w:tcPr>
            <w:tcW w:type="dxa" w:w="1440"/>
            <w:shd w:fill="E7E6E6"/>
          </w:tcPr>
          <w:p>
            <w:r>
              <w:rPr>
                <w:b/>
                <w:sz w:val="22"/>
              </w:rPr>
              <w:t>Revenus (FCFA)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color w:val="003366"/>
                <w:sz w:val="20"/>
              </w:rPr>
              <w:t>2026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150K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1,2M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800K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15,6 milliards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1,8 milliard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color w:val="003366"/>
                <w:sz w:val="20"/>
              </w:rPr>
              <w:t>2027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600K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5,5M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4,2M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72 milliards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8,4 milliards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color w:val="003366"/>
                <w:sz w:val="20"/>
              </w:rPr>
              <w:t>2028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1,5M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16M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12,5M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210 milliards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24,6 milliards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color w:val="003366"/>
                <w:sz w:val="20"/>
              </w:rPr>
              <w:t>2029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3,5M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40M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30M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520 milliards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60 milliards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color w:val="003366"/>
                <w:sz w:val="20"/>
              </w:rPr>
              <w:t>2030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7,5M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85M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65M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1,120 milliards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132 milliards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Année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EBITDA (FCFA)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Marge EBITDA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Marge Brute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Revenu/Produit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Coût/Produit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color w:val="003366"/>
                <w:sz w:val="20"/>
              </w:rPr>
              <w:t>2026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-150M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-8%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55%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12,000 FCFA/an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12,000 FCFA/an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color w:val="003366"/>
                <w:sz w:val="20"/>
              </w:rPr>
              <w:t>2027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+1,68 milliard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+20%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58%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14,000 FCFA/an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11,200 FCFA/an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color w:val="003366"/>
                <w:sz w:val="20"/>
              </w:rPr>
              <w:t>2028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+4,92 milliards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+20%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60%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16,400 FCFA/an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13,120 FCFA/an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color w:val="003366"/>
                <w:sz w:val="20"/>
              </w:rPr>
              <w:t>2029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+15 milliards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+25%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62%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17,143 FCFA/an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12,857 FCFA/an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color w:val="003366"/>
                <w:sz w:val="20"/>
              </w:rPr>
              <w:t>2030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+39,6 milliards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+30%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65%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17,600 FCFA/an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12,320 FCFA/an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Année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Transactions/mois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Partenaires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Taux Conversion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Taux Complétion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b/>
                <w:color w:val="003366"/>
                <w:sz w:val="20"/>
              </w:rPr>
              <w:t>2026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200K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50K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18%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85%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b/>
                <w:color w:val="003366"/>
                <w:sz w:val="20"/>
              </w:rPr>
              <w:t>2027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1M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250K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20%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87%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b/>
                <w:color w:val="003366"/>
                <w:sz w:val="20"/>
              </w:rPr>
              <w:t>2028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2,9M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700K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22%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88%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b/>
                <w:color w:val="003366"/>
                <w:sz w:val="20"/>
              </w:rPr>
              <w:t>2029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7,1M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1,8M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24%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90%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b/>
                <w:color w:val="003366"/>
                <w:sz w:val="20"/>
              </w:rPr>
              <w:t>2030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15M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4M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25%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92%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sz w:val="20"/>
              </w:rPr>
              <w:t>Année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Revenus (FCFA)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Multiple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Valorisation (FCFA)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b/>
                <w:color w:val="003366"/>
                <w:sz w:val="20"/>
              </w:rPr>
              <w:t>2026 (Série A)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1,8 milliard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10-15x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18 - 27 milliards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b/>
                <w:color w:val="003366"/>
                <w:sz w:val="20"/>
              </w:rPr>
              <w:t>2027 (Série B)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8,4 milliards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8-12x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67,2 - 100,8 milliards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b/>
                <w:color w:val="003366"/>
                <w:sz w:val="20"/>
              </w:rPr>
              <w:t>2028 (Série C)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24,6 milliards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6-10x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147,6 - 246 milliards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b/>
                <w:color w:val="003366"/>
                <w:sz w:val="20"/>
              </w:rPr>
              <w:t>2029 (Série D)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60 milliards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5-8x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300 - 480 milliards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b/>
                <w:color w:val="003366"/>
                <w:sz w:val="20"/>
              </w:rPr>
              <w:t>2030 (Exit)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132 milliards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4-6x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528 - 792 milliards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ListBullet"/>
      </w:pPr>
      <w:r>
        <w:rPr>
          <w:b/>
          <w:color w:val="003366"/>
        </w:rPr>
        <w:t>Valorisation</w:t>
      </w:r>
      <w:r>
        <w:t xml:space="preserve"> : 300 - 360 milliards FCFA</w:t>
      </w:r>
    </w:p>
    <w:p>
      <w:pPr>
        <w:pStyle w:val="ListBullet"/>
      </w:pPr>
      <w:r>
        <w:rPr>
          <w:b/>
          <w:color w:val="003366"/>
        </w:rPr>
        <w:t>ROI Série A</w:t>
      </w:r>
      <w:r>
        <w:t xml:space="preserve"> : 100-120x (si investissement 3 milliards à 3 milliards valuation)</w:t>
      </w:r>
    </w:p>
    <w:p>
      <w:pPr>
        <w:pStyle w:val="ListBullet"/>
      </w:pPr>
      <w:r>
        <w:rPr>
          <w:b/>
          <w:color w:val="003366"/>
        </w:rPr>
        <w:t>ROI Série B</w:t>
      </w:r>
      <w:r>
        <w:t xml:space="preserve"> : 20-30x</w:t>
      </w:r>
    </w:p>
    <w:p>
      <w:pPr>
        <w:pStyle w:val="ListBullet"/>
      </w:pPr>
      <w:r>
        <w:rPr>
          <w:b/>
          <w:color w:val="003366"/>
        </w:rPr>
        <w:t>ROI Série C</w:t>
      </w:r>
      <w:r>
        <w:t xml:space="preserve"> : 8-12x</w:t>
      </w:r>
    </w:p>
    <w:p/>
    <w:p>
      <w:pPr>
        <w:pStyle w:val="Heading4"/>
      </w:pPr>
      <w:r>
        <w:t>Scénario Optimiste (2030)</w:t>
      </w:r>
    </w:p>
    <w:p>
      <w:pPr>
        <w:pStyle w:val="ListBullet"/>
      </w:pPr>
      <w:r>
        <w:rPr>
          <w:b/>
          <w:color w:val="003366"/>
        </w:rPr>
        <w:t>Valorisation</w:t>
      </w:r>
      <w:r>
        <w:t xml:space="preserve"> : 480 - 600 milliards FCFA</w:t>
      </w:r>
    </w:p>
    <w:p>
      <w:pPr>
        <w:pStyle w:val="ListBullet"/>
      </w:pPr>
      <w:r>
        <w:rPr>
          <w:b/>
          <w:color w:val="003366"/>
        </w:rPr>
        <w:t>ROI Série A</w:t>
      </w:r>
      <w:r>
        <w:t xml:space="preserve"> : 160-200x</w:t>
      </w:r>
    </w:p>
    <w:p>
      <w:pPr>
        <w:pStyle w:val="ListBullet"/>
      </w:pPr>
      <w:r>
        <w:rPr>
          <w:b/>
          <w:color w:val="003366"/>
        </w:rPr>
        <w:t>ROI Série B</w:t>
      </w:r>
      <w:r>
        <w:t xml:space="preserve"> : 30-40x</w:t>
      </w:r>
    </w:p>
    <w:p>
      <w:pPr>
        <w:pStyle w:val="ListBullet"/>
      </w:pPr>
      <w:r>
        <w:rPr>
          <w:b/>
          <w:color w:val="003366"/>
        </w:rPr>
        <w:t>ROI Série C</w:t>
      </w:r>
      <w:r>
        <w:t xml:space="preserve"> : 12-16x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ANALYSE DE SENSIBILITÉ</w:t>
      </w:r>
    </w:p>
    <w:p/>
    <w:p>
      <w:pPr>
        <w:pStyle w:val="Heading3"/>
      </w:pPr>
      <w:r>
        <w:t>Scénario Pessimiste (-30% volume)</w:t>
      </w:r>
    </w:p>
    <w:p/>
    <w:p/>
    <w:p>
      <w:pPr>
        <w:pStyle w:val="Heading3"/>
      </w:pPr>
      <w:r>
        <w:t>Scénario Optimiste (+30% volume)</w:t>
      </w:r>
    </w:p>
    <w:p/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POINTS CLÉS POUR INVESTISSEURS</w:t>
      </w:r>
    </w:p>
    <w:p/>
    <w:p>
      <w:pPr>
        <w:pStyle w:val="Heading3"/>
      </w:pPr>
      <w:r>
        <w:t>Opportunité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7E6E6"/>
          </w:tcPr>
          <w:p>
            <w:r>
              <w:rPr>
                <w:b/>
                <w:sz w:val="22"/>
              </w:rPr>
              <w:t>Année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  <w:sz w:val="22"/>
              </w:rPr>
              <w:t>Produits Actifs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  <w:sz w:val="22"/>
              </w:rPr>
              <w:t>Revenus (FCFA)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  <w:sz w:val="22"/>
              </w:rPr>
              <w:t>EBITDA (FCFA)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003366"/>
                <w:sz w:val="20"/>
              </w:rPr>
              <w:t>2026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105K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1,26 milliard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-300M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003366"/>
                <w:sz w:val="20"/>
              </w:rPr>
              <w:t>2027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420K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5,88 milliards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+600M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003366"/>
                <w:sz w:val="20"/>
              </w:rPr>
              <w:t>2028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1,05M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17,22 milliards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+2,46 milliards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003366"/>
                <w:sz w:val="20"/>
              </w:rPr>
              <w:t>2029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2,45M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42 milliards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+8,4 milliards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003366"/>
                <w:sz w:val="20"/>
              </w:rPr>
              <w:t>2030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5,25M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92,4 milliards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+22,68 milliards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Année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Produits Actifs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Revenus (FCFA)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EBITDA (FCFA)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003366"/>
                <w:sz w:val="20"/>
              </w:rPr>
              <w:t>2026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195K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2,34 milliards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+50M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003366"/>
                <w:sz w:val="20"/>
              </w:rPr>
              <w:t>2027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780K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10,92 milliards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+2,76 milliards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003366"/>
                <w:sz w:val="20"/>
              </w:rPr>
              <w:t>2028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1,95M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31,98 milliards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+7,38 milliards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003366"/>
                <w:sz w:val="20"/>
              </w:rPr>
              <w:t>2029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4,55M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78 milliards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+21,6 milliards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003366"/>
                <w:sz w:val="20"/>
              </w:rPr>
              <w:t>2030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9,75M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171,6 milliards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+56,4 milliards</w:t>
            </w:r>
          </w:p>
        </w:tc>
      </w:tr>
    </w:tbl>
    <w:p>
      <w:pPr>
        <w:pStyle w:val="ListBullet"/>
      </w:pPr>
      <w:r>
        <w:rPr>
          <w:b/>
          <w:color w:val="003366"/>
        </w:rPr>
        <w:t>Marché en croissance</w:t>
      </w:r>
      <w:r>
        <w:t xml:space="preserve"> : 15-20% CAGR en Afrique</w:t>
      </w:r>
    </w:p>
    <w:p>
      <w:pPr>
        <w:pStyle w:val="ListBullet"/>
      </w:pPr>
      <w:r>
        <w:rPr>
          <w:b/>
          <w:color w:val="003366"/>
        </w:rPr>
        <w:t>Première mover</w:t>
      </w:r>
      <w:r>
        <w:t xml:space="preserve"> : Avantage concurrentiel</w:t>
      </w:r>
    </w:p>
    <w:p>
      <w:pPr>
        <w:pStyle w:val="ListBullet"/>
      </w:pPr>
      <w:r>
        <w:rPr>
          <w:b/>
          <w:color w:val="003366"/>
        </w:rPr>
        <w:t>Modèle éprouvé</w:t>
      </w:r>
      <w:r>
        <w:t xml:space="preserve"> : Inspiré des leaders mondiaux, adapté Afrique</w:t>
      </w:r>
    </w:p>
    <w:p>
      <w:pPr>
        <w:pStyle w:val="ListBullet"/>
      </w:pPr>
      <w:r>
        <w:rPr>
          <w:b/>
          <w:color w:val="003366"/>
        </w:rPr>
        <w:t>Multi-sources revenus</w:t>
      </w:r>
      <w:r>
        <w:t xml:space="preserve"> : Réduction risques</w:t>
      </w:r>
    </w:p>
    <w:p>
      <w:pPr>
        <w:pStyle w:val="ListBullet"/>
      </w:pPr>
      <w:r>
        <w:rPr>
          <w:b/>
          <w:color w:val="003366"/>
        </w:rPr>
        <w:t>Évaluation basée produits</w:t>
      </w:r>
      <w:r>
        <w:t xml:space="preserve"> : Métriques tangibles et scalables</w:t>
      </w:r>
    </w:p>
    <w:p>
      <w:pPr>
        <w:pStyle w:val="ListBullet"/>
      </w:pPr>
      <w:r>
        <w:rPr>
          <w:b/>
          <w:color w:val="003366"/>
        </w:rPr>
        <w:t>Paramètres réalistes</w:t>
      </w:r>
      <w:r>
        <w:t xml:space="preserve"> : Utilisation tokens équivalent ~2,000 FCFA/mois en moyenne, commissions 5%, livraisons 100+ FCFA</w:t>
      </w:r>
    </w:p>
    <w:p/>
    <w:p>
      <w:pPr>
        <w:pStyle w:val="Heading3"/>
      </w:pPr>
      <w:r>
        <w:t>Retour sur Investissement</w:t>
      </w:r>
    </w:p>
    <w:p>
      <w:pPr>
        <w:pStyle w:val="ListBullet"/>
      </w:pPr>
      <w:r>
        <w:rPr>
          <w:b/>
          <w:color w:val="003366"/>
        </w:rPr>
        <w:t>ROI Série A</w:t>
      </w:r>
      <w:r>
        <w:t xml:space="preserve"> : 10-15x sur 5 ans (conservateur)</w:t>
      </w:r>
    </w:p>
    <w:p>
      <w:pPr>
        <w:pStyle w:val="ListBullet"/>
      </w:pPr>
      <w:r>
        <w:rPr>
          <w:b/>
          <w:color w:val="003366"/>
        </w:rPr>
        <w:t>ROI Série A</w:t>
      </w:r>
      <w:r>
        <w:t xml:space="preserve"> : 20-30x sur 5 ans (optimiste)</w:t>
      </w:r>
    </w:p>
    <w:p>
      <w:pPr>
        <w:pStyle w:val="ListBullet"/>
      </w:pPr>
      <w:r>
        <w:rPr>
          <w:b/>
          <w:color w:val="003366"/>
        </w:rPr>
        <w:t>Timing</w:t>
      </w:r>
      <w:r>
        <w:t xml:space="preserve"> : Marché prêt, technologie mature</w:t>
      </w:r>
    </w:p>
    <w:p>
      <w:pPr>
        <w:pStyle w:val="ListBullet"/>
      </w:pPr>
      <w:r>
        <w:rPr>
          <w:b/>
          <w:color w:val="003366"/>
        </w:rPr>
        <w:t>Scalabilité</w:t>
      </w:r>
      <w:r>
        <w:t xml:space="preserve"> : Volume produits = croissance linéaire revenus</w:t>
      </w:r>
    </w:p>
    <w:p/>
    <w:p>
      <w:pPr>
        <w:pStyle w:val="Heading3"/>
      </w:pPr>
      <w:r>
        <w:t>Risques Mitigés</w:t>
      </w:r>
    </w:p>
    <w:p>
      <w:pPr>
        <w:pStyle w:val="ListBullet"/>
      </w:pPr>
      <w:r>
        <w:rPr>
          <w:b/>
          <w:color w:val="003366"/>
        </w:rPr>
        <w:t>Équipe expérimentée</w:t>
      </w:r>
      <w:r>
        <w:t xml:space="preserve"> : Expertise technique et business</w:t>
      </w:r>
    </w:p>
    <w:p>
      <w:pPr>
        <w:pStyle w:val="ListBullet"/>
      </w:pPr>
      <w:r>
        <w:rPr>
          <w:b/>
          <w:color w:val="003366"/>
        </w:rPr>
        <w:t>Technologie propriétaire</w:t>
      </w:r>
      <w:r>
        <w:t xml:space="preserve"> : Avantage durable</w:t>
      </w:r>
    </w:p>
    <w:p>
      <w:pPr>
        <w:pStyle w:val="ListBullet"/>
      </w:pPr>
      <w:r>
        <w:rPr>
          <w:b/>
          <w:color w:val="003366"/>
        </w:rPr>
        <w:t>Partenariats stratégiques</w:t>
      </w:r>
      <w:r>
        <w:t xml:space="preserve"> : Réduction risques opérationnels</w:t>
      </w:r>
    </w:p>
    <w:p>
      <w:pPr>
        <w:pStyle w:val="ListBullet"/>
      </w:pPr>
      <w:r>
        <w:rPr>
          <w:b/>
          <w:color w:val="003366"/>
        </w:rPr>
        <w:t>Diversification géographique</w:t>
      </w:r>
      <w:r>
        <w:t xml:space="preserve"> : Réduction risques pays</w:t>
      </w:r>
    </w:p>
    <w:p>
      <w:pPr>
        <w:pStyle w:val="ListBullet"/>
      </w:pPr>
      <w:r>
        <w:rPr>
          <w:b/>
          <w:color w:val="003366"/>
        </w:rPr>
        <w:t>Modèle basé produits</w:t>
      </w:r>
      <w:r>
        <w:t xml:space="preserve"> : Métriques claires et mesurables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RÉFÉRENCES ET SOURCES</w:t>
      </w:r>
    </w:p>
    <w:p/>
    <w:p>
      <w:pPr>
        <w:pStyle w:val="Heading3"/>
      </w:pPr>
      <w:r>
        <w:t>Données Marché</w:t>
      </w:r>
    </w:p>
    <w:p>
      <w:pPr>
        <w:pStyle w:val="ListBullet"/>
      </w:pPr>
      <w:r>
        <w:rPr>
          <w:b/>
          <w:color w:val="003366"/>
        </w:rPr>
        <w:t>TAM/SAM/SOM</w:t>
      </w:r>
      <w:r>
        <w:t xml:space="preserve"> : Voir document "REFERENCES_SOURCES.md" pour sources détaillées</w:t>
      </w:r>
    </w:p>
    <w:p>
      <w:pPr>
        <w:pStyle w:val="ListBullet"/>
      </w:pPr>
      <w:r>
        <w:rPr>
          <w:b/>
          <w:color w:val="003366"/>
        </w:rPr>
        <w:t>Croissance e-commerce</w:t>
      </w:r>
      <w:r>
        <w:t xml:space="preserve"> : Statista (2024), McKinsey &amp; Company (2023)</w:t>
      </w:r>
    </w:p>
    <w:p>
      <w:pPr>
        <w:pStyle w:val="ListBullet"/>
      </w:pPr>
      <w:r>
        <w:rPr>
          <w:b/>
          <w:color w:val="003366"/>
        </w:rPr>
        <w:t>Croissance livraison</w:t>
      </w:r>
      <w:r>
        <w:t xml:space="preserve"> : Research and Markets (2024), McKinsey &amp; Company (2023)</w:t>
      </w:r>
    </w:p>
    <w:p/>
    <w:p>
      <w:pPr>
        <w:pStyle w:val="Heading3"/>
      </w:pPr>
      <w:r>
        <w:t>Paramètres Économiques</w:t>
      </w:r>
    </w:p>
    <w:p>
      <w:pPr>
        <w:pStyle w:val="ListBullet"/>
      </w:pPr>
      <w:r>
        <w:rPr>
          <w:b/>
          <w:color w:val="003366"/>
        </w:rPr>
        <w:t>Utilisation tokens équivalent ~2,000 FCFA/mois</w:t>
      </w:r>
      <w:r>
        <w:t xml:space="preserve"> : Basé sur analyse marché local et benchmarks internationaux (système pay-per-use avec tokens)</w:t>
      </w:r>
    </w:p>
    <w:p>
      <w:pPr>
        <w:pStyle w:val="ListBullet"/>
      </w:pPr>
      <w:r>
        <w:rPr>
          <w:b/>
          <w:color w:val="003366"/>
        </w:rPr>
        <w:t>Commission livraison 100+ FCFA</w:t>
      </w:r>
      <w:r>
        <w:t xml:space="preserve"> : Analyse coûts opérationnels et prix marché</w:t>
      </w:r>
    </w:p>
    <w:p>
      <w:pPr>
        <w:pStyle w:val="ListBullet"/>
      </w:pPr>
      <w:r>
        <w:rPr>
          <w:b/>
          <w:color w:val="003366"/>
        </w:rPr>
        <w:t>Commission vente 5%</w:t>
      </w:r>
      <w:r>
        <w:t xml:space="preserve"> : Positionnement compétitif vs Jumia (15-20%), Glovo (25-30%)</w:t>
      </w:r>
    </w:p>
    <w:p>
      <w:pPr>
        <w:pStyle w:val="ListBullet"/>
      </w:pPr>
      <w:r>
        <w:rPr>
          <w:b/>
          <w:color w:val="003366"/>
        </w:rPr>
        <w:t>Prix vidéo publicitaire</w:t>
      </w:r>
      <w:r>
        <w:t xml:space="preserve"> : Analyse marché création contenu (15,000-30,000 FCFA)</w:t>
      </w:r>
    </w:p>
    <w:p/>
    <w:p>
      <w:pPr>
        <w:pStyle w:val="Heading3"/>
      </w:pPr>
      <w:r>
        <w:t>Benchmarks Sectoriels</w:t>
      </w:r>
    </w:p>
    <w:p>
      <w:pPr>
        <w:pStyle w:val="ListBullet"/>
      </w:pPr>
      <w:r>
        <w:rPr>
          <w:b/>
          <w:color w:val="003366"/>
        </w:rPr>
        <w:t>Take Rate moyen</w:t>
      </w:r>
      <w:r>
        <w:t xml:space="preserve"> : Analyse comparative Jumia, Glovo, Uber</w:t>
      </w:r>
    </w:p>
    <w:p>
      <w:pPr>
        <w:pStyle w:val="ListBullet"/>
      </w:pPr>
      <w:r>
        <w:rPr>
          <w:b/>
          <w:color w:val="003366"/>
        </w:rPr>
        <w:t>Panier moyen</w:t>
      </w:r>
      <w:r>
        <w:t xml:space="preserve"> : Statista (2024), Jumia Annual Report (2023)</w:t>
      </w:r>
    </w:p>
    <w:p>
      <w:pPr>
        <w:pStyle w:val="ListBullet"/>
      </w:pPr>
      <w:r>
        <w:rPr>
          <w:b/>
          <w:color w:val="003366"/>
        </w:rPr>
        <w:t>Taux de conversion</w:t>
      </w:r>
      <w:r>
        <w:t xml:space="preserve"> : Industry benchmarks e-commerce Afrique (Statista, 2024)</w:t>
      </w:r>
    </w:p>
    <w:p/>
    <w:p>
      <w:pPr>
        <w:pStyle w:val="Heading3"/>
      </w:pPr>
      <w:r>
        <w:t>Projections Yukpomnang</w:t>
      </w:r>
    </w:p>
    <w:p>
      <w:pPr/>
      <w:r>
        <w:t>Les projections sont basées sur :</w:t>
      </w:r>
    </w:p>
    <w:p>
      <w:pPr/>
      <w:r>
        <w:t xml:space="preserve">1. </w:t>
      </w:r>
      <w:r>
        <w:rPr>
          <w:b/>
          <w:color w:val="003366"/>
        </w:rPr>
        <w:t>Modèles économiques éprouvés</w:t>
      </w:r>
      <w:r>
        <w:t xml:space="preserve"> : Adaptation Jumia/Glovo au marché local</w:t>
      </w:r>
    </w:p>
    <w:p>
      <w:pPr/>
      <w:r>
        <w:t xml:space="preserve">2. </w:t>
      </w:r>
      <w:r>
        <w:rPr>
          <w:b/>
          <w:color w:val="003366"/>
        </w:rPr>
        <w:t>Données marché réelles</w:t>
      </w:r>
      <w:r>
        <w:t xml:space="preserve"> : Statista, GSMA, World Bank, McKinsey</w:t>
      </w:r>
    </w:p>
    <w:p>
      <w:pPr/>
      <w:r>
        <w:t xml:space="preserve">3. </w:t>
      </w:r>
      <w:r>
        <w:rPr>
          <w:b/>
          <w:color w:val="003366"/>
        </w:rPr>
        <w:t>Hypothèses conservatrices</w:t>
      </w:r>
      <w:r>
        <w:t xml:space="preserve"> : Scénarios réalistes et atteignables</w:t>
      </w:r>
    </w:p>
    <w:p>
      <w:pPr/>
      <w:r>
        <w:t xml:space="preserve">4. </w:t>
      </w:r>
      <w:r>
        <w:rPr>
          <w:b/>
          <w:color w:val="003366"/>
        </w:rPr>
        <w:t>Validation comparative</w:t>
      </w:r>
      <w:r>
        <w:t xml:space="preserve"> : Benchmarks avec leaders sectoriels</w:t>
      </w:r>
    </w:p>
    <w:p>
      <w:pPr/>
      <w:r>
        <w:t xml:space="preserve">5. </w:t>
      </w:r>
      <w:r>
        <w:rPr>
          <w:b/>
          <w:color w:val="003366"/>
        </w:rPr>
        <w:t>Paramètres réalistes</w:t>
      </w:r>
      <w:r>
        <w:t xml:space="preserve"> : Prix et commissions basés sur analyse marché local</w:t>
      </w:r>
    </w:p>
    <w:p/>
    <w:p>
      <w:pPr>
        <w:pStyle w:val="Heading3"/>
      </w:pPr>
      <w:r>
        <w:t>Taux de Change</w:t>
      </w:r>
    </w:p>
    <w:p>
      <w:pPr>
        <w:pStyle w:val="ListBullet"/>
      </w:pPr>
      <w:r>
        <w:rPr>
          <w:b/>
          <w:color w:val="003366"/>
        </w:rPr>
        <w:t>1 FCFA = 600 FCFA</w:t>
      </w:r>
      <w:r>
        <w:t xml:space="preserve"> : Banque Centrale des États de l'Afrique de l'Ouest (BCEAO), Banque des États de l'Afrique Centrale (BEAC) - Janvier 2026</w:t>
      </w:r>
    </w:p>
    <w:p/>
    <w:p>
      <w:pPr/>
      <w:r>
        <w:t>*Pour la liste complète des références, voir le document "REFERENCES_SOURCES.md"*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/>
      <w:r>
        <w:t>*Document confidentiel - Propriété de Yukpomnang - Janvier 2026*</w:t>
      </w:r>
    </w:p>
    <w:p/>
    <w:p>
      <w:pPr/>
      <w:r>
        <w:t>*Note : Tous les montants sont exprimés en FCFA (Franc CFA). Taux de change approximatif : 1 FCFA = 600 FCFA.*</w:t>
      </w:r>
    </w:p>
    <w:p/>
    <w:p>
      <w:pPr/>
      <w:r>
        <w:t>*Version 3.0 - Révisée avec paramètres économiques réalistes basés sur analyse marché local.*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8"/>
      </w:rPr>
      <w:t>Confidentiel - Janvier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808080"/>
        <w:sz w:val="18"/>
      </w:rPr>
      <w:t>Yukpomnang - Document Investisseurs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336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3366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