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FINANCIER 3 ANS - Yukpomnang</w:t>
      </w:r>
    </w:p>
    <w:p>
      <w:pPr>
        <w:pStyle w:val="Heading2"/>
      </w:pPr>
      <w:r>
        <w:t>Simulation Réaliste Charges et Production 2026-2028</w:t>
      </w:r>
    </w:p>
    <w:p/>
    <w:p>
      <w:pPr/>
      <w:r>
        <w:rPr>
          <w:b/>
          <w:color w:val="003366"/>
        </w:rPr>
        <w:t>Date</w:t>
      </w:r>
      <w:r>
        <w:t>: Janvier 2026</w:t>
      </w:r>
    </w:p>
    <w:p>
      <w:pPr/>
      <w:r>
        <w:rPr>
          <w:b/>
          <w:color w:val="003366"/>
        </w:rPr>
        <w:t>Version</w:t>
      </w:r>
      <w:r>
        <w:t>: 1.0</w:t>
      </w:r>
    </w:p>
    <w:p>
      <w:pPr/>
      <w:r>
        <w:rPr>
          <w:b/>
          <w:color w:val="003366"/>
        </w:rPr>
        <w:t>Confidentialité</w:t>
      </w:r>
      <w:r>
        <w:t>: Document confidentiel</w:t>
      </w:r>
    </w:p>
    <w:p>
      <w:pPr/>
      <w:r>
        <w:rPr>
          <w:b/>
          <w:color w:val="003366"/>
        </w:rPr>
        <w:t>Période</w:t>
      </w:r>
      <w:r>
        <w:t xml:space="preserve"> : 2026-2028 (3 ans)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VUE D'ENSEMBLE</w:t>
      </w:r>
    </w:p>
    <w:p/>
    <w:p>
      <w:pPr>
        <w:pStyle w:val="Heading3"/>
      </w:pPr>
      <w:r>
        <w:t>Objectifs Financiers 3 Ans</w:t>
      </w:r>
    </w:p>
    <w:p/>
    <w:p/>
    <w:p>
      <w:pPr>
        <w:pStyle w:val="Heading3"/>
      </w:pPr>
      <w:r>
        <w:t>Besoins de Financement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  <w:sz w:val="22"/>
              </w:rPr>
              <w:t>Année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2"/>
              </w:rPr>
              <w:t>Revenus (FCFA)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2"/>
              </w:rPr>
              <w:t>Charges (FCFA)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2"/>
              </w:rPr>
              <w:t>EBITDA (FCFA)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2"/>
              </w:rPr>
              <w:t>Marge EBITDA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03366"/>
                <w:sz w:val="20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1,2 milliard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1,4 milliard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-200 millions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-17%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03366"/>
                <w:sz w:val="20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6,5 milliards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5,85 milliards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+650 millions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+10%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03366"/>
                <w:sz w:val="20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 milliards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14,4 milliards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+3,6 milliards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+20%</w:t>
            </w:r>
          </w:p>
        </w:tc>
      </w:tr>
    </w:tbl>
    <w:p>
      <w:pPr>
        <w:pStyle w:val="ListBullet"/>
      </w:pPr>
      <w:r>
        <w:rPr>
          <w:b/>
          <w:color w:val="003366"/>
        </w:rPr>
        <w:t>Série A (Q1 2026)</w:t>
      </w:r>
      <w:r>
        <w:t xml:space="preserve"> : 2,1 - 3 milliards FCFA</w:t>
      </w:r>
    </w:p>
    <w:p>
      <w:pPr>
        <w:pStyle w:val="ListBullet"/>
      </w:pPr>
      <w:r>
        <w:rPr>
          <w:b/>
          <w:color w:val="003366"/>
        </w:rPr>
        <w:t>Série B (Q3 2027)</w:t>
      </w:r>
      <w:r>
        <w:t xml:space="preserve"> : 7,2 - 9 milliards FCFA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PRODUCTION/REVENUS DÉTAILLÉS (2026-2028)</w:t>
      </w:r>
    </w:p>
    <w:p/>
    <w:p>
      <w:pPr>
        <w:pStyle w:val="Heading3"/>
      </w:pPr>
      <w:r>
        <w:t>2026 - Année 1 : Lancement Cameroun</w:t>
      </w:r>
    </w:p>
    <w:p/>
    <w:p>
      <w:pPr>
        <w:pStyle w:val="Heading4"/>
      </w:pPr>
      <w:r>
        <w:t>Production Mensuelle (Croissance Progressive)</w:t>
      </w:r>
    </w:p>
    <w:p/>
    <w:p/>
    <w:p>
      <w:pPr>
        <w:pStyle w:val="Heading4"/>
      </w:pPr>
      <w:r>
        <w:t>Revenus par Source 2026</w:t>
      </w:r>
    </w:p>
    <w:p/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2027 - Année 2 : Expansion 3 Pays</w:t>
      </w:r>
    </w:p>
    <w:p/>
    <w:p>
      <w:pPr>
        <w:pStyle w:val="Heading4"/>
      </w:pPr>
      <w:r>
        <w:t>Production Mensuelle (Stabilisation)</w:t>
      </w:r>
    </w:p>
    <w:p/>
    <w:p/>
    <w:p>
      <w:pPr>
        <w:pStyle w:val="Heading4"/>
      </w:pPr>
      <w:r>
        <w:t>Revenus par Source 2027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Mois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Produits Actifs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Utilisateurs Actifs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Livraisons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Ventes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GMV (FCFA)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Revenus (FCFA)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Avril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200M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Mai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350M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45M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Juin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550M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75M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Juillet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750M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Août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950M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125M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Septembre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1,1 milliard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140M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Octobre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23,000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1,3 milliard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Novembre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26,000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1,5 milliard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Décembre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115,000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1,7 milliard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30,000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200,000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800,000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600,000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12 milliards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1,2 milliard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Volume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Revenu/Unité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Revenus (FCFA)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% Total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Achat Tokens Produits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~24,000/an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720 millions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Commissions Livraisons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150 FCFA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120 millions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Commissions Ventes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240 millions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Publicité &amp; Vidéos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 millions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Services Spécialisés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200 FCFA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 millions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1,2 milliard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100%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Mois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Produits Actifs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Utilisateurs Actifs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Livraisons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Ventes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GMV (FCFA)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Revenus (FCFA)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Janvier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Février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230,000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450M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Mars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280,000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220,000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3,8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Avril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320,000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650M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Mai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280,000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5,2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750M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Juin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380,000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310,000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5,8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850M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Juillet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330,000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6,2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Août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420,000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950M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Septembre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110,000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440,000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370,000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6,8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Octobre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115,000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780,000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380,000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1,05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Novembre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118,000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790,000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460,000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390,000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7,2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1,1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Décembre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470,000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1,15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120,000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800,000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4,4M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3,6M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66 milliards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9,1 milliards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Volume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Revenu/Unité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Revenus (FCFA)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% Total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Achat Tokens Produits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~24,000/an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2,88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44%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Commissions Livraisons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3,5M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150 FCFA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525 millions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Commissions Ventes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2,5M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 milliard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Publicité &amp; Vidéos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1,8 milliard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28%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Services Spécialisés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200 FCFA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 millions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E-Commerce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1,2M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480 millions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6,5 milliards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100%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/>
      <w:r>
        <w:t>*Note : Ajustement pour revenus totaux 6,5 milliards (vs 9,1 milliards calculés) - Prise en compte saisonnalité et réalisme*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2028 - Année 3 : Expansion Francophone</w:t>
      </w:r>
    </w:p>
    <w:p/>
    <w:p>
      <w:pPr>
        <w:pStyle w:val="Heading4"/>
      </w:pPr>
      <w:r>
        <w:t>Production Mensuelle (Croissance Continue)</w:t>
      </w:r>
    </w:p>
    <w:p/>
    <w:p/>
    <w:p>
      <w:pPr>
        <w:pStyle w:val="Heading4"/>
      </w:pPr>
      <w:r>
        <w:t>Revenus par Source 2028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Mois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Produits Actifs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Utilisateurs Actifs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Livraisons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Ventes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GMV (FCFA)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Revenus (FCFA)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Janvier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1,2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Février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1,000,000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1,35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Mars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170,000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1,100,000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1,5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Avril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1,250,000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1,7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Mai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230,000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1,400,000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1,9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Juin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260,000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1,550,000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2,1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Juillet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290,000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1,700,000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1,050,000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2,3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Août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320,000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1,850,000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1,150,000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1,050,000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2,5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Septembre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2,000,000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1,250,000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1,150,000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19,5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2,7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Octobre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370,000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2,200,000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1,350,000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1,250,000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21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2,9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Novembre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385,000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2,400,000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1,450,000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1,350,000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22,5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3,1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Décembre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2,500,000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1,550,000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1,450,000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24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3,3 milliard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400,000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2,500,000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12,6M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11,4M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194 milliards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27,6 milliards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Volume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Revenu/Unité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Revenus (FCFA)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% Total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Achat Tokens Produits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~24,000/an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9,6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53%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Commissions Livraisons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150 FCFA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1,5 milliard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Commissions Ventes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400 FCFA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3,2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Publicité &amp; Vidéos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19%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Services Spécialisés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1,5M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200 FCFA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300 millions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18 milliards</w:t>
            </w:r>
          </w:p>
        </w:tc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100%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/>
      <w:r>
        <w:t>*Note : Ajustement pour revenus totaux 18 milliards (vs 27,6 milliards calculés) - Prise en compte réalisme et optimisation*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CHARGES DÉTAILLÉES (2026-2028)</w:t>
      </w:r>
    </w:p>
    <w:p/>
    <w:p>
      <w:pPr>
        <w:pStyle w:val="Heading3"/>
      </w:pPr>
      <w:r>
        <w:t>2026 - Charges Annuelles</w:t>
      </w:r>
    </w:p>
    <w:p/>
    <w:p>
      <w:pPr>
        <w:pStyle w:val="Heading4"/>
      </w:pPr>
      <w:r>
        <w:t>Charges Variables (45% des revenus = 540 millions FCFA)</w:t>
      </w:r>
    </w:p>
    <w:p/>
    <w:p/>
    <w:p>
      <w:pPr>
        <w:pStyle w:val="Heading4"/>
      </w:pPr>
      <w:r>
        <w:t>Charges Fixes (71% des revenus = 860 millions FCFA)</w:t>
      </w:r>
    </w:p>
    <w:p/>
    <w:p/>
    <w:p>
      <w:pPr>
        <w:pStyle w:val="Heading4"/>
      </w:pPr>
      <w:r>
        <w:t>Total Charges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Poste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Montant (FCFA)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Commissions Coursiers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60% des revenus livraison (120M)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Coûts 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OpenAI, embeddings, génération vidéo (par transaction)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Frais Transaction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Paiements (3% GMV = 3% × 12 milliards)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Support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4% des revenus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Marketing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CAC, campagnes digitales (variable selon acquisition)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Autres Variables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104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Frais divers, commissions partenaires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TOTAL VARIABLES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540 millions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45%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Montant (FCFA)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Personnel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60-120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5-10 personnes (phase initiale) → Extension progressive selon croissance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Infrastructure Cloud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Cloud, serveurs (8%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Marketing Fixe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Branding, événements, PR (6%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Bureaux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Locations, équipement (3%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Légal &amp;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Comptabilité, légal, assurances (2%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Outils &amp; Licences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Software, outils développement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TOTAL FIXES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860 millions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71%</w:t>
            </w:r>
          </w:p>
        </w:tc>
      </w:tr>
    </w:tbl>
    <w:p>
      <w:pPr>
        <w:pStyle w:val="ListBullet"/>
      </w:pPr>
      <w:r>
        <w:rPr>
          <w:b/>
          <w:color w:val="003366"/>
        </w:rPr>
        <w:t>Charges totaux</w:t>
      </w:r>
      <w:r>
        <w:t xml:space="preserve"> : 1,4 milliard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-200 millions FCFA (investissement croissance)</w:t>
      </w:r>
    </w:p>
    <w:p>
      <w:pPr>
        <w:pStyle w:val="ListBullet"/>
      </w:pPr>
      <w:r>
        <w:rPr>
          <w:b/>
          <w:color w:val="003366"/>
        </w:rPr>
        <w:t>Marge brute</w:t>
      </w:r>
      <w:r>
        <w:t xml:space="preserve"> : 55% (revenus - coûts variables)</w:t>
      </w:r>
    </w:p>
    <w:p>
      <w:pPr>
        <w:pStyle w:val="ListBullet"/>
      </w:pPr>
      <w:r>
        <w:rPr>
          <w:b/>
          <w:color w:val="003366"/>
        </w:rPr>
        <w:t>Burn rate mensuel</w:t>
      </w:r>
      <w:r>
        <w:t xml:space="preserve"> : 117 millions FCFA (moyenne)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2027 - Charges Annuelles</w:t>
      </w:r>
    </w:p>
    <w:p/>
    <w:p>
      <w:pPr>
        <w:pStyle w:val="Heading4"/>
      </w:pPr>
      <w:r>
        <w:t>Charges Variables (42% des revenus = 2,73 milliards FCFA)</w:t>
      </w:r>
    </w:p>
    <w:p/>
    <w:p/>
    <w:p>
      <w:pPr>
        <w:pStyle w:val="Heading4"/>
      </w:pPr>
      <w:r>
        <w:t>Charges Fixes (48% des revenus = 3,12 milliards FCFA)</w:t>
      </w:r>
    </w:p>
    <w:p/>
    <w:p/>
    <w:p>
      <w:pPr>
        <w:pStyle w:val="Heading4"/>
      </w:pPr>
      <w:r>
        <w:t>Total Charges 2027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Poste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Montant (FCFA)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Commissions Coursiers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315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60% des revenus livraison (525M)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Coûts 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325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OpenAI, embeddings, génération vidéo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Frais Transaction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198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Paiements (3% GMV = 3% × 66 milliards)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Support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4% des revenus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Marketing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1,3 milliard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CAC, campagnes digitales (20%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Autres Variables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332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Frais divers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TOTAL VARIABLES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2,73 milliards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42%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Montant (FCFA)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Personnel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1,2-1,8 milliards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40-60 personnes (extension progressive, focus agents commerciaux)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Infrastructure Cloud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Cloud, serveurs (8%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Marketing Fixe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Branding, événements, PR (6%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Bureaux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195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Locations 3 pays (3%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Légal &amp;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Comptabilité, légal (2%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Outils &amp; Licences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485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Software, outils développement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TOTAL FIXES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3,12 milliards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48%</w:t>
            </w:r>
          </w:p>
        </w:tc>
      </w:tr>
    </w:tbl>
    <w:p>
      <w:pPr>
        <w:pStyle w:val="ListBullet"/>
      </w:pPr>
      <w:r>
        <w:rPr>
          <w:b/>
          <w:color w:val="003366"/>
        </w:rPr>
        <w:t>Charges totaux</w:t>
      </w:r>
      <w:r>
        <w:t xml:space="preserve"> : 5,85 milliards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+650 millions FCFA (10% marge)</w:t>
      </w:r>
    </w:p>
    <w:p>
      <w:pPr>
        <w:pStyle w:val="ListBullet"/>
      </w:pPr>
      <w:r>
        <w:rPr>
          <w:b/>
          <w:color w:val="003366"/>
        </w:rPr>
        <w:t>Marge brute</w:t>
      </w:r>
      <w:r>
        <w:t xml:space="preserve"> : 58%</w:t>
      </w:r>
    </w:p>
    <w:p>
      <w:pPr>
        <w:pStyle w:val="ListBullet"/>
      </w:pPr>
      <w:r>
        <w:rPr>
          <w:b/>
          <w:color w:val="003366"/>
        </w:rPr>
        <w:t>Burn rate mensuel</w:t>
      </w:r>
      <w:r>
        <w:t xml:space="preserve"> : 488 millions FCFA (moyenne)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2028 - Charges Annuelles</w:t>
      </w:r>
    </w:p>
    <w:p/>
    <w:p>
      <w:pPr>
        <w:pStyle w:val="Heading4"/>
      </w:pPr>
      <w:r>
        <w:t>Charges Variables (40% des revenus = 7,2 milliards FCFA)</w:t>
      </w:r>
    </w:p>
    <w:p/>
    <w:p/>
    <w:p>
      <w:pPr>
        <w:pStyle w:val="Heading4"/>
      </w:pPr>
      <w:r>
        <w:t>Charges Fixes (40% des revenus = 7,2 milliards FCFA)</w:t>
      </w:r>
    </w:p>
    <w:p/>
    <w:p/>
    <w:p>
      <w:pPr>
        <w:pStyle w:val="Heading4"/>
      </w:pPr>
      <w:r>
        <w:t>Total Charges 2028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Poste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Montant (FCFA)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2"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Commissions Coursiers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60% des revenus livraison (1,5 milliard)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Coûts 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OpenAI, embeddings, génération vidéo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Frais Transaction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582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Paiements (3% GMV = 3% × 194 milliards)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Support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4% des revenus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Marketing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3,6 milliards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CAC, campagnes digitales (20%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Autres Variables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1,098 milliards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Frais divers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TOTAL VARIABLES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7,2 milliards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40%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Montant (FCFA)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Personnel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4,5-6 milliards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150-200 personnes (extension complète, agents commerciaux 30-40 personnes)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Infrastructure Cloud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1,44 milliard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Cloud, serveurs (8%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Marketing Fixe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1,08 milliard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Branding, événements, PR (6%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Bureaux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Locations 10+ pays (3%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Légal &amp;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Comptabilité, légal (2% revenus)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Outils &amp; Licences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780 millions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Software, outils développement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TOTAL FIXES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7,2 milliards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  <w:sz w:val="20"/>
              </w:rPr>
              <w:t>40%</w:t>
            </w:r>
          </w:p>
        </w:tc>
      </w:tr>
    </w:tbl>
    <w:p>
      <w:pPr>
        <w:pStyle w:val="ListBullet"/>
      </w:pPr>
      <w:r>
        <w:rPr>
          <w:b/>
          <w:color w:val="003366"/>
        </w:rPr>
        <w:t>Charges totaux</w:t>
      </w:r>
      <w:r>
        <w:t xml:space="preserve"> : 14,4 milliards FCFA</w:t>
      </w:r>
    </w:p>
    <w:p>
      <w:pPr>
        <w:pStyle w:val="ListBullet"/>
      </w:pPr>
      <w:r>
        <w:rPr>
          <w:b/>
          <w:color w:val="003366"/>
        </w:rPr>
        <w:t>EBITDA</w:t>
      </w:r>
      <w:r>
        <w:t xml:space="preserve"> : +3,6 milliards FCFA (20% marge)</w:t>
      </w:r>
    </w:p>
    <w:p>
      <w:pPr>
        <w:pStyle w:val="ListBullet"/>
      </w:pPr>
      <w:r>
        <w:rPr>
          <w:b/>
          <w:color w:val="003366"/>
        </w:rPr>
        <w:t>Marge brute</w:t>
      </w:r>
      <w:r>
        <w:t xml:space="preserve"> : 60%</w:t>
      </w:r>
    </w:p>
    <w:p>
      <w:pPr>
        <w:pStyle w:val="ListBullet"/>
      </w:pPr>
      <w:r>
        <w:rPr>
          <w:b/>
          <w:color w:val="003366"/>
        </w:rPr>
        <w:t>Burn rate mensuel</w:t>
      </w:r>
      <w:r>
        <w:t xml:space="preserve"> : 1,2 milliard FCFA (moyenne)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CASH FLOW ET TRÉSORERIE (2026-2028)</w:t>
      </w:r>
    </w:p>
    <w:p/>
    <w:p>
      <w:pPr>
        <w:pStyle w:val="Heading3"/>
      </w:pPr>
      <w:r>
        <w:t>2026 - Cash Flow</w:t>
      </w:r>
    </w:p>
    <w:p/>
    <w:p>
      <w:pPr>
        <w:pStyle w:val="Heading4"/>
      </w:pPr>
      <w:r>
        <w:t>Entrées</w:t>
      </w:r>
    </w:p>
    <w:p>
      <w:pPr>
        <w:pStyle w:val="ListBullet"/>
      </w:pPr>
      <w:r>
        <w:rPr>
          <w:b/>
          <w:color w:val="003366"/>
        </w:rPr>
        <w:t>Série A</w:t>
      </w:r>
      <w:r>
        <w:t xml:space="preserve"> : 2,5 milliards FCFA (réception Q1)</w:t>
      </w:r>
    </w:p>
    <w:p>
      <w:pPr>
        <w:pStyle w:val="ListBullet"/>
      </w:pPr>
      <w:r>
        <w:rPr>
          <w:b/>
          <w:color w:val="003366"/>
        </w:rPr>
        <w:t>Revenus</w:t>
      </w:r>
      <w:r>
        <w:t xml:space="preserve"> : 1,2 milliard FCFA (répartis sur 9 mois)</w:t>
      </w:r>
    </w:p>
    <w:p>
      <w:pPr>
        <w:pStyle w:val="ListBullet"/>
      </w:pPr>
      <w:r>
        <w:rPr>
          <w:b/>
          <w:color w:val="003366"/>
        </w:rPr>
        <w:t>Total Entrées</w:t>
      </w:r>
      <w:r>
        <w:t xml:space="preserve"> : 3,7 milliards FCFA</w:t>
      </w:r>
    </w:p>
    <w:p/>
    <w:p>
      <w:pPr>
        <w:pStyle w:val="Heading4"/>
      </w:pPr>
      <w:r>
        <w:t>Sorties</w:t>
      </w:r>
    </w:p>
    <w:p>
      <w:pPr>
        <w:pStyle w:val="ListBullet"/>
      </w:pPr>
      <w:r>
        <w:rPr>
          <w:b/>
          <w:color w:val="003366"/>
        </w:rPr>
        <w:t>Charges</w:t>
      </w:r>
      <w:r>
        <w:t xml:space="preserve"> : 1,4 milliard FCFA</w:t>
      </w:r>
    </w:p>
    <w:p>
      <w:pPr>
        <w:pStyle w:val="ListBullet"/>
      </w:pPr>
      <w:r>
        <w:rPr>
          <w:b/>
          <w:color w:val="003366"/>
        </w:rPr>
        <w:t>Investissements</w:t>
      </w:r>
      <w:r>
        <w:t xml:space="preserve"> : 500 millions FCFA (équipement, bureaux)</w:t>
      </w:r>
    </w:p>
    <w:p>
      <w:pPr>
        <w:pStyle w:val="ListBullet"/>
      </w:pPr>
      <w:r>
        <w:rPr>
          <w:b/>
          <w:color w:val="003366"/>
        </w:rPr>
        <w:t>Total Sorties</w:t>
      </w:r>
      <w:r>
        <w:t xml:space="preserve"> : 1,9 milliard FCFA</w:t>
      </w:r>
    </w:p>
    <w:p/>
    <w:p>
      <w:pPr>
        <w:pStyle w:val="Heading4"/>
      </w:pPr>
      <w:r>
        <w:t>Cash Flow Net</w:t>
      </w:r>
    </w:p>
    <w:p>
      <w:pPr>
        <w:pStyle w:val="ListBullet"/>
      </w:pPr>
      <w:r>
        <w:rPr>
          <w:b/>
          <w:color w:val="003366"/>
        </w:rPr>
        <w:t>Cash Flow</w:t>
      </w:r>
      <w:r>
        <w:t xml:space="preserve"> : +1,8 milliard FCFA</w:t>
      </w:r>
    </w:p>
    <w:p>
      <w:pPr>
        <w:pStyle w:val="ListBullet"/>
      </w:pPr>
      <w:r>
        <w:rPr>
          <w:b/>
          <w:color w:val="003366"/>
        </w:rPr>
        <w:t>Trésorerie fin 2026</w:t>
      </w:r>
      <w:r>
        <w:t xml:space="preserve"> : 1,8 milliard FCFA</w:t>
      </w:r>
    </w:p>
    <w:p>
      <w:pPr>
        <w:pStyle w:val="ListBullet"/>
      </w:pPr>
      <w:r>
        <w:rPr>
          <w:b/>
          <w:color w:val="003366"/>
        </w:rPr>
        <w:t>Runway</w:t>
      </w:r>
      <w:r>
        <w:t xml:space="preserve"> : 15-18 mois (jusqu'à Série B)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2027 - Cash Flow</w:t>
      </w:r>
    </w:p>
    <w:p/>
    <w:p>
      <w:pPr>
        <w:pStyle w:val="Heading4"/>
      </w:pPr>
      <w:r>
        <w:t>Entrées</w:t>
      </w:r>
    </w:p>
    <w:p>
      <w:pPr>
        <w:pStyle w:val="ListBullet"/>
      </w:pPr>
      <w:r>
        <w:rPr>
          <w:b/>
          <w:color w:val="003366"/>
        </w:rPr>
        <w:t>Série B</w:t>
      </w:r>
      <w:r>
        <w:t xml:space="preserve"> : 8 milliards FCFA (réception Q3)</w:t>
      </w:r>
    </w:p>
    <w:p>
      <w:pPr>
        <w:pStyle w:val="ListBullet"/>
      </w:pPr>
      <w:r>
        <w:rPr>
          <w:b/>
          <w:color w:val="003366"/>
        </w:rPr>
        <w:t>Revenus</w:t>
      </w:r>
      <w:r>
        <w:t xml:space="preserve"> : 6,5 milliards FCFA</w:t>
      </w:r>
    </w:p>
    <w:p>
      <w:pPr>
        <w:pStyle w:val="ListBullet"/>
      </w:pPr>
      <w:r>
        <w:rPr>
          <w:b/>
          <w:color w:val="003366"/>
        </w:rPr>
        <w:t>Total Entrées</w:t>
      </w:r>
      <w:r>
        <w:t xml:space="preserve"> : 14,5 milliards FCFA</w:t>
      </w:r>
    </w:p>
    <w:p/>
    <w:p>
      <w:pPr>
        <w:pStyle w:val="Heading4"/>
      </w:pPr>
      <w:r>
        <w:t>Sorties</w:t>
      </w:r>
    </w:p>
    <w:p>
      <w:pPr>
        <w:pStyle w:val="ListBullet"/>
      </w:pPr>
      <w:r>
        <w:rPr>
          <w:b/>
          <w:color w:val="003366"/>
        </w:rPr>
        <w:t>Charges</w:t>
      </w:r>
      <w:r>
        <w:t xml:space="preserve"> : 5,85 milliards FCFA</w:t>
      </w:r>
    </w:p>
    <w:p>
      <w:pPr>
        <w:pStyle w:val="ListBullet"/>
      </w:pPr>
      <w:r>
        <w:rPr>
          <w:b/>
          <w:color w:val="003366"/>
        </w:rPr>
        <w:t>Investissements</w:t>
      </w:r>
      <w:r>
        <w:t xml:space="preserve"> : 1,5 milliard FCFA (expansion, bureaux)</w:t>
      </w:r>
    </w:p>
    <w:p>
      <w:pPr>
        <w:pStyle w:val="ListBullet"/>
      </w:pPr>
      <w:r>
        <w:rPr>
          <w:b/>
          <w:color w:val="003366"/>
        </w:rPr>
        <w:t>Total Sorties</w:t>
      </w:r>
      <w:r>
        <w:t xml:space="preserve"> : 7,35 milliards FCFA</w:t>
      </w:r>
    </w:p>
    <w:p/>
    <w:p>
      <w:pPr>
        <w:pStyle w:val="Heading4"/>
      </w:pPr>
      <w:r>
        <w:t>Cash Flow Net</w:t>
      </w:r>
    </w:p>
    <w:p>
      <w:pPr>
        <w:pStyle w:val="ListBullet"/>
      </w:pPr>
      <w:r>
        <w:rPr>
          <w:b/>
          <w:color w:val="003366"/>
        </w:rPr>
        <w:t>Cash Flow</w:t>
      </w:r>
      <w:r>
        <w:t xml:space="preserve"> : +7,15 milliards FCFA</w:t>
      </w:r>
    </w:p>
    <w:p>
      <w:pPr>
        <w:pStyle w:val="ListBullet"/>
      </w:pPr>
      <w:r>
        <w:rPr>
          <w:b/>
          <w:color w:val="003366"/>
        </w:rPr>
        <w:t>Trésorerie fin 2027</w:t>
      </w:r>
      <w:r>
        <w:t xml:space="preserve"> : 8,95 milliards FCFA</w:t>
      </w:r>
    </w:p>
    <w:p>
      <w:pPr>
        <w:pStyle w:val="ListBullet"/>
      </w:pPr>
      <w:r>
        <w:rPr>
          <w:b/>
          <w:color w:val="003366"/>
        </w:rPr>
        <w:t>Runway</w:t>
      </w:r>
      <w:r>
        <w:t xml:space="preserve"> : 12-15 mois (jusqu'à Série C)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2028 - Cash Flow</w:t>
      </w:r>
    </w:p>
    <w:p/>
    <w:p>
      <w:pPr>
        <w:pStyle w:val="Heading4"/>
      </w:pPr>
      <w:r>
        <w:t>Entrées</w:t>
      </w:r>
    </w:p>
    <w:p>
      <w:pPr>
        <w:pStyle w:val="ListBullet"/>
      </w:pPr>
      <w:r>
        <w:rPr>
          <w:b/>
          <w:color w:val="003366"/>
        </w:rPr>
        <w:t>Série C</w:t>
      </w:r>
      <w:r>
        <w:t xml:space="preserve"> : 21 milliards FCFA (réception Q2)</w:t>
      </w:r>
    </w:p>
    <w:p>
      <w:pPr>
        <w:pStyle w:val="ListBullet"/>
      </w:pPr>
      <w:r>
        <w:rPr>
          <w:b/>
          <w:color w:val="003366"/>
        </w:rPr>
        <w:t>Revenus</w:t>
      </w:r>
      <w:r>
        <w:t xml:space="preserve"> : 18 milliards FCFA</w:t>
      </w:r>
    </w:p>
    <w:p>
      <w:pPr>
        <w:pStyle w:val="ListBullet"/>
      </w:pPr>
      <w:r>
        <w:rPr>
          <w:b/>
          <w:color w:val="003366"/>
        </w:rPr>
        <w:t>Total Entrées</w:t>
      </w:r>
      <w:r>
        <w:t xml:space="preserve"> : 39 milliards FCFA</w:t>
      </w:r>
    </w:p>
    <w:p/>
    <w:p>
      <w:pPr>
        <w:pStyle w:val="Heading4"/>
      </w:pPr>
      <w:r>
        <w:t>Sorties</w:t>
      </w:r>
    </w:p>
    <w:p>
      <w:pPr>
        <w:pStyle w:val="ListBullet"/>
      </w:pPr>
      <w:r>
        <w:rPr>
          <w:b/>
          <w:color w:val="003366"/>
        </w:rPr>
        <w:t>Charges</w:t>
      </w:r>
      <w:r>
        <w:t xml:space="preserve"> : 14,4 milliards FCFA</w:t>
      </w:r>
    </w:p>
    <w:p>
      <w:pPr>
        <w:pStyle w:val="ListBullet"/>
      </w:pPr>
      <w:r>
        <w:rPr>
          <w:b/>
          <w:color w:val="003366"/>
        </w:rPr>
        <w:t>Investissements</w:t>
      </w:r>
      <w:r>
        <w:t xml:space="preserve"> : 3 milliards FCFA (expansion massive)</w:t>
      </w:r>
    </w:p>
    <w:p>
      <w:pPr>
        <w:pStyle w:val="ListBullet"/>
      </w:pPr>
      <w:r>
        <w:rPr>
          <w:b/>
          <w:color w:val="003366"/>
        </w:rPr>
        <w:t>Total Sorties</w:t>
      </w:r>
      <w:r>
        <w:t xml:space="preserve"> : 17,4 milliards FCFA</w:t>
      </w:r>
    </w:p>
    <w:p/>
    <w:p>
      <w:pPr>
        <w:pStyle w:val="Heading4"/>
      </w:pPr>
      <w:r>
        <w:t>Cash Flow Net</w:t>
      </w:r>
    </w:p>
    <w:p>
      <w:pPr>
        <w:pStyle w:val="ListBullet"/>
      </w:pPr>
      <w:r>
        <w:rPr>
          <w:b/>
          <w:color w:val="003366"/>
        </w:rPr>
        <w:t>Cash Flow</w:t>
      </w:r>
      <w:r>
        <w:t xml:space="preserve"> : +21,6 milliards FCFA</w:t>
      </w:r>
    </w:p>
    <w:p>
      <w:pPr>
        <w:pStyle w:val="ListBullet"/>
      </w:pPr>
      <w:r>
        <w:rPr>
          <w:b/>
          <w:color w:val="003366"/>
        </w:rPr>
        <w:t>Trésorerie fin 2028</w:t>
      </w:r>
      <w:r>
        <w:t xml:space="preserve"> : 30,55 milliards FCFA</w:t>
      </w:r>
    </w:p>
    <w:p>
      <w:pPr>
        <w:pStyle w:val="ListBullet"/>
      </w:pPr>
      <w:r>
        <w:rPr>
          <w:b/>
          <w:color w:val="003366"/>
        </w:rPr>
        <w:t>Runway</w:t>
      </w:r>
      <w:r>
        <w:t xml:space="preserve"> : 18-24 mois (jusqu'à Série D)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TABLEAU DE BORD FINANCIER 3 ANS</w:t>
      </w:r>
    </w:p>
    <w:p/>
    <w:p>
      <w:pPr>
        <w:pStyle w:val="Heading3"/>
      </w:pPr>
      <w:r>
        <w:t>Synthèse Annuelle</w:t>
      </w:r>
    </w:p>
    <w:p/>
    <w:p/>
    <w:p>
      <w:pPr>
        <w:pStyle w:val="Heading3"/>
      </w:pPr>
      <w:r>
        <w:t>Ratios Clés</w:t>
      </w:r>
    </w:p>
    <w:p/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POINTS DE VIGILANCE</w:t>
      </w:r>
    </w:p>
    <w:p/>
    <w:p>
      <w:pPr>
        <w:pStyle w:val="Heading3"/>
      </w:pPr>
      <w:r>
        <w:t>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Année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Revenus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Charges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EBITDA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Marge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Trésorerie</w:t>
            </w:r>
          </w:p>
        </w:tc>
        <w:tc>
          <w:tcPr>
            <w:tcW w:type="dxa" w:w="1234"/>
            <w:shd w:fill="E7E6E6"/>
          </w:tcPr>
          <w:p>
            <w:r>
              <w:rPr>
                <w:b/>
                <w:sz w:val="22"/>
              </w:rPr>
              <w:t>Runway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1,2 milliard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1,4 milliard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-200M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-17%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1,8 milliard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15-18 mois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2027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6,5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5,85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+650M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+10%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8,95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12-15 mois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2028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14,4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+3,6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+20%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30,55 milliards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18-24 mois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Ratio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Marge Brute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58%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Marge EBITDA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-17%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+10%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+20%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Charges/Revenus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117%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CAC Payback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8-10 mois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6-8 mois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4-6 mois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/>
                <w:color w:val="003366"/>
                <w:sz w:val="20"/>
              </w:rPr>
              <w:t>LTV/CAC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15x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ListBullet"/>
      </w:pPr>
      <w:r>
        <w:rPr>
          <w:b/>
          <w:color w:val="003366"/>
        </w:rPr>
        <w:t>Burn rate</w:t>
      </w:r>
      <w:r>
        <w:t xml:space="preserve"> : 117M FCFA/mois - Surveiller trésorerie</w:t>
      </w:r>
    </w:p>
    <w:p>
      <w:pPr>
        <w:pStyle w:val="ListBullet"/>
      </w:pPr>
      <w:r>
        <w:rPr>
          <w:b/>
          <w:color w:val="003366"/>
        </w:rPr>
        <w:t>Croissance produits</w:t>
      </w:r>
      <w:r>
        <w:t xml:space="preserve"> : Objectif 30K - Suivi mensuel</w:t>
      </w:r>
    </w:p>
    <w:p>
      <w:pPr>
        <w:pStyle w:val="ListBullet"/>
      </w:pPr>
      <w:r>
        <w:rPr>
          <w:b/>
          <w:color w:val="003366"/>
        </w:rPr>
        <w:t>CAC</w:t>
      </w:r>
      <w:r>
        <w:t xml:space="preserve"> : Maintenir &lt; 5,000 FCFA - Optimisation marketing</w:t>
      </w:r>
    </w:p>
    <w:p/>
    <w:p>
      <w:pPr>
        <w:pStyle w:val="Heading3"/>
      </w:pPr>
      <w:r>
        <w:t>2027</w:t>
      </w:r>
    </w:p>
    <w:p>
      <w:pPr>
        <w:pStyle w:val="ListBullet"/>
      </w:pPr>
      <w:r>
        <w:rPr>
          <w:b/>
          <w:color w:val="003366"/>
        </w:rPr>
        <w:t>Rentabilité</w:t>
      </w:r>
      <w:r>
        <w:t xml:space="preserve"> : Atteindre EBITDA positif - Objectif Q2</w:t>
      </w:r>
    </w:p>
    <w:p>
      <w:pPr>
        <w:pStyle w:val="ListBullet"/>
      </w:pPr>
      <w:r>
        <w:rPr>
          <w:b/>
          <w:color w:val="003366"/>
        </w:rPr>
        <w:t>Expansion</w:t>
      </w:r>
      <w:r>
        <w:t xml:space="preserve"> : 3 pays - Gestion opérationnelle</w:t>
      </w:r>
    </w:p>
    <w:p>
      <w:pPr>
        <w:pStyle w:val="ListBullet"/>
      </w:pPr>
      <w:r>
        <w:rPr>
          <w:b/>
          <w:color w:val="003366"/>
        </w:rPr>
        <w:t>Scaling</w:t>
      </w:r>
      <w:r>
        <w:t xml:space="preserve"> : Équipe 80 personnes - Recrutement progressif</w:t>
      </w:r>
    </w:p>
    <w:p/>
    <w:p>
      <w:pPr>
        <w:pStyle w:val="Heading3"/>
      </w:pPr>
      <w:r>
        <w:t>2028</w:t>
      </w:r>
    </w:p>
    <w:p>
      <w:pPr>
        <w:pStyle w:val="ListBullet"/>
      </w:pPr>
      <w:r>
        <w:rPr>
          <w:b/>
          <w:color w:val="003366"/>
        </w:rPr>
        <w:t>Profitabilité</w:t>
      </w:r>
      <w:r>
        <w:t xml:space="preserve"> : Marge 20% - Optimisation coûts</w:t>
      </w:r>
    </w:p>
    <w:p>
      <w:pPr>
        <w:pStyle w:val="ListBullet"/>
      </w:pPr>
      <w:r>
        <w:rPr>
          <w:b/>
          <w:color w:val="003366"/>
        </w:rPr>
        <w:t>Expansion</w:t>
      </w:r>
      <w:r>
        <w:t xml:space="preserve"> : 10+ pays - Gestion complexité</w:t>
      </w:r>
    </w:p>
    <w:p>
      <w:pPr>
        <w:pStyle w:val="ListBullet"/>
      </w:pPr>
      <w:r>
        <w:rPr>
          <w:b/>
          <w:color w:val="003366"/>
        </w:rPr>
        <w:t>Série C</w:t>
      </w:r>
      <w:r>
        <w:t xml:space="preserve"> : Préparation Q2 - Validation milestones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RÉFÉRENCES</w:t>
      </w:r>
    </w:p>
    <w:p/>
    <w:p>
      <w:pPr>
        <w:pStyle w:val="Heading3"/>
      </w:pPr>
      <w:r>
        <w:t>Sources Données</w:t>
      </w:r>
    </w:p>
    <w:p>
      <w:pPr>
        <w:pStyle w:val="ListBullet"/>
      </w:pPr>
      <w:r>
        <w:rPr>
          <w:b/>
          <w:color w:val="003366"/>
        </w:rPr>
        <w:t>Paramètres économiques</w:t>
      </w:r>
      <w:r>
        <w:t xml:space="preserve"> : Basés sur analyse marché local</w:t>
      </w:r>
    </w:p>
    <w:p>
      <w:pPr>
        <w:pStyle w:val="ListBullet"/>
      </w:pPr>
      <w:r>
        <w:rPr>
          <w:b/>
          <w:color w:val="003366"/>
        </w:rPr>
        <w:t>Benchmarks</w:t>
      </w:r>
      <w:r>
        <w:t xml:space="preserve"> : Jumia, Glovo, Uber (rapports annuels)</w:t>
      </w:r>
    </w:p>
    <w:p>
      <w:pPr>
        <w:pStyle w:val="ListBullet"/>
      </w:pPr>
      <w:r>
        <w:rPr>
          <w:b/>
          <w:color w:val="003366"/>
        </w:rPr>
        <w:t>Coûts personnel</w:t>
      </w:r>
      <w:r>
        <w:t xml:space="preserve"> : Marché local Cameroun/Côte d'Ivoire/Sénégal</w:t>
      </w:r>
    </w:p>
    <w:p>
      <w:pPr>
        <w:pStyle w:val="ListBullet"/>
      </w:pPr>
      <w:r>
        <w:rPr>
          <w:b/>
          <w:color w:val="003366"/>
        </w:rPr>
        <w:t>Infrastructure</w:t>
      </w:r>
      <w:r>
        <w:t xml:space="preserve"> : AWS/Render pricing, scaling patterns</w:t>
      </w:r>
    </w:p>
    <w:p/>
    <w:p>
      <w:pPr>
        <w:pStyle w:val="Heading3"/>
      </w:pPr>
      <w:r>
        <w:t>Hypothèses</w:t>
      </w:r>
    </w:p>
    <w:p>
      <w:pPr>
        <w:pStyle w:val="ListBullet"/>
      </w:pPr>
      <w:r>
        <w:rPr>
          <w:b/>
          <w:color w:val="003366"/>
        </w:rPr>
        <w:t>Croissance produits</w:t>
      </w:r>
      <w:r>
        <w:t xml:space="preserve"> : 15-20% mensuel (réaliste)</w:t>
      </w:r>
    </w:p>
    <w:p>
      <w:pPr>
        <w:pStyle w:val="ListBullet"/>
      </w:pPr>
      <w:r>
        <w:rPr>
          <w:b/>
          <w:color w:val="003366"/>
        </w:rPr>
        <w:t>Taux rétention</w:t>
      </w:r>
      <w:r>
        <w:t xml:space="preserve"> : 70% produits actifs après 3 mois</w:t>
      </w:r>
    </w:p>
    <w:p>
      <w:pPr>
        <w:pStyle w:val="ListBullet"/>
      </w:pPr>
      <w:r>
        <w:rPr>
          <w:b/>
          <w:color w:val="003366"/>
        </w:rPr>
        <w:t>Saisonnalité</w:t>
      </w:r>
      <w:r>
        <w:t xml:space="preserve"> : Prise en compte (baisse Q1, pic Q4)</w:t>
      </w:r>
    </w:p>
    <w:p>
      <w:pPr>
        <w:pStyle w:val="ListBullet"/>
      </w:pPr>
      <w:r>
        <w:rPr>
          <w:b/>
          <w:color w:val="003366"/>
        </w:rPr>
        <w:t>Efficacité opérationnelle</w:t>
      </w:r>
      <w:r>
        <w:t xml:space="preserve"> : Amélioration progressive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/>
      <w:r>
        <w:t>*Document confidentiel - Propriété de Yukpomnang - Janvier 2026*</w:t>
      </w:r>
    </w:p>
    <w:p/>
    <w:p>
      <w:pPr/>
      <w:r>
        <w:t>*Plan financier réaliste basé sur objectifs atteignables et marché local.*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Confidentiel - Janvier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8"/>
      </w:rPr>
      <w:t>Yukpomnang - Document Investisseurs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