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mc:Ignorable="w14 w15 w16se w16cid w16 w16cex w16sdtdh w16sdtfl w16du wp14">
  <w:body>
    <w:p>
      <w:pPr>
        <w:pStyle w:val="BodyofResearch"/>
        <w:spacing w:after="0" w:line="240" w:lineRule="auto"/>
      </w:pPr>
    </w:p>
    <w:p>
      <w:pPr>
        <w:pStyle w:val="BodyofResearch"/>
        <w:spacing w:after="0" w:line="240" w:lineRule="auto"/>
      </w:pPr>
    </w:p>
    <w:p>
      <w:pPr>
        <w:pStyle w:val="BodyofResearch"/>
        <w:spacing w:after="0" w:line="360" w:lineRule="auto"/>
        <w:jc w:val="center"/>
      </w:pPr>
      <w:r>
        <w:rPr>
          <w:b/>
          <w:sz w:val="24"/>
          <w:szCs w:val="24"/>
        </w:rPr>
        <w:t xml:space="preserve">MAPA: MEDICAL ASSISTANCE PORTAL ACCESS FOR COTABATO REGIONAL AND MEDICAL CENTER</w:t>
      </w:r>
    </w:p>
    <w:p>
      <w:pPr>
        <w:pStyle w:val="BodyofResearch"/>
        <w:spacing w:after="0" w:line="240" w:lineRule="auto"/>
      </w:pPr>
    </w:p>
    <w:p>
      <w:pPr>
        <w:pStyle w:val="BodyofResearch"/>
        <w:spacing w:after="0" w:line="240" w:lineRule="auto"/>
      </w:pPr>
    </w:p>
    <w:p>
      <w:pPr>
        <w:pStyle w:val="BodyofResearch"/>
        <w:spacing w:after="0" w:line="240" w:lineRule="auto"/>
      </w:pPr>
    </w:p>
    <w:p>
      <w:pPr>
        <w:pStyle w:val="BodyofResearch"/>
        <w:spacing w:after="0" w:line="240" w:lineRule="auto"/>
      </w:pPr>
    </w:p>
    <w:p>
      <w:pPr>
        <w:pStyle w:val="BodyofResearch"/>
        <w:spacing w:after="0" w:line="240" w:lineRule="auto"/>
      </w:pPr>
    </w:p>
    <w:p>
      <w:pPr>
        <w:pStyle w:val="BodyofResearch"/>
        <w:spacing w:after="0" w:line="360" w:lineRule="auto"/>
        <w:jc w:val="center"/>
      </w:pPr>
      <w:r>
        <w:rPr>
          <w:b/>
        </w:rPr>
        <w:t xml:space="preserve">A Capstone Project</w:t>
      </w:r>
    </w:p>
    <w:p>
      <w:pPr>
        <w:pStyle w:val="BodyofResearch"/>
        <w:spacing w:after="0" w:line="360" w:lineRule="auto"/>
        <w:jc w:val="center"/>
      </w:pPr>
      <w:r>
        <w:rPr>
          <w:b/>
        </w:rPr>
        <w:t xml:space="preserve">Presented to the Faculty of the</w:t>
      </w:r>
    </w:p>
    <w:p>
      <w:pPr>
        <w:pStyle w:val="BodyofResearch"/>
        <w:spacing w:after="0" w:line="360" w:lineRule="auto"/>
        <w:jc w:val="center"/>
      </w:pPr>
      <w:r>
        <w:rPr>
          <w:b/>
        </w:rPr>
        <w:t xml:space="preserve">Information and Communications Technology Program</w:t>
      </w:r>
    </w:p>
    <w:p>
      <w:pPr>
        <w:pStyle w:val="BodyofResearch"/>
        <w:spacing w:after="0" w:line="360" w:lineRule="auto"/>
        <w:jc w:val="center"/>
      </w:pPr>
      <w:r>
        <w:rPr>
          <w:b/>
        </w:rPr>
        <w:t xml:space="preserve">STI College Cotabato</w:t>
      </w:r>
    </w:p>
    <w:p>
      <w:pPr>
        <w:pStyle w:val="BodyofResearch"/>
        <w:spacing w:after="0" w:line="240" w:lineRule="auto"/>
      </w:pPr>
    </w:p>
    <w:p>
      <w:pPr>
        <w:pStyle w:val="BodyofResearch"/>
        <w:spacing w:after="0" w:line="240" w:lineRule="auto"/>
      </w:pPr>
    </w:p>
    <w:p>
      <w:pPr>
        <w:pStyle w:val="BodyofResearch"/>
        <w:spacing w:after="0" w:line="240" w:lineRule="auto"/>
      </w:pPr>
    </w:p>
    <w:p>
      <w:pPr>
        <w:pStyle w:val="BodyofResearch"/>
        <w:spacing w:after="0" w:line="240" w:lineRule="auto"/>
      </w:pPr>
    </w:p>
    <w:p>
      <w:pPr>
        <w:pStyle w:val="BodyofResearch"/>
        <w:spacing w:after="0" w:line="240" w:lineRule="auto"/>
      </w:pPr>
    </w:p>
    <w:p>
      <w:pPr>
        <w:pStyle w:val="BodyofResearch"/>
        <w:spacing w:after="0" w:line="240" w:lineRule="auto"/>
      </w:pPr>
    </w:p>
    <w:p>
      <w:pPr>
        <w:pStyle w:val="BodyofResearch"/>
        <w:spacing w:after="0" w:line="360" w:lineRule="auto"/>
        <w:jc w:val="center"/>
      </w:pPr>
      <w:r>
        <w:rPr>
          <w:b/>
        </w:rPr>
        <w:t xml:space="preserve">In Partial Fulfilment</w:t>
      </w:r>
    </w:p>
    <w:p>
      <w:pPr>
        <w:pStyle w:val="BodyofResearch"/>
        <w:spacing w:after="0" w:line="360" w:lineRule="auto"/>
        <w:jc w:val="center"/>
      </w:pPr>
      <w:r>
        <w:rPr>
          <w:b/>
        </w:rPr>
        <w:t xml:space="preserve">of the Requirements for the Degree</w:t>
      </w:r>
    </w:p>
    <w:p>
      <w:pPr>
        <w:pStyle w:val="BodyofResearch"/>
        <w:spacing w:after="0" w:line="360" w:lineRule="auto"/>
        <w:jc w:val="center"/>
      </w:pPr>
      <w:r>
        <w:rPr>
          <w:b/>
        </w:rPr>
        <w:t xml:space="preserve">Bachelor of Science in Information Technology</w:t>
      </w:r>
    </w:p>
    <w:p>
      <w:pPr>
        <w:pStyle w:val="BodyofResearch"/>
        <w:spacing w:after="0" w:line="240" w:lineRule="auto"/>
      </w:pPr>
    </w:p>
    <w:p>
      <w:pPr>
        <w:pStyle w:val="BodyofResearch"/>
        <w:spacing w:after="0" w:line="240" w:lineRule="auto"/>
      </w:pPr>
    </w:p>
    <w:p>
      <w:pPr>
        <w:pStyle w:val="BodyofResearch"/>
        <w:spacing w:after="0" w:line="240" w:lineRule="auto"/>
      </w:pPr>
    </w:p>
    <w:p>
      <w:pPr>
        <w:pStyle w:val="BodyofResearch"/>
        <w:spacing w:after="0" w:line="240" w:lineRule="auto"/>
      </w:pPr>
    </w:p>
    <w:p>
      <w:pPr>
        <w:pStyle w:val="BodyofResearch"/>
        <w:spacing w:after="0" w:line="240" w:lineRule="auto"/>
      </w:pPr>
    </w:p>
    <w:p>
      <w:pPr>
        <w:pStyle w:val="BodyofResearch"/>
        <w:spacing w:after="0" w:line="240" w:lineRule="auto"/>
      </w:pPr>
    </w:p>
    <w:p>
      <w:pPr>
        <w:pStyle w:val="BodyofResearch"/>
        <w:spacing w:after="0" w:line="360" w:lineRule="auto"/>
        <w:jc w:val="center"/>
      </w:pPr>
      <w:r>
        <w:rPr>
          <w:b/>
        </w:rPr>
        <w:t xml:space="preserve">BAHER G. BLAH</w:t>
      </w:r>
    </w:p>
    <w:p>
      <w:pPr>
        <w:pStyle w:val="BodyofResearch"/>
        <w:spacing w:after="0" w:line="360" w:lineRule="auto"/>
        <w:jc w:val="center"/>
      </w:pPr>
      <w:r>
        <w:rPr>
          <w:b/>
        </w:rPr>
        <w:t xml:space="preserve">AARON JOHN O. DE ROMA</w:t>
      </w:r>
    </w:p>
    <w:p>
      <w:pPr>
        <w:pStyle w:val="BodyofResearch"/>
        <w:spacing w:after="0" w:line="360" w:lineRule="auto"/>
        <w:jc w:val="center"/>
      </w:pPr>
      <w:r>
        <w:rPr>
          <w:b/>
        </w:rPr>
        <w:t xml:space="preserve">SAUD B. KAHARUDIN</w:t>
      </w:r>
    </w:p>
    <w:p>
      <w:pPr>
        <w:pStyle w:val="BodyofResearch"/>
        <w:spacing w:after="0" w:line="360" w:lineRule="auto"/>
        <w:jc w:val="center"/>
      </w:pPr>
      <w:r>
        <w:rPr>
          <w:b/>
        </w:rPr>
        <w:t xml:space="preserve">NHORGIBRIEL K. SIBIL</w:t>
      </w:r>
    </w:p>
    <w:p>
      <w:pPr>
        <w:pStyle w:val="BodyofResearch"/>
        <w:spacing w:after="0" w:line="240" w:lineRule="auto"/>
      </w:pPr>
    </w:p>
    <w:p>
      <w:pPr>
        <w:pStyle w:val="BodyofResearch"/>
        <w:spacing w:after="0" w:line="240" w:lineRule="auto"/>
      </w:pPr>
    </w:p>
    <w:p>
      <w:pPr>
        <w:pStyle w:val="BodyofResearch"/>
        <w:spacing w:after="0" w:line="240" w:lineRule="auto"/>
      </w:pPr>
    </w:p>
    <w:p>
      <w:pPr>
        <w:pStyle w:val="BodyofResearch"/>
        <w:spacing w:after="0" w:line="240" w:lineRule="auto"/>
      </w:pPr>
    </w:p>
    <w:p>
      <w:pPr>
        <w:pStyle w:val="BodyofResearch"/>
        <w:spacing w:after="0" w:line="240" w:lineRule="auto"/>
      </w:pPr>
    </w:p>
    <w:p>
      <w:pPr>
        <w:pStyle w:val="BodyofResearch"/>
        <w:spacing w:after="0" w:line="360" w:lineRule="auto"/>
        <w:jc w:val="center"/>
      </w:pPr>
      <w:r>
        <w:rPr>
          <w:b/>
        </w:rPr>
        <w:t xml:space="preserve">September 2026</w:t>
      </w:r>
    </w:p>
    <w:p>
      <w:r>
        <w:br w:type="page"/>
      </w:r>
    </w:p>
    <w:p>
      <w:pPr>
        <w:pStyle w:val="BodyofResearch"/>
        <w:spacing w:after="0" w:line="360" w:lineRule="auto"/>
        <w:jc w:val="center"/>
      </w:pPr>
      <w:r>
        <w:rPr>
          <w:b/>
        </w:rPr>
        <w:t xml:space="preserve">ENDORSEMENT FORM FOR FINAL DEFENSE</w:t>
      </w:r>
    </w:p>
    <w:p>
      <w:pPr>
        <w:pStyle w:val="BodyofResearch"/>
        <w:spacing w:after="0" w:line="240" w:lineRule="auto"/>
      </w:pPr>
    </w:p>
    <w:p>
      <w:pPr>
        <w:pStyle w:val="BodyofResearch"/>
        <w:tabs>
          <w:tab w:val="left" w:pos="3240"/>
        </w:tabs>
        <w:spacing w:after="0" w:line="300" w:lineRule="auto"/>
        <w:ind w:left="3240" w:hanging="3240"/>
        <w:jc w:val="left"/>
      </w:pPr>
      <w:r>
        <w:rPr>
          <w:b/>
        </w:rPr>
        <w:t xml:space="preserve">TITLE OF RESEARCH:</w:t>
      </w:r>
      <w:r>
        <w:tab/>
      </w:r>
      <w:r>
        <w:rPr>
          <w:b/>
        </w:rPr>
        <w:t xml:space="preserve">MAPA: MEDICAL ASSISTANCE PORTAL</w:t>
      </w:r>
    </w:p>
    <w:p>
      <w:pPr>
        <w:pStyle w:val="BodyofResearch"/>
        <w:tabs>
          <w:tab w:val="left" w:pos="3240"/>
        </w:tabs>
        <w:spacing w:after="0" w:line="300" w:lineRule="auto"/>
        <w:ind w:left="3240" w:hanging="3240"/>
        <w:jc w:val="left"/>
      </w:pPr>
      <w:r>
        <w:rPr>
          <w:b/>
        </w:rPr>
        <w:t xml:space="preserve"/>
      </w:r>
      <w:r>
        <w:tab/>
      </w:r>
      <w:r>
        <w:rPr>
          <w:b/>
        </w:rPr>
        <w:t xml:space="preserve">ACCESS FOR COTABATO REGIONAL AND</w:t>
      </w:r>
    </w:p>
    <w:p>
      <w:pPr>
        <w:pStyle w:val="BodyofResearch"/>
        <w:tabs>
          <w:tab w:val="left" w:pos="3240"/>
        </w:tabs>
        <w:spacing w:after="0" w:line="300" w:lineRule="auto"/>
        <w:ind w:left="3240" w:hanging="3240"/>
        <w:jc w:val="left"/>
      </w:pPr>
      <w:r>
        <w:rPr>
          <w:b/>
        </w:rPr>
        <w:t xml:space="preserve"/>
      </w:r>
      <w:r>
        <w:tab/>
      </w:r>
      <w:r>
        <w:rPr>
          <w:b/>
        </w:rPr>
        <w:t xml:space="preserve">MEDICAL CENTER</w:t>
      </w:r>
    </w:p>
    <w:p>
      <w:pPr>
        <w:pStyle w:val="BodyofResearch"/>
        <w:spacing w:after="0" w:line="240" w:lineRule="auto"/>
      </w:pPr>
    </w:p>
    <w:p>
      <w:pPr>
        <w:pStyle w:val="BodyofResearch"/>
        <w:tabs>
          <w:tab w:val="left" w:pos="3240"/>
        </w:tabs>
        <w:spacing w:after="0" w:line="300" w:lineRule="auto"/>
        <w:ind w:left="3240" w:hanging="3240"/>
        <w:jc w:val="left"/>
      </w:pPr>
      <w:r>
        <w:rPr>
          <w:b/>
        </w:rPr>
        <w:t xml:space="preserve">NAME OF PROPONENTS:</w:t>
      </w:r>
      <w:r>
        <w:tab/>
      </w:r>
      <w:r>
        <w:rPr>
          <w:b/>
        </w:rPr>
        <w:t xml:space="preserve">BAHER G. BLAH</w:t>
      </w:r>
    </w:p>
    <w:p>
      <w:pPr>
        <w:pStyle w:val="BodyofResearch"/>
        <w:tabs>
          <w:tab w:val="left" w:pos="3240"/>
        </w:tabs>
        <w:spacing w:after="0" w:line="300" w:lineRule="auto"/>
        <w:ind w:left="3240" w:hanging="3240"/>
        <w:jc w:val="left"/>
      </w:pPr>
      <w:r>
        <w:rPr>
          <w:b/>
        </w:rPr>
        <w:t xml:space="preserve"/>
      </w:r>
      <w:r>
        <w:tab/>
      </w:r>
      <w:r>
        <w:rPr>
          <w:b/>
        </w:rPr>
        <w:t xml:space="preserve">AARON JOHN O. DE ROMA</w:t>
      </w:r>
    </w:p>
    <w:p>
      <w:pPr>
        <w:pStyle w:val="BodyofResearch"/>
        <w:tabs>
          <w:tab w:val="left" w:pos="3240"/>
        </w:tabs>
        <w:spacing w:after="0" w:line="300" w:lineRule="auto"/>
        <w:ind w:left="3240" w:hanging="3240"/>
        <w:jc w:val="left"/>
      </w:pPr>
      <w:r>
        <w:rPr>
          <w:b/>
        </w:rPr>
        <w:t xml:space="preserve"/>
      </w:r>
      <w:r>
        <w:tab/>
      </w:r>
      <w:r>
        <w:rPr>
          <w:b/>
        </w:rPr>
        <w:t xml:space="preserve">SAUD B. KAHARUDIN</w:t>
      </w:r>
    </w:p>
    <w:p>
      <w:pPr>
        <w:pStyle w:val="BodyofResearch"/>
        <w:tabs>
          <w:tab w:val="left" w:pos="3240"/>
        </w:tabs>
        <w:spacing w:after="0" w:line="300" w:lineRule="auto"/>
        <w:ind w:left="3240" w:hanging="3240"/>
        <w:jc w:val="left"/>
      </w:pPr>
      <w:r>
        <w:rPr>
          <w:b/>
        </w:rPr>
        <w:t xml:space="preserve"/>
      </w:r>
      <w:r>
        <w:tab/>
      </w:r>
      <w:r>
        <w:rPr>
          <w:b/>
        </w:rPr>
        <w:t xml:space="preserve">NHORGIBRIEL K. SIBIL</w:t>
      </w:r>
    </w:p>
    <w:p>
      <w:pPr>
        <w:pStyle w:val="BodyofResearch"/>
        <w:spacing w:after="0" w:line="240" w:lineRule="auto"/>
      </w:pPr>
    </w:p>
    <w:p>
      <w:pPr>
        <w:pStyle w:val="BodyofResearch"/>
        <w:spacing w:after="0" w:line="360" w:lineRule="auto"/>
        <w:jc w:val="center"/>
      </w:pPr>
      <w:r>
        <w:rPr>
          <w:b w:val="0"/>
        </w:rPr>
        <w:t xml:space="preserve">In Partial Fulfilment of the Requirements</w:t>
      </w:r>
    </w:p>
    <w:p>
      <w:pPr>
        <w:pStyle w:val="BodyofResearch"/>
        <w:spacing w:after="0" w:line="360" w:lineRule="auto"/>
        <w:jc w:val="center"/>
      </w:pPr>
      <w:r>
        <w:rPr>
          <w:b w:val="0"/>
        </w:rPr>
        <w:t xml:space="preserve">for the degree Bachelor of Science in Information Technology</w:t>
      </w:r>
    </w:p>
    <w:p>
      <w:pPr>
        <w:pStyle w:val="BodyofResearch"/>
        <w:spacing w:after="0" w:line="360" w:lineRule="auto"/>
        <w:jc w:val="center"/>
      </w:pPr>
      <w:r>
        <w:rPr>
          <w:b w:val="0"/>
        </w:rPr>
        <w:t xml:space="preserve">has been examined and is recommended for Final Defense.</w:t>
      </w:r>
    </w:p>
    <w:p>
      <w:pPr>
        <w:pStyle w:val="BodyofResearch"/>
        <w:spacing w:after="0" w:line="240" w:lineRule="auto"/>
      </w:pPr>
    </w:p>
    <w:p>
      <w:pPr>
        <w:pStyle w:val="BodyofResearch"/>
        <w:spacing w:after="0" w:line="240" w:lineRule="auto"/>
      </w:pPr>
    </w:p>
    <w:p>
      <w:pPr>
        <w:pStyle w:val="BodyofResearch"/>
        <w:spacing w:after="0" w:line="360" w:lineRule="auto"/>
        <w:jc w:val="center"/>
      </w:pPr>
      <w:r>
        <w:rPr>
          <w:b/>
        </w:rPr>
        <w:t xml:space="preserve">ENDORSED BY:</w:t>
      </w:r>
    </w:p>
    <w:p>
      <w:pPr>
        <w:pStyle w:val="BodyofResearch"/>
        <w:spacing w:after="0" w:line="240" w:lineRule="auto"/>
      </w:pPr>
    </w:p>
    <w:p>
      <w:pPr>
        <w:pStyle w:val="BodyofResearch"/>
        <w:spacing w:after="0" w:line="240" w:lineRule="auto"/>
      </w:pPr>
    </w:p>
    <w:p>
      <w:pPr>
        <w:pStyle w:val="BodyofResearch"/>
        <w:spacing w:after="0" w:line="360" w:lineRule="auto"/>
        <w:jc w:val="center"/>
      </w:pPr>
      <w:r>
        <w:rPr>
          <w:b/>
        </w:rPr>
        <w:t xml:space="preserve">MS. JASMIN B. ALIMAN</w:t>
      </w:r>
    </w:p>
    <w:p>
      <w:pPr>
        <w:pStyle w:val="BodyofResearch"/>
        <w:spacing w:after="0" w:line="360" w:lineRule="auto"/>
        <w:jc w:val="center"/>
      </w:pPr>
      <w:r>
        <w:rPr>
          <w:b/>
        </w:rPr>
        <w:t xml:space="preserve">Capstone Project Adviser</w:t>
      </w:r>
    </w:p>
    <w:p>
      <w:pPr>
        <w:pStyle w:val="BodyofResearch"/>
        <w:spacing w:after="0" w:line="240" w:lineRule="auto"/>
      </w:pPr>
    </w:p>
    <w:p>
      <w:pPr>
        <w:pStyle w:val="BodyofResearch"/>
        <w:spacing w:after="0" w:line="240" w:lineRule="auto"/>
      </w:pPr>
    </w:p>
    <w:p>
      <w:pPr>
        <w:pStyle w:val="BodyofResearch"/>
        <w:spacing w:after="0" w:line="360" w:lineRule="auto"/>
        <w:jc w:val="center"/>
      </w:pPr>
      <w:r>
        <w:rPr>
          <w:b/>
        </w:rPr>
        <w:t xml:space="preserve">APPROVED FOR FINAL DEFENSE:</w:t>
      </w:r>
    </w:p>
    <w:p>
      <w:pPr>
        <w:pStyle w:val="BodyofResearch"/>
        <w:spacing w:after="0" w:line="240" w:lineRule="auto"/>
      </w:pPr>
    </w:p>
    <w:p>
      <w:pPr>
        <w:pStyle w:val="BodyofResearch"/>
        <w:spacing w:after="0" w:line="240" w:lineRule="auto"/>
      </w:pPr>
    </w:p>
    <w:p>
      <w:pPr>
        <w:pStyle w:val="BodyofResearch"/>
        <w:spacing w:after="0" w:line="360" w:lineRule="auto"/>
        <w:jc w:val="center"/>
      </w:pPr>
      <w:r>
        <w:rPr>
          <w:b/>
        </w:rPr>
        <w:t xml:space="preserve">ENGR. ROLAND CARL A. DENOPOL, PCpE</w:t>
      </w:r>
    </w:p>
    <w:p>
      <w:pPr>
        <w:pStyle w:val="BodyofResearch"/>
        <w:spacing w:after="0" w:line="360" w:lineRule="auto"/>
        <w:jc w:val="center"/>
      </w:pPr>
      <w:r>
        <w:rPr>
          <w:b/>
        </w:rPr>
        <w:t xml:space="preserve">Capstone Project Coordinator</w:t>
      </w:r>
    </w:p>
    <w:p>
      <w:pPr>
        <w:pStyle w:val="BodyofResearch"/>
        <w:spacing w:after="0" w:line="240" w:lineRule="auto"/>
      </w:pPr>
    </w:p>
    <w:p>
      <w:pPr>
        <w:pStyle w:val="BodyofResearch"/>
        <w:spacing w:after="0" w:line="240" w:lineRule="auto"/>
      </w:pPr>
    </w:p>
    <w:p>
      <w:pPr>
        <w:pStyle w:val="BodyofResearch"/>
        <w:spacing w:after="0" w:line="360" w:lineRule="auto"/>
        <w:jc w:val="center"/>
      </w:pPr>
      <w:r>
        <w:rPr>
          <w:b/>
        </w:rPr>
        <w:t xml:space="preserve">NOTED BY:</w:t>
      </w:r>
    </w:p>
    <w:p>
      <w:pPr>
        <w:pStyle w:val="BodyofResearch"/>
        <w:spacing w:after="0" w:line="240" w:lineRule="auto"/>
      </w:pPr>
    </w:p>
    <w:p>
      <w:pPr>
        <w:pStyle w:val="BodyofResearch"/>
        <w:spacing w:after="0" w:line="240" w:lineRule="auto"/>
      </w:pPr>
    </w:p>
    <w:p>
      <w:pPr>
        <w:pStyle w:val="BodyofResearch"/>
        <w:spacing w:after="0" w:line="360" w:lineRule="auto"/>
        <w:jc w:val="center"/>
      </w:pPr>
      <w:r>
        <w:rPr>
          <w:b/>
        </w:rPr>
        <w:t xml:space="preserve">ENGR. JOVAN J. EDWARD</w:t>
      </w:r>
    </w:p>
    <w:p>
      <w:pPr>
        <w:pStyle w:val="BodyofResearch"/>
        <w:spacing w:after="0" w:line="360" w:lineRule="auto"/>
        <w:jc w:val="center"/>
      </w:pPr>
      <w:r>
        <w:rPr>
          <w:b/>
        </w:rPr>
        <w:t xml:space="preserve">Program Head</w:t>
      </w:r>
    </w:p>
    <w:p>
      <w:pPr>
        <w:pStyle w:val="BodyofResearch"/>
        <w:spacing w:after="0" w:line="240" w:lineRule="auto"/>
      </w:pPr>
    </w:p>
    <w:p>
      <w:pPr>
        <w:pStyle w:val="BodyofResearch"/>
        <w:spacing w:after="0" w:line="240" w:lineRule="auto"/>
      </w:pPr>
    </w:p>
    <w:p>
      <w:pPr>
        <w:pStyle w:val="BodyofResearch"/>
        <w:spacing w:after="0" w:line="360" w:lineRule="auto"/>
        <w:jc w:val="center"/>
      </w:pPr>
      <w:r>
        <w:rPr>
          <w:b/>
        </w:rPr>
        <w:t xml:space="preserve">SEPTEMBER 2026</w:t>
      </w:r>
    </w:p>
    <w:p>
      <w:r>
        <w:br w:type="page"/>
      </w:r>
    </w:p>
    <w:p>
      <w:pPr>
        <w:pStyle w:val="BodyofResearch"/>
        <w:spacing w:after="0" w:line="360" w:lineRule="auto"/>
        <w:jc w:val="center"/>
      </w:pPr>
      <w:r>
        <w:rPr>
          <w:b/>
        </w:rPr>
        <w:t xml:space="preserve">APPROVAL SHEET</w:t>
      </w:r>
    </w:p>
    <w:p>
      <w:pPr>
        <w:pStyle w:val="BodyofResearch"/>
        <w:spacing w:after="0" w:line="240" w:lineRule="auto"/>
      </w:pPr>
    </w:p>
    <w:p>
      <w:pPr>
        <w:pStyle w:val="BodyofResearch"/>
        <w:jc w:val="both"/>
      </w:pPr>
      <w:r>
        <w:rPr>
          <w:b w:val="0"/>
        </w:rPr>
        <w:t xml:space="preserve">This capstone project titled </w:t>
      </w:r>
      <w:r>
        <w:rPr>
          <w:b/>
        </w:rPr>
        <w:t xml:space="preserve">MAPA: MEDICAL ASSISTANCE PORTAL ACCESS FOR COTABATO REGIONAL AND MEDICAL CENTER</w:t>
      </w:r>
      <w:r>
        <w:rPr>
          <w:b w:val="0"/>
        </w:rPr>
        <w:t xml:space="preserve">, prepared and submitted by </w:t>
      </w:r>
      <w:r>
        <w:rPr>
          <w:b/>
        </w:rPr>
        <w:t xml:space="preserve">BAHER G. BLAH, AARON JOHN O. DE ROMA, SAUD B. KAHARUDIN, NHORGIBRIEL K. SIBIL</w:t>
      </w:r>
      <w:r>
        <w:rPr>
          <w:b w:val="0"/>
        </w:rPr>
        <w:t xml:space="preserve"> in partial fulfillment of the requirements for the degree of Bachelor of Science in Information Technology, has been examined and is recommended for acceptance and approval.</w:t>
      </w:r>
    </w:p>
    <w:p>
      <w:pPr>
        <w:pStyle w:val="BodyofResearch"/>
        <w:spacing w:after="0" w:line="240" w:lineRule="auto"/>
      </w:pPr>
    </w:p>
    <w:p>
      <w:pPr>
        <w:pStyle w:val="BodyofResearch"/>
        <w:spacing w:after="0" w:line="300" w:lineRule="auto"/>
        <w:jc w:val="right"/>
      </w:pPr>
      <w:r>
        <w:rPr>
          <w:b/>
        </w:rPr>
        <w:t xml:space="preserve">Jasmin B. Aliman</w:t>
      </w:r>
    </w:p>
    <w:p>
      <w:pPr>
        <w:pStyle w:val="BodyofResearch"/>
        <w:spacing w:after="0" w:line="300" w:lineRule="auto"/>
        <w:jc w:val="right"/>
      </w:pPr>
      <w:r>
        <w:rPr>
          <w:b w:val="0"/>
        </w:rPr>
        <w:t xml:space="preserve">Capstone Project Adviser</w:t>
      </w:r>
    </w:p>
    <w:p>
      <w:pPr>
        <w:pStyle w:val="BodyofResearch"/>
        <w:spacing w:after="0" w:line="240" w:lineRule="auto"/>
      </w:pPr>
    </w:p>
    <w:p>
      <w:pPr>
        <w:pStyle w:val="BodyofResearch"/>
        <w:spacing w:after="0" w:line="360" w:lineRule="auto"/>
        <w:jc w:val="center"/>
      </w:pPr>
      <w:r>
        <w:rPr>
          <w:b w:val="0"/>
        </w:rPr>
        <w:t xml:space="preserve">Accepted and approved by the Capstone Project Review Panel</w:t>
      </w:r>
    </w:p>
    <w:p>
      <w:pPr>
        <w:pStyle w:val="BodyofResearch"/>
        <w:spacing w:after="0" w:line="360" w:lineRule="auto"/>
        <w:jc w:val="center"/>
      </w:pPr>
      <w:r>
        <w:rPr>
          <w:b w:val="0"/>
        </w:rPr>
        <w:t xml:space="preserve">in partial fulfillment of the requirements for the degree of</w:t>
      </w:r>
    </w:p>
    <w:p>
      <w:pPr>
        <w:pStyle w:val="BodyofResearch"/>
        <w:spacing w:after="0" w:line="360" w:lineRule="auto"/>
        <w:jc w:val="center"/>
      </w:pPr>
      <w:r>
        <w:rPr>
          <w:b w:val="0"/>
        </w:rPr>
        <w:t xml:space="preserve">Bachelor of Science in Information Technology</w:t>
      </w:r>
    </w:p>
    <w:p>
      <w:pPr>
        <w:pStyle w:val="BodyofResearch"/>
        <w:spacing w:after="0" w:line="240" w:lineRule="auto"/>
      </w:pPr>
    </w:p>
    <w:p>
      <w:pPr>
        <w:pStyle w:val="BodyofResearch"/>
        <w:spacing w:after="0" w:line="240" w:lineRule="auto"/>
      </w:pPr>
    </w:p>
    <w:tbl>
      <w:tblPr>
        <w:tblW w:w="9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4700"/>
        <w:gridCol w:w="4700"/>
      </w:tblGrid>
      <w:tr>
        <w:tc>
          <w:tcPr>
            <w:tcW w:w="4700" w:type="dxa"/>
          </w:tcPr>
          <w:p>
            <w:pPr>
              <w:spacing w:after="0" w:line="280" w:lineRule="auto"/>
              <w:jc w:val="center"/>
            </w:pPr>
            <w:r>
              <w:rPr>
                <w:b w:val="0"/>
              </w:rPr>
              <w:t xml:space="preserve">Nurullajie S. Abdullah</w:t>
            </w:r>
          </w:p>
          <w:p>
            <w:pPr>
              <w:spacing w:after="0" w:line="280" w:lineRule="auto"/>
              <w:jc w:val="center"/>
            </w:pPr>
            <w:r>
              <w:rPr>
                <w:b/>
              </w:rPr>
              <w:t xml:space="preserve">Panel Member</w:t>
            </w:r>
          </w:p>
        </w:tc>
        <w:tc>
          <w:tcPr>
            <w:tcW w:w="4700" w:type="dxa"/>
          </w:tcPr>
          <w:p>
            <w:pPr>
              <w:spacing w:after="0" w:line="280" w:lineRule="auto"/>
              <w:jc w:val="center"/>
            </w:pPr>
            <w:r>
              <w:rPr>
                <w:b w:val="0"/>
              </w:rPr>
              <w:t xml:space="preserve">Almirah E. Abang</w:t>
            </w:r>
          </w:p>
          <w:p>
            <w:pPr>
              <w:spacing w:after="0" w:line="280" w:lineRule="auto"/>
              <w:jc w:val="center"/>
            </w:pPr>
            <w:r>
              <w:rPr>
                <w:b/>
              </w:rPr>
              <w:t xml:space="preserve">Panel Member</w:t>
            </w:r>
          </w:p>
        </w:tc>
      </w:tr>
    </w:tbl>
    <w:p>
      <w:pPr>
        <w:pStyle w:val="BodyofResearch"/>
        <w:spacing w:after="0" w:line="240" w:lineRule="auto"/>
      </w:pPr>
    </w:p>
    <w:p>
      <w:pPr>
        <w:pStyle w:val="BodyofResearch"/>
        <w:spacing w:after="0" w:line="240" w:lineRule="auto"/>
      </w:pPr>
    </w:p>
    <w:p>
      <w:pPr>
        <w:pStyle w:val="BodyofResearch"/>
        <w:spacing w:after="0" w:line="240" w:lineRule="auto"/>
      </w:pPr>
    </w:p>
    <w:p>
      <w:pPr>
        <w:pStyle w:val="BodyofResearch"/>
        <w:spacing w:after="0" w:line="360" w:lineRule="auto"/>
        <w:jc w:val="center"/>
      </w:pPr>
      <w:r>
        <w:rPr>
          <w:b w:val="0"/>
        </w:rPr>
        <w:t xml:space="preserve">Engr. Roland Carl A. Denopol, PCpE</w:t>
      </w:r>
    </w:p>
    <w:p>
      <w:pPr>
        <w:pStyle w:val="BodyofResearch"/>
        <w:spacing w:after="0" w:line="360" w:lineRule="auto"/>
        <w:jc w:val="center"/>
      </w:pPr>
      <w:r>
        <w:rPr>
          <w:b/>
        </w:rPr>
        <w:t xml:space="preserve">Lead Panelist</w:t>
      </w:r>
    </w:p>
    <w:p>
      <w:pPr>
        <w:pStyle w:val="BodyofResearch"/>
        <w:spacing w:after="0" w:line="240" w:lineRule="auto"/>
      </w:pPr>
    </w:p>
    <w:p>
      <w:pPr>
        <w:pStyle w:val="BodyofResearch"/>
        <w:spacing w:after="0" w:line="240" w:lineRule="auto"/>
      </w:pPr>
    </w:p>
    <w:p>
      <w:pPr>
        <w:pStyle w:val="BodyofResearch"/>
        <w:spacing w:after="0" w:line="360" w:lineRule="auto"/>
        <w:jc w:val="center"/>
      </w:pPr>
      <w:r>
        <w:rPr>
          <w:b/>
        </w:rPr>
        <w:t xml:space="preserve">Noted by:</w:t>
      </w:r>
    </w:p>
    <w:p>
      <w:pPr>
        <w:pStyle w:val="BodyofResearch"/>
        <w:spacing w:after="0" w:line="240" w:lineRule="auto"/>
      </w:pPr>
    </w:p>
    <w:p>
      <w:pPr>
        <w:pStyle w:val="BodyofResearch"/>
        <w:spacing w:after="0" w:line="240" w:lineRule="auto"/>
      </w:pPr>
    </w:p>
    <w:tbl>
      <w:tblPr>
        <w:tblW w:w="9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4700"/>
        <w:gridCol w:w="4700"/>
      </w:tblGrid>
      <w:tr>
        <w:tc>
          <w:tcPr>
            <w:tcW w:w="4700" w:type="dxa"/>
          </w:tcPr>
          <w:p>
            <w:pPr>
              <w:spacing w:after="0" w:line="280" w:lineRule="auto"/>
              <w:jc w:val="center"/>
            </w:pPr>
            <w:r>
              <w:rPr>
                <w:b w:val="0"/>
              </w:rPr>
              <w:t xml:space="preserve">Engr. Roland Carl A. Denopol, PCpE</w:t>
            </w:r>
          </w:p>
          <w:p>
            <w:pPr>
              <w:spacing w:after="0" w:line="280" w:lineRule="auto"/>
              <w:jc w:val="center"/>
            </w:pPr>
            <w:r>
              <w:rPr>
                <w:b/>
              </w:rPr>
              <w:t xml:space="preserve">Capstone Project Coordinator</w:t>
            </w:r>
          </w:p>
        </w:tc>
        <w:tc>
          <w:tcPr>
            <w:tcW w:w="4700" w:type="dxa"/>
          </w:tcPr>
          <w:p>
            <w:pPr>
              <w:spacing w:after="0" w:line="280" w:lineRule="auto"/>
              <w:jc w:val="center"/>
            </w:pPr>
            <w:r>
              <w:rPr>
                <w:b w:val="0"/>
              </w:rPr>
              <w:t xml:space="preserve">Engr. Jovan J. Edward</w:t>
            </w:r>
          </w:p>
          <w:p>
            <w:pPr>
              <w:spacing w:after="0" w:line="280" w:lineRule="auto"/>
              <w:jc w:val="center"/>
            </w:pPr>
            <w:r>
              <w:rPr>
                <w:b/>
              </w:rPr>
              <w:t xml:space="preserve">Program Head</w:t>
            </w:r>
          </w:p>
        </w:tc>
      </w:tr>
    </w:tbl>
    <w:p>
      <w:pPr>
        <w:pStyle w:val="BodyofResearch"/>
        <w:spacing w:after="0" w:line="240" w:lineRule="auto"/>
      </w:pPr>
    </w:p>
    <w:p>
      <w:pPr>
        <w:pStyle w:val="BodyofResearch"/>
        <w:spacing w:after="0" w:line="240" w:lineRule="auto"/>
      </w:pPr>
    </w:p>
    <w:p>
      <w:pPr>
        <w:pStyle w:val="BodyofResearch"/>
        <w:spacing w:after="0" w:line="240" w:lineRule="auto"/>
      </w:pPr>
    </w:p>
    <w:p>
      <w:pPr>
        <w:pStyle w:val="BodyofResearch"/>
        <w:spacing w:after="0" w:line="360" w:lineRule="auto"/>
        <w:jc w:val="center"/>
      </w:pPr>
      <w:r>
        <w:rPr>
          <w:b/>
        </w:rPr>
        <w:t xml:space="preserve">September 2026</w:t>
      </w:r>
    </w:p>
    <w:p>
      <w:r>
        <w:br w:type="page"/>
      </w:r>
    </w:p>
    <w:p>
      <w:pPr>
        <w:pStyle w:val="Heading1"/>
        <w:spacing w:before="0" w:after="360"/>
        <w:jc w:val="center"/>
      </w:pPr>
      <w:r>
        <w:rPr>
          <w:b/>
        </w:rPr>
        <w:t xml:space="preserve">Acknowledgements</w:t>
      </w:r>
    </w:p>
    <w:p>
      <w:pPr>
        <w:pStyle w:val="BodyofResearch"/>
        <w:jc w:val="both"/>
      </w:pPr>
      <w:r>
        <w:rPr>
          <w:b w:val="0"/>
        </w:rPr>
        <w:t xml:space="preserve">The researchers would like to express their sincere gratitude to the following individuals and institutions, without whom this capstone project would not have been possible:</w:t>
      </w:r>
    </w:p>
    <w:p>
      <w:pPr>
        <w:pStyle w:val="BodyofResearch"/>
        <w:jc w:val="both"/>
      </w:pPr>
      <w:r>
        <w:rPr>
          <w:b/>
        </w:rPr>
        <w:t xml:space="preserve">Engr. Roland Carl A. Denopol, PCpE</w:t>
      </w:r>
      <w:r>
        <w:rPr>
          <w:b w:val="0"/>
        </w:rPr>
        <w:t xml:space="preserve">, Capstone Project Coordinator, for setting the standards that shaped this study, for the scheduling and coordination that carried the project through title defense, pre-defense, final defense, and re-defense, and for the pointed questions at each milestone that pushed the proponents to justify their design decisions rather than merely describe them;</w:t>
      </w:r>
    </w:p>
    <w:p>
      <w:pPr>
        <w:pStyle w:val="BodyofResearch"/>
        <w:jc w:val="both"/>
      </w:pPr>
      <w:r>
        <w:rPr>
          <w:b/>
        </w:rPr>
        <w:t xml:space="preserve">Ms. Jasmin B. Aliman</w:t>
      </w:r>
      <w:r>
        <w:rPr>
          <w:b w:val="0"/>
        </w:rPr>
        <w:t xml:space="preserve">, Capstone Project Adviser, for her patient and consistent guidance from the earliest brainstorming sessions through the final manuscript, for insisting that the system be grounded in the real workflow of Cotabato Regional and Medical Center rather than in an idealized one, and for the detailed manuscript reviews that repeatedly raised the quality of this document;</w:t>
      </w:r>
    </w:p>
    <w:p>
      <w:pPr>
        <w:pStyle w:val="BodyofResearch"/>
        <w:jc w:val="both"/>
      </w:pPr>
      <w:r>
        <w:rPr>
          <w:b/>
        </w:rPr>
        <w:t xml:space="preserve">The Capstone Project Review Panel</w:t>
      </w:r>
      <w:r>
        <w:rPr>
          <w:b w:val="0"/>
        </w:rPr>
        <w:t xml:space="preserve"> — Engr. Roland Carl A. Denopol, PCpE, Ms. Nurullajie S. Abdullah, and Ms. Almirah E. Abang — for the thorough evaluation of this study at every defense stage. Their recommendations directly produced some of the most important revisions in this work, including the restructuring of the system around a single CRMC-operated intake gateway and the reconciliation of the agency model with Republic Act No. 11463;</w:t>
      </w:r>
    </w:p>
    <w:p>
      <w:pPr>
        <w:pStyle w:val="BodyofResearch"/>
        <w:jc w:val="both"/>
      </w:pPr>
      <w:r>
        <w:rPr>
          <w:b/>
        </w:rPr>
        <w:t xml:space="preserve">The Medical Social Service and Malasakit Center of Cotabato Regional and Medical Center</w:t>
      </w:r>
      <w:r>
        <w:rPr>
          <w:b w:val="0"/>
        </w:rPr>
        <w:t xml:space="preserve">, for accommodating the proponents' interview-questionnaire, for explaining the Unified Intake Sheet and the Order of Charging as they are actually practiced, and for the operational realities they shared that no amount of secondary research could have supplied;</w:t>
      </w:r>
    </w:p>
    <w:p>
      <w:pPr>
        <w:pStyle w:val="BodyofResearch"/>
        <w:jc w:val="both"/>
      </w:pPr>
      <w:r>
        <w:rPr>
          <w:b/>
        </w:rPr>
        <w:t xml:space="preserve">The patients and social workers who participated as respondents</w:t>
      </w:r>
      <w:r>
        <w:rPr>
          <w:b w:val="0"/>
        </w:rPr>
        <w:t xml:space="preserve">, for their time and candor in describing the difficulties of the existing process;</w:t>
      </w:r>
    </w:p>
    <w:p>
      <w:pPr>
        <w:pStyle w:val="BodyofResearch"/>
        <w:jc w:val="both"/>
      </w:pPr>
      <w:r>
        <w:rPr>
          <w:b/>
        </w:rPr>
        <w:t xml:space="preserve">Their parents and guardians</w:t>
      </w:r>
      <w:r>
        <w:rPr>
          <w:b w:val="0"/>
        </w:rPr>
        <w:t xml:space="preserve">, for the unfailing financial, moral, and emotional support that sustained the proponents through the long months of development and revision;</w:t>
      </w:r>
    </w:p>
    <w:p>
      <w:pPr>
        <w:pStyle w:val="BodyofResearch"/>
        <w:jc w:val="both"/>
      </w:pPr>
      <w:r>
        <w:rPr>
          <w:b/>
        </w:rPr>
        <w:t xml:space="preserve">Their friends, classmates, and blockmates</w:t>
      </w:r>
      <w:r>
        <w:rPr>
          <w:b w:val="0"/>
        </w:rPr>
        <w:t xml:space="preserve">, for the encouragement, the shared late nights, and the willingness to test early builds of the system and report what did not work; and</w:t>
      </w:r>
    </w:p>
    <w:p>
      <w:pPr>
        <w:pStyle w:val="BodyofResearch"/>
        <w:jc w:val="both"/>
      </w:pPr>
      <w:r>
        <w:rPr>
          <w:b/>
        </w:rPr>
        <w:t xml:space="preserve">Above all, to Almighty God</w:t>
      </w:r>
      <w:r>
        <w:rPr>
          <w:b w:val="0"/>
        </w:rPr>
        <w:t xml:space="preserve">, for the wisdom, health, perseverance, and grace that made the completion of this work possible.</w:t>
      </w:r>
    </w:p>
    <w:p>
      <w:pPr>
        <w:pStyle w:val="BodyofResearch"/>
        <w:spacing w:after="0" w:line="240" w:lineRule="auto"/>
      </w:pPr>
    </w:p>
    <w:p>
      <w:pPr>
        <w:pStyle w:val="BodyofResearch"/>
        <w:spacing w:after="0" w:line="240" w:lineRule="auto"/>
      </w:pPr>
    </w:p>
    <w:p>
      <w:pPr>
        <w:pStyle w:val="BodyofResearch"/>
        <w:spacing w:after="0" w:line="300" w:lineRule="auto"/>
        <w:jc w:val="right"/>
      </w:pPr>
      <w:r>
        <w:rPr>
          <w:b w:val="0"/>
        </w:rPr>
        <w:t xml:space="preserve">The Researchers</w:t>
      </w:r>
    </w:p>
    <w:p>
      <w:r>
        <w:br w:type="page"/>
      </w:r>
    </w:p>
    <w:p>
      <w:pPr>
        <w:pStyle w:val="Heading1"/>
        <w:spacing w:before="0" w:after="360"/>
        <w:jc w:val="center"/>
      </w:pPr>
      <w:r>
        <w:rPr>
          <w:b/>
        </w:rPr>
        <w:t xml:space="preserve">Abstract</w:t>
      </w:r>
    </w:p>
    <w:p>
      <w:pPr>
        <w:pStyle w:val="BodyofResearch"/>
        <w:tabs>
          <w:tab w:val="left" w:pos="2160"/>
        </w:tabs>
        <w:spacing w:after="0" w:line="300" w:lineRule="auto"/>
        <w:ind w:left="2160" w:hanging="2160"/>
        <w:jc w:val="left"/>
      </w:pPr>
      <w:r>
        <w:rPr>
          <w:b/>
        </w:rPr>
        <w:t xml:space="preserve">Title of research:</w:t>
      </w:r>
      <w:r>
        <w:tab/>
      </w:r>
      <w:r>
        <w:rPr>
          <w:b w:val="0"/>
        </w:rPr>
        <w:t xml:space="preserve">MAPA: MEDICAL ASSISTANCE PORTAL ACCESS FOR COTABATO REGIONAL AND MEDICAL CENTER</w:t>
      </w:r>
    </w:p>
    <w:p>
      <w:pPr>
        <w:pStyle w:val="BodyofResearch"/>
        <w:tabs>
          <w:tab w:val="left" w:pos="2160"/>
        </w:tabs>
        <w:spacing w:after="0" w:line="300" w:lineRule="auto"/>
        <w:ind w:left="2160" w:hanging="2160"/>
        <w:jc w:val="left"/>
      </w:pPr>
      <w:r>
        <w:rPr>
          <w:b/>
        </w:rPr>
        <w:t xml:space="preserve">Researchers:</w:t>
      </w:r>
      <w:r>
        <w:tab/>
      </w:r>
      <w:r>
        <w:rPr>
          <w:b w:val="0"/>
        </w:rPr>
        <w:t xml:space="preserve">BAHER G. BLAH</w:t>
      </w:r>
    </w:p>
    <w:p>
      <w:pPr>
        <w:pStyle w:val="BodyofResearch"/>
        <w:tabs>
          <w:tab w:val="left" w:pos="2160"/>
        </w:tabs>
        <w:spacing w:after="0" w:line="300" w:lineRule="auto"/>
        <w:ind w:left="2160" w:hanging="2160"/>
        <w:jc w:val="left"/>
      </w:pPr>
      <w:r>
        <w:rPr>
          <w:b/>
        </w:rPr>
        <w:t xml:space="preserve"/>
      </w:r>
      <w:r>
        <w:tab/>
      </w:r>
      <w:r>
        <w:rPr>
          <w:b w:val="0"/>
        </w:rPr>
        <w:t xml:space="preserve">AARON JOHN O. DE ROMA</w:t>
      </w:r>
    </w:p>
    <w:p>
      <w:pPr>
        <w:pStyle w:val="BodyofResearch"/>
        <w:tabs>
          <w:tab w:val="left" w:pos="2160"/>
        </w:tabs>
        <w:spacing w:after="0" w:line="300" w:lineRule="auto"/>
        <w:ind w:left="2160" w:hanging="2160"/>
        <w:jc w:val="left"/>
      </w:pPr>
      <w:r>
        <w:rPr>
          <w:b/>
        </w:rPr>
        <w:t xml:space="preserve"/>
      </w:r>
      <w:r>
        <w:tab/>
      </w:r>
      <w:r>
        <w:rPr>
          <w:b w:val="0"/>
        </w:rPr>
        <w:t xml:space="preserve">SAUD B. KAHARUDIN</w:t>
      </w:r>
    </w:p>
    <w:p>
      <w:pPr>
        <w:pStyle w:val="BodyofResearch"/>
        <w:tabs>
          <w:tab w:val="left" w:pos="2160"/>
        </w:tabs>
        <w:spacing w:after="0" w:line="300" w:lineRule="auto"/>
        <w:ind w:left="2160" w:hanging="2160"/>
        <w:jc w:val="left"/>
      </w:pPr>
      <w:r>
        <w:rPr>
          <w:b/>
        </w:rPr>
        <w:t xml:space="preserve"/>
      </w:r>
      <w:r>
        <w:tab/>
      </w:r>
      <w:r>
        <w:rPr>
          <w:b w:val="0"/>
        </w:rPr>
        <w:t xml:space="preserve">NHORGIBRIEL K. SIBIL</w:t>
      </w:r>
    </w:p>
    <w:p>
      <w:pPr>
        <w:pStyle w:val="BodyofResearch"/>
        <w:tabs>
          <w:tab w:val="left" w:pos="2160"/>
        </w:tabs>
        <w:spacing w:after="0" w:line="300" w:lineRule="auto"/>
        <w:ind w:left="2160" w:hanging="2160"/>
        <w:jc w:val="left"/>
      </w:pPr>
      <w:r>
        <w:rPr>
          <w:b/>
        </w:rPr>
        <w:t xml:space="preserve">Degree:</w:t>
      </w:r>
      <w:r>
        <w:tab/>
      </w:r>
      <w:r>
        <w:rPr>
          <w:b w:val="0"/>
        </w:rPr>
        <w:t xml:space="preserve">Bachelor of Science in Information Technology</w:t>
      </w:r>
    </w:p>
    <w:p>
      <w:pPr>
        <w:pStyle w:val="BodyofResearch"/>
        <w:tabs>
          <w:tab w:val="left" w:pos="2160"/>
        </w:tabs>
        <w:spacing w:after="0" w:line="300" w:lineRule="auto"/>
        <w:ind w:left="2160" w:hanging="2160"/>
        <w:jc w:val="left"/>
      </w:pPr>
      <w:r>
        <w:rPr>
          <w:b/>
        </w:rPr>
        <w:t xml:space="preserve">Date of Completion:</w:t>
      </w:r>
      <w:r>
        <w:tab/>
      </w:r>
      <w:r>
        <w:rPr>
          <w:b w:val="0"/>
        </w:rPr>
        <w:t xml:space="preserve">September 2026</w:t>
      </w:r>
    </w:p>
    <w:p>
      <w:pPr>
        <w:pStyle w:val="BodyofResearch"/>
        <w:tabs>
          <w:tab w:val="left" w:pos="2160"/>
        </w:tabs>
        <w:spacing w:after="0" w:line="300" w:lineRule="auto"/>
        <w:ind w:left="2160" w:hanging="2160"/>
        <w:jc w:val="left"/>
      </w:pPr>
      <w:r>
        <w:rPr>
          <w:b/>
        </w:rPr>
        <w:t xml:space="preserve">Keywords:</w:t>
      </w:r>
      <w:r>
        <w:tab/>
      </w:r>
      <w:r>
        <w:rPr>
          <w:b w:val="0"/>
        </w:rPr>
        <w:t xml:space="preserve">medical financial assistance, co-funding, single-intake gateway, Progressive Web Application, role-based access control, eHealth, Cotabato Regional and Medical Center</w:t>
      </w:r>
    </w:p>
    <w:p>
      <w:pPr>
        <w:pStyle w:val="BodyofResearch"/>
        <w:spacing w:after="0" w:line="240" w:lineRule="auto"/>
      </w:pPr>
    </w:p>
    <w:p>
      <w:pPr>
        <w:pStyle w:val="BodyofResearch"/>
        <w:jc w:val="both"/>
      </w:pPr>
      <w:r>
        <w:rPr>
          <w:b w:val="0"/>
        </w:rPr>
        <w:t xml:space="preserve">Patients seeking medical financial assistance at Cotabato Regional and Medical Center (CRMC) must navigate several independently operating government agencies, each with its own intake desk, documentary requirements, and interview, even though those agencies frequently end up funding portions of the same hospital bill. This study designed, developed, and deployed </w:t>
      </w:r>
      <w:r>
        <w:rPr>
          <w:b/>
        </w:rPr>
        <w:t xml:space="preserve">MAPA: Medical Assistance Portal Access</w:t>
      </w:r>
      <w:r>
        <w:rPr>
          <w:b w:val="0"/>
        </w:rPr>
        <w:t xml:space="preserve">, a bilingual, role-based web platform delivered as an installable Progressive Web Application, to replace that fragmented, presence-dependent process with a single CRMC-operated digital intake gateway.</w:t>
      </w:r>
    </w:p>
    <w:p>
      <w:pPr>
        <w:pStyle w:val="BodyofResearch"/>
        <w:jc w:val="both"/>
      </w:pPr>
      <w:r>
        <w:rPr>
          <w:b w:val="0"/>
        </w:rPr>
        <w:t xml:space="preserve">The problem was established through document analysis of the programs operating at CRMC and a structured interview-questionnaire administered to nine respondents — three patients, three social workers, and three supervisors. Patients rated difficulty in identifying the programs they qualify for at a mean of 4.00 (Agree); social workers identified incomplete documents on arrival as their most significant operational challenge (4.00); and supervisors agreed that manual processing increases administrative burden (4.00) and that a centralized oversight dashboard would benefit the hospital (4.33). All three groups rated the proposed system features at the Agree level (patients 4.37, supervisors 4.20, social workers 3.90).</w:t>
      </w:r>
    </w:p>
    <w:p>
      <w:pPr>
        <w:pStyle w:val="BodyofResearch"/>
        <w:jc w:val="both"/>
      </w:pPr>
      <w:r>
        <w:rPr>
          <w:b w:val="0"/>
        </w:rPr>
        <w:t xml:space="preserve">The system was built with React, Vite, and Tailwind CSS on a Firebase backend (Cloud Firestore, Authentication, Cloud Functions) and deployed on Vercel. Its defining characteristic is a </w:t>
      </w:r>
      <w:r>
        <w:rPr>
          <w:b/>
        </w:rPr>
        <w:t xml:space="preserve">CRMC-gateway co-funding model</w:t>
      </w:r>
      <w:r>
        <w:rPr>
          <w:b w:val="0"/>
        </w:rPr>
        <w:t xml:space="preserve">: the patient files one request stating the hospital bill, uploads documents once, and attends one assessment interview; CRMC verifies the documents, applies PhilHealth as the statutory first charge under the Order of Charging, and endorses only the residual balance to one or more partner agencies — DOH-MAIP, PCSO MAP, DSWD AICS, and AMBaG — as funding slices that layer toward a zero balance. Each agency decides its own share independently and issues its own Guarantee Letter within a data-isolated workspace. Five roles are enforced entirely by server-side Firestore Security Rules.</w:t>
      </w:r>
    </w:p>
    <w:p>
      <w:pPr>
        <w:pStyle w:val="BodyofResearch"/>
        <w:jc w:val="both"/>
      </w:pPr>
      <w:r>
        <w:rPr>
          <w:b w:val="0"/>
        </w:rPr>
        <w:t xml:space="preserve">Verification combined automated and manual methods. The system carries </w:t>
      </w:r>
      <w:r>
        <w:rPr>
          <w:b/>
        </w:rPr>
        <w:t xml:space="preserve">286 automated tests</w:t>
      </w:r>
      <w:r>
        <w:rPr>
          <w:b w:val="0"/>
        </w:rPr>
        <w:t xml:space="preserve"> across four suites — unit, component, Cloud Function, and security-rules — plus an end-to-end browser smoke suite, all executed by continuous integration on every change. A structured read-pass review of every page produced 29 documented correctness fixes, and a live prompt-injection attempt against the audit log in June 2026 was detected, contained, and closed through three layered security-rule passes, each with a regression test replaying the attack.</w:t>
      </w:r>
    </w:p>
    <w:p>
      <w:pPr>
        <w:pStyle w:val="BodyofResearch"/>
        <w:jc w:val="both"/>
      </w:pPr>
      <w:r>
        <w:rPr>
          <w:b w:val="0"/>
        </w:rPr>
        <w:t xml:space="preserve">The study concludes that a single-intake gateway is both technically achievable and institutionally acceptable in a Philippine public-hospital setting, and that the largest remaining barriers to sustained operation are governance rather than engineering: institutional ownership of the deployment, a Data Protection Officer's sign-off on a retention policy, and a transactional email sender on a CRMC-owned domain. The system is recommended for pilot operation at CRMC's Malasakit Center under those conditions.</w:t>
      </w:r>
    </w:p>
    <w:p>
      <w:r>
        <w:br w:type="page"/>
      </w:r>
    </w:p>
    <w:p>
      <w:pPr>
        <w:pStyle w:val="BodyofResearch"/>
        <w:spacing w:after="0" w:line="240" w:lineRule="auto"/>
      </w:pPr>
    </w:p>
    <w:p>
      <w:pPr>
        <w:pStyle w:val="BodyofResearch"/>
        <w:spacing w:after="0" w:line="360" w:lineRule="auto"/>
        <w:jc w:val="center"/>
      </w:pPr>
      <w:r>
        <w:rPr>
          <w:b/>
        </w:rPr>
        <w:t xml:space="preserve">TABLE OF CONTENTS</w:t>
      </w:r>
    </w:p>
    <w:p>
      <w:pPr>
        <w:pStyle w:val="BodyofResearch"/>
        <w:spacing w:after="0" w:line="240" w:lineRule="auto"/>
      </w:pPr>
    </w:p>
    <w:p>
      <w:pPr>
        <w:pStyle w:val="BodyofResearch"/>
        <w:tabs>
          <w:tab w:val="right" w:leader="dot" w:pos="9000"/>
        </w:tabs>
        <w:spacing w:after="0" w:line="300" w:lineRule="auto"/>
        <w:ind w:left="0" w:right="0"/>
        <w:jc w:val="left"/>
      </w:pPr>
      <w:r>
        <w:rPr>
          <w:b/>
        </w:rPr>
        <w:t xml:space="preserve">Title Page</w:t>
      </w:r>
      <w:r>
        <w:rPr>
          <w:b/>
        </w:rPr>
        <w:tab/>
      </w:r>
      <w:r>
        <w:rPr>
          <w:b/>
        </w:rPr>
        <w:t>i</w:t>
      </w:r>
    </w:p>
    <w:p>
      <w:pPr>
        <w:pStyle w:val="BodyofResearch"/>
        <w:tabs>
          <w:tab w:val="right" w:leader="dot" w:pos="9000"/>
        </w:tabs>
        <w:spacing w:after="0" w:line="300" w:lineRule="auto"/>
        <w:ind w:left="0" w:right="0"/>
        <w:jc w:val="left"/>
      </w:pPr>
      <w:r>
        <w:rPr>
          <w:b/>
        </w:rPr>
        <w:t xml:space="preserve">Endorsement Form for Final Defense</w:t>
      </w:r>
      <w:r>
        <w:rPr>
          <w:b/>
        </w:rPr>
        <w:tab/>
      </w:r>
      <w:r>
        <w:rPr>
          <w:b/>
        </w:rPr>
        <w:t>ii</w:t>
      </w:r>
    </w:p>
    <w:p>
      <w:pPr>
        <w:pStyle w:val="BodyofResearch"/>
        <w:tabs>
          <w:tab w:val="right" w:leader="dot" w:pos="9000"/>
        </w:tabs>
        <w:spacing w:after="0" w:line="300" w:lineRule="auto"/>
        <w:ind w:left="0" w:right="0"/>
        <w:jc w:val="left"/>
      </w:pPr>
      <w:r>
        <w:rPr>
          <w:b/>
        </w:rPr>
        <w:t xml:space="preserve">Approval Sheet</w:t>
      </w:r>
      <w:r>
        <w:rPr>
          <w:b/>
        </w:rPr>
        <w:tab/>
      </w:r>
      <w:r>
        <w:rPr>
          <w:b/>
        </w:rPr>
        <w:t>iv</w:t>
      </w:r>
    </w:p>
    <w:p>
      <w:pPr>
        <w:pStyle w:val="BodyofResearch"/>
        <w:tabs>
          <w:tab w:val="right" w:leader="dot" w:pos="9000"/>
        </w:tabs>
        <w:spacing w:after="0" w:line="300" w:lineRule="auto"/>
        <w:ind w:left="0" w:right="0"/>
        <w:jc w:val="left"/>
      </w:pPr>
      <w:r>
        <w:rPr>
          <w:b/>
        </w:rPr>
        <w:t xml:space="preserve">Acknowledgements</w:t>
      </w:r>
      <w:r>
        <w:rPr>
          <w:b/>
        </w:rPr>
        <w:tab/>
      </w:r>
      <w:r>
        <w:rPr>
          <w:b/>
        </w:rPr>
        <w:t>v</w:t>
      </w:r>
    </w:p>
    <w:p>
      <w:pPr>
        <w:pStyle w:val="BodyofResearch"/>
        <w:tabs>
          <w:tab w:val="right" w:leader="dot" w:pos="9000"/>
        </w:tabs>
        <w:spacing w:after="0" w:line="300" w:lineRule="auto"/>
        <w:ind w:left="0" w:right="0"/>
        <w:jc w:val="left"/>
      </w:pPr>
      <w:r>
        <w:rPr>
          <w:b/>
        </w:rPr>
        <w:t xml:space="preserve">Abstract</w:t>
      </w:r>
      <w:r>
        <w:rPr>
          <w:b/>
        </w:rPr>
        <w:tab/>
      </w:r>
      <w:r>
        <w:rPr>
          <w:b/>
        </w:rPr>
        <w:t>vii</w:t>
      </w:r>
    </w:p>
    <w:p>
      <w:pPr>
        <w:pStyle w:val="BodyofResearch"/>
        <w:tabs>
          <w:tab w:val="right" w:leader="dot" w:pos="9000"/>
        </w:tabs>
        <w:spacing w:after="0" w:line="300" w:lineRule="auto"/>
        <w:ind w:left="0" w:right="0"/>
        <w:jc w:val="left"/>
      </w:pPr>
      <w:r>
        <w:rPr>
          <w:b/>
        </w:rPr>
        <w:t xml:space="preserve">Table of Contents</w:t>
      </w:r>
      <w:r>
        <w:rPr>
          <w:b/>
        </w:rPr>
        <w:tab/>
      </w:r>
      <w:r>
        <w:rPr>
          <w:b/>
        </w:rPr>
        <w:t>ix</w:t>
      </w:r>
    </w:p>
    <w:p>
      <w:pPr>
        <w:pStyle w:val="BodyofResearch"/>
        <w:tabs>
          <w:tab w:val="right" w:leader="dot" w:pos="9000"/>
        </w:tabs>
        <w:spacing w:after="0" w:line="300" w:lineRule="auto"/>
        <w:ind w:left="0" w:right="0"/>
        <w:jc w:val="left"/>
      </w:pPr>
      <w:r>
        <w:rPr>
          <w:b/>
        </w:rPr>
        <w:t xml:space="preserve">List of Tables</w:t>
      </w:r>
      <w:r>
        <w:rPr>
          <w:b/>
        </w:rPr>
        <w:tab/>
      </w:r>
      <w:r>
        <w:rPr>
          <w:b/>
        </w:rPr>
        <w:t>xi</w:t>
      </w:r>
    </w:p>
    <w:p>
      <w:pPr>
        <w:pStyle w:val="BodyofResearch"/>
        <w:tabs>
          <w:tab w:val="right" w:leader="dot" w:pos="9000"/>
        </w:tabs>
        <w:spacing w:after="0" w:line="300" w:lineRule="auto"/>
        <w:ind w:left="0" w:right="0"/>
        <w:jc w:val="left"/>
      </w:pPr>
      <w:r>
        <w:rPr>
          <w:b/>
        </w:rPr>
        <w:t xml:space="preserve">List of Figures</w:t>
      </w:r>
      <w:r>
        <w:rPr>
          <w:b/>
        </w:rPr>
        <w:tab/>
      </w:r>
      <w:r>
        <w:rPr>
          <w:b/>
        </w:rPr>
        <w:t>xii</w:t>
      </w:r>
    </w:p>
    <w:p>
      <w:pPr>
        <w:pStyle w:val="BodyofResearch"/>
        <w:tabs>
          <w:tab w:val="right" w:leader="dot" w:pos="9000"/>
        </w:tabs>
        <w:spacing w:after="0" w:line="300" w:lineRule="auto"/>
        <w:ind w:left="0" w:right="0"/>
        <w:jc w:val="left"/>
      </w:pPr>
      <w:r>
        <w:rPr>
          <w:b/>
        </w:rPr>
        <w:t xml:space="preserve">Introduction</w:t>
      </w:r>
      <w:r>
        <w:rPr>
          <w:b/>
        </w:rPr>
        <w:tab/>
      </w:r>
      <w:r>
        <w:rPr>
          <w:b/>
        </w:rPr>
        <w:t>1</w:t>
      </w:r>
    </w:p>
    <w:p>
      <w:pPr>
        <w:pStyle w:val="BodyofResearch"/>
        <w:tabs>
          <w:tab w:val="right" w:leader="dot" w:pos="9000"/>
        </w:tabs>
        <w:spacing w:after="0" w:line="300" w:lineRule="auto"/>
        <w:ind w:left="360" w:right="0"/>
        <w:jc w:val="left"/>
      </w:pPr>
      <w:r>
        <w:rPr>
          <w:b w:val="0"/>
        </w:rPr>
        <w:t xml:space="preserve">Project Context</w:t>
      </w:r>
      <w:r>
        <w:rPr>
          <w:b w:val="0"/>
        </w:rPr>
        <w:tab/>
      </w:r>
      <w:r>
        <w:rPr>
          <w:b w:val="0"/>
        </w:rPr>
        <w:t>1</w:t>
      </w:r>
    </w:p>
    <w:p>
      <w:pPr>
        <w:pStyle w:val="BodyofResearch"/>
        <w:tabs>
          <w:tab w:val="right" w:leader="dot" w:pos="9000"/>
        </w:tabs>
        <w:spacing w:after="0" w:line="300" w:lineRule="auto"/>
        <w:ind w:left="360" w:right="0"/>
        <w:jc w:val="left"/>
      </w:pPr>
      <w:r>
        <w:rPr>
          <w:b w:val="0"/>
        </w:rPr>
        <w:t xml:space="preserve">Statement of the Problem</w:t>
      </w:r>
      <w:r>
        <w:rPr>
          <w:b w:val="0"/>
        </w:rPr>
        <w:tab/>
      </w:r>
      <w:r>
        <w:rPr>
          <w:b w:val="0"/>
        </w:rPr>
        <w:t>5</w:t>
      </w:r>
    </w:p>
    <w:p>
      <w:pPr>
        <w:pStyle w:val="BodyofResearch"/>
        <w:tabs>
          <w:tab w:val="right" w:leader="dot" w:pos="9000"/>
        </w:tabs>
        <w:spacing w:after="0" w:line="300" w:lineRule="auto"/>
        <w:ind w:left="360" w:right="0"/>
        <w:jc w:val="left"/>
      </w:pPr>
      <w:r>
        <w:rPr>
          <w:b w:val="0"/>
        </w:rPr>
        <w:t xml:space="preserve">Purpose and Description</w:t>
      </w:r>
      <w:r>
        <w:rPr>
          <w:b w:val="0"/>
        </w:rPr>
        <w:tab/>
      </w:r>
      <w:r>
        <w:rPr>
          <w:b w:val="0"/>
        </w:rPr>
        <w:t>7</w:t>
      </w:r>
    </w:p>
    <w:p>
      <w:pPr>
        <w:pStyle w:val="BodyofResearch"/>
        <w:tabs>
          <w:tab w:val="right" w:leader="dot" w:pos="9000"/>
        </w:tabs>
        <w:spacing w:after="0" w:line="300" w:lineRule="auto"/>
        <w:ind w:left="360" w:right="0"/>
        <w:jc w:val="left"/>
      </w:pPr>
      <w:r>
        <w:rPr>
          <w:b w:val="0"/>
        </w:rPr>
        <w:t xml:space="preserve">Objectives</w:t>
      </w:r>
      <w:r>
        <w:rPr>
          <w:b w:val="0"/>
        </w:rPr>
        <w:tab/>
      </w:r>
      <w:r>
        <w:rPr>
          <w:b w:val="0"/>
        </w:rPr>
        <w:t>11</w:t>
      </w:r>
    </w:p>
    <w:p>
      <w:pPr>
        <w:pStyle w:val="BodyofResearch"/>
        <w:tabs>
          <w:tab w:val="right" w:leader="dot" w:pos="9000"/>
        </w:tabs>
        <w:spacing w:after="0" w:line="300" w:lineRule="auto"/>
        <w:ind w:left="360" w:right="0"/>
        <w:jc w:val="left"/>
      </w:pPr>
      <w:r>
        <w:rPr>
          <w:b w:val="0"/>
        </w:rPr>
        <w:t xml:space="preserve">Scope and Limitations</w:t>
      </w:r>
      <w:r>
        <w:rPr>
          <w:b w:val="0"/>
        </w:rPr>
        <w:tab/>
      </w:r>
      <w:r>
        <w:rPr>
          <w:b w:val="0"/>
        </w:rPr>
        <w:t>13</w:t>
      </w:r>
    </w:p>
    <w:p>
      <w:pPr>
        <w:pStyle w:val="BodyofResearch"/>
        <w:tabs>
          <w:tab w:val="right" w:leader="dot" w:pos="9000"/>
        </w:tabs>
        <w:spacing w:after="0" w:line="300" w:lineRule="auto"/>
        <w:ind w:left="360" w:right="0"/>
        <w:jc w:val="left"/>
      </w:pPr>
      <w:r>
        <w:rPr>
          <w:b w:val="0"/>
        </w:rPr>
        <w:t xml:space="preserve">Review of Related Literature, Studies, and Systems</w:t>
      </w:r>
      <w:r>
        <w:rPr>
          <w:b w:val="0"/>
        </w:rPr>
        <w:tab/>
      </w:r>
      <w:r>
        <w:rPr>
          <w:b w:val="0"/>
        </w:rPr>
        <w:t>18</w:t>
      </w:r>
    </w:p>
    <w:p>
      <w:pPr>
        <w:pStyle w:val="BodyofResearch"/>
        <w:tabs>
          <w:tab w:val="right" w:leader="dot" w:pos="9000"/>
        </w:tabs>
        <w:spacing w:after="0" w:line="300" w:lineRule="auto"/>
        <w:ind w:left="0" w:right="0"/>
        <w:jc w:val="left"/>
      </w:pPr>
      <w:r>
        <w:rPr>
          <w:b/>
        </w:rPr>
        <w:t xml:space="preserve">Methodology</w:t>
      </w:r>
      <w:r>
        <w:rPr>
          <w:b/>
        </w:rPr>
        <w:tab/>
      </w:r>
      <w:r>
        <w:rPr>
          <w:b/>
        </w:rPr>
        <w:t>30</w:t>
      </w:r>
    </w:p>
    <w:p>
      <w:pPr>
        <w:pStyle w:val="BodyofResearch"/>
        <w:tabs>
          <w:tab w:val="right" w:leader="dot" w:pos="9000"/>
        </w:tabs>
        <w:spacing w:after="0" w:line="300" w:lineRule="auto"/>
        <w:ind w:left="360" w:right="0"/>
        <w:jc w:val="left"/>
      </w:pPr>
      <w:r>
        <w:rPr>
          <w:b w:val="0"/>
        </w:rPr>
        <w:t xml:space="preserve">Technical Background</w:t>
      </w:r>
      <w:r>
        <w:rPr>
          <w:b w:val="0"/>
        </w:rPr>
        <w:tab/>
      </w:r>
      <w:r>
        <w:rPr>
          <w:b w:val="0"/>
        </w:rPr>
        <w:t>30</w:t>
      </w:r>
    </w:p>
    <w:p>
      <w:pPr>
        <w:pStyle w:val="BodyofResearch"/>
        <w:tabs>
          <w:tab w:val="right" w:leader="dot" w:pos="9000"/>
        </w:tabs>
        <w:spacing w:after="0" w:line="300" w:lineRule="auto"/>
        <w:ind w:left="360" w:right="0"/>
        <w:jc w:val="left"/>
      </w:pPr>
      <w:r>
        <w:rPr>
          <w:b w:val="0"/>
        </w:rPr>
        <w:t xml:space="preserve">Requirement Analysis</w:t>
      </w:r>
      <w:r>
        <w:rPr>
          <w:b w:val="0"/>
        </w:rPr>
        <w:tab/>
      </w:r>
      <w:r>
        <w:rPr>
          <w:b w:val="0"/>
        </w:rPr>
        <w:t>44</w:t>
      </w:r>
    </w:p>
    <w:p>
      <w:pPr>
        <w:pStyle w:val="BodyofResearch"/>
        <w:tabs>
          <w:tab w:val="right" w:leader="dot" w:pos="9000"/>
        </w:tabs>
        <w:spacing w:after="0" w:line="300" w:lineRule="auto"/>
        <w:ind w:left="360" w:right="0"/>
        <w:jc w:val="left"/>
      </w:pPr>
      <w:r>
        <w:rPr>
          <w:b w:val="0"/>
        </w:rPr>
        <w:t xml:space="preserve">Requirements Documentation</w:t>
      </w:r>
      <w:r>
        <w:rPr>
          <w:b w:val="0"/>
        </w:rPr>
        <w:tab/>
      </w:r>
      <w:r>
        <w:rPr>
          <w:b w:val="0"/>
        </w:rPr>
        <w:t>53</w:t>
      </w:r>
    </w:p>
    <w:p>
      <w:pPr>
        <w:pStyle w:val="BodyofResearch"/>
        <w:tabs>
          <w:tab w:val="right" w:leader="dot" w:pos="9000"/>
        </w:tabs>
        <w:spacing w:after="0" w:line="300" w:lineRule="auto"/>
        <w:ind w:left="360" w:right="0"/>
        <w:jc w:val="left"/>
      </w:pPr>
      <w:r>
        <w:rPr>
          <w:b w:val="0"/>
        </w:rPr>
        <w:t xml:space="preserve">Design of Software, System, Product, and/or Processes</w:t>
      </w:r>
      <w:r>
        <w:rPr>
          <w:b w:val="0"/>
        </w:rPr>
        <w:tab/>
      </w:r>
      <w:r>
        <w:rPr>
          <w:b w:val="0"/>
        </w:rPr>
        <w:t>59</w:t>
      </w:r>
    </w:p>
    <w:p>
      <w:pPr>
        <w:pStyle w:val="BodyofResearch"/>
        <w:tabs>
          <w:tab w:val="right" w:leader="dot" w:pos="9000"/>
        </w:tabs>
        <w:spacing w:after="0" w:line="300" w:lineRule="auto"/>
        <w:ind w:left="360" w:right="0"/>
        <w:jc w:val="left"/>
      </w:pPr>
      <w:r>
        <w:rPr>
          <w:b w:val="0"/>
        </w:rPr>
        <w:t xml:space="preserve">Development</w:t>
      </w:r>
      <w:r>
        <w:rPr>
          <w:b w:val="0"/>
        </w:rPr>
        <w:tab/>
      </w:r>
      <w:r>
        <w:rPr>
          <w:b w:val="0"/>
        </w:rPr>
        <w:t>76</w:t>
      </w:r>
    </w:p>
    <w:p>
      <w:pPr>
        <w:pStyle w:val="BodyofResearch"/>
        <w:tabs>
          <w:tab w:val="right" w:leader="dot" w:pos="9000"/>
        </w:tabs>
        <w:spacing w:after="0" w:line="300" w:lineRule="auto"/>
        <w:ind w:left="0" w:right="0"/>
        <w:jc w:val="left"/>
      </w:pPr>
      <w:r>
        <w:rPr>
          <w:b/>
        </w:rPr>
        <w:t xml:space="preserve">Results and Discussion</w:t>
      </w:r>
      <w:r>
        <w:rPr>
          <w:b/>
        </w:rPr>
        <w:tab/>
      </w:r>
      <w:r>
        <w:rPr>
          <w:b/>
        </w:rPr>
        <w:t>79</w:t>
      </w:r>
    </w:p>
    <w:p>
      <w:pPr>
        <w:pStyle w:val="BodyofResearch"/>
        <w:tabs>
          <w:tab w:val="right" w:leader="dot" w:pos="9000"/>
        </w:tabs>
        <w:spacing w:after="0" w:line="300" w:lineRule="auto"/>
        <w:ind w:left="360" w:right="0"/>
        <w:jc w:val="left"/>
      </w:pPr>
      <w:r>
        <w:rPr>
          <w:b w:val="0"/>
        </w:rPr>
        <w:t xml:space="preserve">Testing</w:t>
      </w:r>
      <w:r>
        <w:rPr>
          <w:b w:val="0"/>
        </w:rPr>
        <w:tab/>
      </w:r>
      <w:r>
        <w:rPr>
          <w:b w:val="0"/>
        </w:rPr>
        <w:t>79</w:t>
      </w:r>
    </w:p>
    <w:p>
      <w:pPr>
        <w:pStyle w:val="BodyofResearch"/>
        <w:tabs>
          <w:tab w:val="right" w:leader="dot" w:pos="9000"/>
        </w:tabs>
        <w:spacing w:after="0" w:line="300" w:lineRule="auto"/>
        <w:ind w:left="360" w:right="0"/>
        <w:jc w:val="left"/>
      </w:pPr>
      <w:r>
        <w:rPr>
          <w:b w:val="0"/>
        </w:rPr>
        <w:t xml:space="preserve">Description of Prototype</w:t>
      </w:r>
      <w:r>
        <w:rPr>
          <w:b w:val="0"/>
        </w:rPr>
        <w:tab/>
      </w:r>
      <w:r>
        <w:rPr>
          <w:b w:val="0"/>
        </w:rPr>
        <w:t>89</w:t>
      </w:r>
    </w:p>
    <w:p>
      <w:pPr>
        <w:pStyle w:val="BodyofResearch"/>
        <w:tabs>
          <w:tab w:val="right" w:leader="dot" w:pos="9000"/>
        </w:tabs>
        <w:spacing w:after="0" w:line="300" w:lineRule="auto"/>
        <w:ind w:left="360" w:right="0"/>
        <w:jc w:val="left"/>
      </w:pPr>
      <w:r>
        <w:rPr>
          <w:b w:val="0"/>
        </w:rPr>
        <w:t xml:space="preserve">Implementation Plan</w:t>
      </w:r>
      <w:r>
        <w:rPr>
          <w:b w:val="0"/>
        </w:rPr>
        <w:tab/>
      </w:r>
      <w:r>
        <w:rPr>
          <w:b w:val="0"/>
        </w:rPr>
        <w:t>91</w:t>
      </w:r>
    </w:p>
    <w:p>
      <w:pPr>
        <w:pStyle w:val="BodyofResearch"/>
        <w:tabs>
          <w:tab w:val="right" w:leader="dot" w:pos="9000"/>
        </w:tabs>
        <w:spacing w:after="0" w:line="300" w:lineRule="auto"/>
        <w:ind w:left="360" w:right="0"/>
        <w:jc w:val="left"/>
      </w:pPr>
      <w:r>
        <w:rPr>
          <w:b w:val="0"/>
        </w:rPr>
        <w:t xml:space="preserve">Implementation Results</w:t>
      </w:r>
      <w:r>
        <w:rPr>
          <w:b w:val="0"/>
        </w:rPr>
        <w:tab/>
      </w:r>
      <w:r>
        <w:rPr>
          <w:b w:val="0"/>
        </w:rPr>
        <w:t>94</w:t>
      </w:r>
    </w:p>
    <w:p>
      <w:pPr>
        <w:pStyle w:val="BodyofResearch"/>
        <w:tabs>
          <w:tab w:val="right" w:leader="dot" w:pos="9000"/>
        </w:tabs>
        <w:spacing w:after="0" w:line="300" w:lineRule="auto"/>
        <w:ind w:left="0" w:right="0"/>
        <w:jc w:val="left"/>
      </w:pPr>
      <w:r>
        <w:rPr>
          <w:b/>
        </w:rPr>
        <w:t xml:space="preserve">Conclusion</w:t>
      </w:r>
      <w:r>
        <w:rPr>
          <w:b/>
        </w:rPr>
        <w:tab/>
      </w:r>
      <w:r>
        <w:rPr>
          <w:b/>
        </w:rPr>
        <w:t>99</w:t>
      </w:r>
    </w:p>
    <w:p>
      <w:pPr>
        <w:pStyle w:val="BodyofResearch"/>
        <w:tabs>
          <w:tab w:val="right" w:leader="dot" w:pos="9000"/>
        </w:tabs>
        <w:spacing w:after="0" w:line="300" w:lineRule="auto"/>
        <w:ind w:left="360" w:right="0"/>
        <w:jc w:val="left"/>
      </w:pPr>
      <w:r>
        <w:rPr>
          <w:b w:val="0"/>
        </w:rPr>
        <w:t xml:space="preserve">Summary</w:t>
      </w:r>
      <w:r>
        <w:rPr>
          <w:b w:val="0"/>
        </w:rPr>
        <w:tab/>
      </w:r>
      <w:r>
        <w:rPr>
          <w:b w:val="0"/>
        </w:rPr>
        <w:t>99</w:t>
      </w:r>
    </w:p>
    <w:p>
      <w:pPr>
        <w:pStyle w:val="BodyofResearch"/>
        <w:tabs>
          <w:tab w:val="right" w:leader="dot" w:pos="9000"/>
        </w:tabs>
        <w:spacing w:after="0" w:line="300" w:lineRule="auto"/>
        <w:ind w:left="360" w:right="0"/>
        <w:jc w:val="left"/>
      </w:pPr>
      <w:r>
        <w:rPr>
          <w:b w:val="0"/>
        </w:rPr>
        <w:t xml:space="preserve">Conclusions</w:t>
      </w:r>
      <w:r>
        <w:rPr>
          <w:b w:val="0"/>
        </w:rPr>
        <w:tab/>
      </w:r>
      <w:r>
        <w:rPr>
          <w:b w:val="0"/>
        </w:rPr>
        <w:t>100</w:t>
      </w:r>
    </w:p>
    <w:p>
      <w:pPr>
        <w:pStyle w:val="BodyofResearch"/>
        <w:tabs>
          <w:tab w:val="right" w:leader="dot" w:pos="9000"/>
        </w:tabs>
        <w:spacing w:after="0" w:line="300" w:lineRule="auto"/>
        <w:ind w:left="360" w:right="0"/>
        <w:jc w:val="left"/>
      </w:pPr>
      <w:r>
        <w:rPr>
          <w:b w:val="0"/>
        </w:rPr>
        <w:t xml:space="preserve">Recommendations</w:t>
      </w:r>
      <w:r>
        <w:rPr>
          <w:b w:val="0"/>
        </w:rPr>
        <w:tab/>
      </w:r>
      <w:r>
        <w:rPr>
          <w:b w:val="0"/>
        </w:rPr>
        <w:t>102</w:t>
      </w:r>
    </w:p>
    <w:p>
      <w:pPr>
        <w:pStyle w:val="BodyofResearch"/>
        <w:tabs>
          <w:tab w:val="right" w:leader="dot" w:pos="9000"/>
        </w:tabs>
        <w:spacing w:after="0" w:line="300" w:lineRule="auto"/>
        <w:ind w:left="0" w:right="0"/>
        <w:jc w:val="left"/>
      </w:pPr>
      <w:r>
        <w:rPr>
          <w:b/>
        </w:rPr>
        <w:t xml:space="preserve">References</w:t>
      </w:r>
      <w:r>
        <w:rPr>
          <w:b/>
        </w:rPr>
        <w:tab/>
      </w:r>
      <w:r>
        <w:rPr>
          <w:b/>
        </w:rPr>
        <w:t>105</w:t>
      </w:r>
    </w:p>
    <w:p>
      <w:pPr>
        <w:pStyle w:val="BodyofResearch"/>
        <w:tabs>
          <w:tab w:val="right" w:leader="dot" w:pos="9000"/>
        </w:tabs>
        <w:spacing w:after="0" w:line="300" w:lineRule="auto"/>
        <w:ind w:left="0" w:right="0"/>
        <w:jc w:val="left"/>
      </w:pPr>
      <w:r>
        <w:rPr>
          <w:b/>
        </w:rPr>
        <w:t xml:space="preserve">Appendices</w:t>
      </w:r>
      <w:r>
        <w:rPr>
          <w:b/>
        </w:rPr>
        <w:tab/>
      </w:r>
      <w:r>
        <w:rPr>
          <w:b/>
        </w:rPr>
        <w:t>107</w:t>
      </w:r>
    </w:p>
    <w:p>
      <w:pPr>
        <w:pStyle w:val="BodyofResearch"/>
        <w:tabs>
          <w:tab w:val="right" w:leader="dot" w:pos="9000"/>
        </w:tabs>
        <w:spacing w:after="0" w:line="300" w:lineRule="auto"/>
        <w:ind w:left="360" w:right="0"/>
        <w:jc w:val="left"/>
      </w:pPr>
      <w:r>
        <w:rPr>
          <w:b w:val="0"/>
        </w:rPr>
        <w:t xml:space="preserve">Appendix A. Resource Persons</w:t>
      </w:r>
      <w:r>
        <w:rPr>
          <w:b w:val="0"/>
        </w:rPr>
        <w:tab/>
      </w:r>
      <w:r>
        <w:rPr>
          <w:b w:val="0"/>
        </w:rPr>
        <w:t>108</w:t>
      </w:r>
    </w:p>
    <w:p>
      <w:pPr>
        <w:pStyle w:val="BodyofResearch"/>
        <w:tabs>
          <w:tab w:val="right" w:leader="dot" w:pos="9000"/>
        </w:tabs>
        <w:spacing w:after="0" w:line="300" w:lineRule="auto"/>
        <w:ind w:left="360" w:right="0"/>
        <w:jc w:val="left"/>
      </w:pPr>
      <w:r>
        <w:rPr>
          <w:b w:val="0"/>
        </w:rPr>
        <w:t xml:space="preserve">Appendix B. Relevant Source Code</w:t>
      </w:r>
      <w:r>
        <w:rPr>
          <w:b w:val="0"/>
        </w:rPr>
        <w:tab/>
      </w:r>
      <w:r>
        <w:rPr>
          <w:b w:val="0"/>
        </w:rPr>
        <w:t>110</w:t>
      </w:r>
    </w:p>
    <w:p>
      <w:pPr>
        <w:pStyle w:val="BodyofResearch"/>
        <w:tabs>
          <w:tab w:val="right" w:leader="dot" w:pos="9000"/>
        </w:tabs>
        <w:spacing w:after="0" w:line="300" w:lineRule="auto"/>
        <w:ind w:left="360" w:right="0"/>
        <w:jc w:val="left"/>
      </w:pPr>
      <w:r>
        <w:rPr>
          <w:b w:val="0"/>
        </w:rPr>
        <w:t xml:space="preserve">Appendix C. Evaluation Tool / Test Documents</w:t>
      </w:r>
      <w:r>
        <w:rPr>
          <w:b w:val="0"/>
        </w:rPr>
        <w:tab/>
      </w:r>
      <w:r>
        <w:rPr>
          <w:b w:val="0"/>
        </w:rPr>
        <w:t>113</w:t>
      </w:r>
    </w:p>
    <w:p>
      <w:pPr>
        <w:pStyle w:val="BodyofResearch"/>
        <w:tabs>
          <w:tab w:val="right" w:leader="dot" w:pos="9000"/>
        </w:tabs>
        <w:spacing w:after="0" w:line="300" w:lineRule="auto"/>
        <w:ind w:left="360" w:right="0"/>
        <w:jc w:val="left"/>
      </w:pPr>
      <w:r>
        <w:rPr>
          <w:b w:val="0"/>
        </w:rPr>
        <w:t xml:space="preserve">Appendix D. Sample Input / Output / Reports</w:t>
      </w:r>
      <w:r>
        <w:rPr>
          <w:b w:val="0"/>
        </w:rPr>
        <w:tab/>
      </w:r>
      <w:r>
        <w:rPr>
          <w:b w:val="0"/>
        </w:rPr>
        <w:t>115</w:t>
      </w:r>
    </w:p>
    <w:p>
      <w:pPr>
        <w:pStyle w:val="BodyofResearch"/>
        <w:tabs>
          <w:tab w:val="right" w:leader="dot" w:pos="9000"/>
        </w:tabs>
        <w:spacing w:after="0" w:line="300" w:lineRule="auto"/>
        <w:ind w:left="360" w:right="0"/>
        <w:jc w:val="left"/>
      </w:pPr>
      <w:r>
        <w:rPr>
          <w:b w:val="0"/>
        </w:rPr>
        <w:t xml:space="preserve">Appendix E. User's Guide</w:t>
      </w:r>
      <w:r>
        <w:rPr>
          <w:b w:val="0"/>
        </w:rPr>
        <w:tab/>
      </w:r>
      <w:r>
        <w:rPr>
          <w:b w:val="0"/>
        </w:rPr>
        <w:t>118</w:t>
      </w:r>
    </w:p>
    <w:p>
      <w:pPr>
        <w:pStyle w:val="BodyofResearch"/>
        <w:tabs>
          <w:tab w:val="right" w:leader="dot" w:pos="9000"/>
        </w:tabs>
        <w:spacing w:after="0" w:line="300" w:lineRule="auto"/>
        <w:ind w:left="360" w:right="0"/>
        <w:jc w:val="left"/>
      </w:pPr>
      <w:r>
        <w:rPr>
          <w:b w:val="0"/>
        </w:rPr>
        <w:t xml:space="preserve">Appendix F. Personal Technical Vitae</w:t>
      </w:r>
      <w:r>
        <w:rPr>
          <w:b w:val="0"/>
        </w:rPr>
        <w:tab/>
      </w:r>
      <w:r>
        <w:rPr>
          <w:b w:val="0"/>
        </w:rPr>
        <w:t>123</w:t>
      </w:r>
    </w:p>
    <w:p>
      <w:r>
        <w:br w:type="page"/>
      </w:r>
    </w:p>
    <w:p>
      <w:pPr>
        <w:pStyle w:val="BodyofResearch"/>
        <w:spacing w:after="0" w:line="240" w:lineRule="auto"/>
      </w:pPr>
    </w:p>
    <w:p>
      <w:pPr>
        <w:pStyle w:val="BodyofResearch"/>
        <w:spacing w:after="0" w:line="360" w:lineRule="auto"/>
        <w:jc w:val="center"/>
      </w:pPr>
      <w:r>
        <w:rPr>
          <w:b/>
        </w:rPr>
        <w:t xml:space="preserve">LIST OF TABLES</w:t>
      </w:r>
    </w:p>
    <w:p>
      <w:pPr>
        <w:pStyle w:val="BodyofResearch"/>
        <w:spacing w:after="0" w:line="240" w:lineRule="auto"/>
      </w:pPr>
    </w:p>
    <w:p>
      <w:pPr>
        <w:pStyle w:val="BodyofResearch"/>
        <w:tabs>
          <w:tab w:val="right" w:leader="dot" w:pos="9000"/>
        </w:tabs>
        <w:spacing w:after="0" w:line="300" w:lineRule="auto"/>
        <w:ind w:left="0" w:right="0"/>
        <w:jc w:val="left"/>
      </w:pPr>
      <w:r>
        <w:rPr>
          <w:b/>
        </w:rPr>
        <w:t xml:space="preserve">Table 1. Patient Functional Requirements</w:t>
      </w:r>
      <w:r>
        <w:rPr>
          <w:b/>
        </w:rPr>
        <w:tab/>
      </w:r>
      <w:r>
        <w:rPr>
          <w:b/>
        </w:rPr>
        <w:t>53</w:t>
      </w:r>
    </w:p>
    <w:p>
      <w:pPr>
        <w:pStyle w:val="BodyofResearch"/>
        <w:tabs>
          <w:tab w:val="right" w:leader="dot" w:pos="9000"/>
        </w:tabs>
        <w:spacing w:after="0" w:line="300" w:lineRule="auto"/>
        <w:ind w:left="0" w:right="0"/>
        <w:jc w:val="left"/>
      </w:pPr>
      <w:r>
        <w:rPr>
          <w:b/>
        </w:rPr>
        <w:t xml:space="preserve">Table 2. Agency Coordinator Functional Requirements</w:t>
      </w:r>
      <w:r>
        <w:rPr>
          <w:b/>
        </w:rPr>
        <w:tab/>
      </w:r>
      <w:r>
        <w:rPr>
          <w:b/>
        </w:rPr>
        <w:t>54</w:t>
      </w:r>
    </w:p>
    <w:p>
      <w:pPr>
        <w:pStyle w:val="BodyofResearch"/>
        <w:tabs>
          <w:tab w:val="right" w:leader="dot" w:pos="9000"/>
        </w:tabs>
        <w:spacing w:after="0" w:line="300" w:lineRule="auto"/>
        <w:ind w:left="0" w:right="0"/>
        <w:jc w:val="left"/>
      </w:pPr>
      <w:r>
        <w:rPr>
          <w:b/>
        </w:rPr>
        <w:t xml:space="preserve">Table 3. Agency Administrator Functional Requirements</w:t>
      </w:r>
      <w:r>
        <w:rPr>
          <w:b/>
        </w:rPr>
        <w:tab/>
      </w:r>
      <w:r>
        <w:rPr>
          <w:b/>
        </w:rPr>
        <w:t>55</w:t>
      </w:r>
    </w:p>
    <w:p>
      <w:pPr>
        <w:pStyle w:val="BodyofResearch"/>
        <w:tabs>
          <w:tab w:val="right" w:leader="dot" w:pos="9000"/>
        </w:tabs>
        <w:spacing w:after="0" w:line="300" w:lineRule="auto"/>
        <w:ind w:left="0" w:right="0"/>
        <w:jc w:val="left"/>
      </w:pPr>
      <w:r>
        <w:rPr>
          <w:b/>
        </w:rPr>
        <w:t xml:space="preserve">Table 4. CRMC Administrator Functional Requirements</w:t>
      </w:r>
      <w:r>
        <w:rPr>
          <w:b/>
        </w:rPr>
        <w:tab/>
      </w:r>
      <w:r>
        <w:rPr>
          <w:b/>
        </w:rPr>
        <w:t>56</w:t>
      </w:r>
    </w:p>
    <w:p>
      <w:pPr>
        <w:pStyle w:val="BodyofResearch"/>
        <w:tabs>
          <w:tab w:val="right" w:leader="dot" w:pos="9000"/>
        </w:tabs>
        <w:spacing w:after="0" w:line="300" w:lineRule="auto"/>
        <w:ind w:left="0" w:right="0"/>
        <w:jc w:val="left"/>
      </w:pPr>
      <w:r>
        <w:rPr>
          <w:b/>
        </w:rPr>
        <w:t xml:space="preserve">Table 5. Non-Functional Requirements</w:t>
      </w:r>
      <w:r>
        <w:rPr>
          <w:b/>
        </w:rPr>
        <w:tab/>
      </w:r>
      <w:r>
        <w:rPr>
          <w:b/>
        </w:rPr>
        <w:t>57</w:t>
      </w:r>
    </w:p>
    <w:p>
      <w:pPr>
        <w:pStyle w:val="BodyofResearch"/>
        <w:tabs>
          <w:tab w:val="right" w:leader="dot" w:pos="9000"/>
        </w:tabs>
        <w:spacing w:after="0" w:line="300" w:lineRule="auto"/>
        <w:ind w:left="0" w:right="0"/>
        <w:jc w:val="left"/>
      </w:pPr>
      <w:r>
        <w:rPr>
          <w:b/>
        </w:rPr>
        <w:t xml:space="preserve">Table 6. Deployed Cloud Functions</w:t>
      </w:r>
      <w:r>
        <w:rPr>
          <w:b/>
        </w:rPr>
        <w:tab/>
      </w:r>
      <w:r>
        <w:rPr>
          <w:b/>
        </w:rPr>
        <w:t>59</w:t>
      </w:r>
    </w:p>
    <w:p>
      <w:pPr>
        <w:pStyle w:val="BodyofResearch"/>
        <w:tabs>
          <w:tab w:val="right" w:leader="dot" w:pos="9000"/>
        </w:tabs>
        <w:spacing w:after="0" w:line="300" w:lineRule="auto"/>
        <w:ind w:left="0" w:right="0"/>
        <w:jc w:val="left"/>
      </w:pPr>
      <w:r>
        <w:rPr>
          <w:b/>
        </w:rPr>
        <w:t xml:space="preserve">Table 7. MAPA Data Model (Firestore Collections)</w:t>
      </w:r>
      <w:r>
        <w:rPr>
          <w:b/>
        </w:rPr>
        <w:tab/>
      </w:r>
      <w:r>
        <w:rPr>
          <w:b/>
        </w:rPr>
        <w:t>61</w:t>
      </w:r>
    </w:p>
    <w:p>
      <w:pPr>
        <w:pStyle w:val="BodyofResearch"/>
        <w:tabs>
          <w:tab w:val="right" w:leader="dot" w:pos="9000"/>
        </w:tabs>
        <w:spacing w:after="0" w:line="300" w:lineRule="auto"/>
        <w:ind w:left="0" w:right="0"/>
        <w:jc w:val="left"/>
      </w:pPr>
      <w:r>
        <w:rPr>
          <w:b/>
        </w:rPr>
        <w:t xml:space="preserve">Table 8. User Roles and Permissions Matrix</w:t>
      </w:r>
      <w:r>
        <w:rPr>
          <w:b/>
        </w:rPr>
        <w:tab/>
      </w:r>
      <w:r>
        <w:rPr>
          <w:b/>
        </w:rPr>
        <w:t>64</w:t>
      </w:r>
    </w:p>
    <w:p>
      <w:pPr>
        <w:pStyle w:val="BodyofResearch"/>
        <w:tabs>
          <w:tab w:val="right" w:leader="dot" w:pos="9000"/>
        </w:tabs>
        <w:spacing w:after="0" w:line="300" w:lineRule="auto"/>
        <w:ind w:left="0" w:right="0"/>
        <w:jc w:val="left"/>
      </w:pPr>
      <w:r>
        <w:rPr>
          <w:b/>
        </w:rPr>
        <w:t xml:space="preserve">Table 9. Automated Test Suites and Results</w:t>
      </w:r>
      <w:r>
        <w:rPr>
          <w:b/>
        </w:rPr>
        <w:tab/>
      </w:r>
      <w:r>
        <w:rPr>
          <w:b/>
        </w:rPr>
        <w:t>80</w:t>
      </w:r>
    </w:p>
    <w:p>
      <w:pPr>
        <w:pStyle w:val="BodyofResearch"/>
        <w:tabs>
          <w:tab w:val="right" w:leader="dot" w:pos="9000"/>
        </w:tabs>
        <w:spacing w:after="0" w:line="300" w:lineRule="auto"/>
        <w:ind w:left="0" w:right="0"/>
        <w:jc w:val="left"/>
      </w:pPr>
      <w:r>
        <w:rPr>
          <w:b/>
        </w:rPr>
        <w:t xml:space="preserve">Table 10. Representative Security-Rules Test Cases</w:t>
      </w:r>
      <w:r>
        <w:rPr>
          <w:b/>
        </w:rPr>
        <w:tab/>
      </w:r>
      <w:r>
        <w:rPr>
          <w:b/>
        </w:rPr>
        <w:t>82</w:t>
      </w:r>
    </w:p>
    <w:p>
      <w:pPr>
        <w:pStyle w:val="BodyofResearch"/>
        <w:tabs>
          <w:tab w:val="right" w:leader="dot" w:pos="9000"/>
        </w:tabs>
        <w:spacing w:after="0" w:line="300" w:lineRule="auto"/>
        <w:ind w:left="0" w:right="0"/>
        <w:jc w:val="left"/>
      </w:pPr>
      <w:r>
        <w:rPr>
          <w:b/>
        </w:rPr>
        <w:t xml:space="preserve">Table 11. Correctness Defects Found and Resolved by Review Pass</w:t>
      </w:r>
      <w:r>
        <w:rPr>
          <w:b/>
        </w:rPr>
        <w:tab/>
      </w:r>
      <w:r>
        <w:rPr>
          <w:b/>
        </w:rPr>
        <w:t>84</w:t>
      </w:r>
    </w:p>
    <w:p>
      <w:pPr>
        <w:pStyle w:val="BodyofResearch"/>
        <w:tabs>
          <w:tab w:val="right" w:leader="dot" w:pos="9000"/>
        </w:tabs>
        <w:spacing w:after="0" w:line="300" w:lineRule="auto"/>
        <w:ind w:left="0" w:right="0"/>
        <w:jc w:val="left"/>
      </w:pPr>
      <w:r>
        <w:rPr>
          <w:b/>
        </w:rPr>
        <w:t xml:space="preserve">Table 12. Measured Performance Against Targets</w:t>
      </w:r>
      <w:r>
        <w:rPr>
          <w:b/>
        </w:rPr>
        <w:tab/>
      </w:r>
      <w:r>
        <w:rPr>
          <w:b/>
        </w:rPr>
        <w:t>94</w:t>
      </w:r>
    </w:p>
    <w:p>
      <w:pPr>
        <w:pStyle w:val="BodyofResearch"/>
        <w:tabs>
          <w:tab w:val="right" w:leader="dot" w:pos="9000"/>
        </w:tabs>
        <w:spacing w:after="0" w:line="300" w:lineRule="auto"/>
        <w:ind w:left="0" w:right="0"/>
        <w:jc w:val="left"/>
      </w:pPr>
      <w:r>
        <w:rPr>
          <w:b/>
        </w:rPr>
        <w:t xml:space="preserve">Table 13. Interview-Questionnaire Results by Respondent Group</w:t>
      </w:r>
      <w:r>
        <w:rPr>
          <w:b/>
        </w:rPr>
        <w:tab/>
      </w:r>
      <w:r>
        <w:rPr>
          <w:b/>
        </w:rPr>
        <w:t>95</w:t>
      </w:r>
    </w:p>
    <w:p>
      <w:pPr>
        <w:pStyle w:val="BodyofResearch"/>
        <w:tabs>
          <w:tab w:val="right" w:leader="dot" w:pos="9000"/>
        </w:tabs>
        <w:spacing w:after="0" w:line="300" w:lineRule="auto"/>
        <w:ind w:left="0" w:right="0"/>
        <w:jc w:val="left"/>
      </w:pPr>
      <w:r>
        <w:rPr>
          <w:b/>
        </w:rPr>
        <w:t xml:space="preserve">Table 14. Objectives Traced to Implemented Features and Evidence</w:t>
      </w:r>
      <w:r>
        <w:rPr>
          <w:b/>
        </w:rPr>
        <w:tab/>
      </w:r>
      <w:r>
        <w:rPr>
          <w:b/>
        </w:rPr>
        <w:t>97</w:t>
      </w:r>
    </w:p>
    <w:p>
      <w:r>
        <w:br w:type="page"/>
      </w:r>
    </w:p>
    <w:p>
      <w:pPr>
        <w:pStyle w:val="BodyofResearch"/>
        <w:spacing w:after="0" w:line="240" w:lineRule="auto"/>
      </w:pPr>
    </w:p>
    <w:p>
      <w:pPr>
        <w:pStyle w:val="BodyofResearch"/>
        <w:spacing w:after="0" w:line="360" w:lineRule="auto"/>
        <w:jc w:val="center"/>
      </w:pPr>
      <w:r>
        <w:rPr>
          <w:b/>
        </w:rPr>
        <w:t xml:space="preserve">LIST OF FIGURES</w:t>
      </w:r>
    </w:p>
    <w:p>
      <w:pPr>
        <w:pStyle w:val="BodyofResearch"/>
        <w:spacing w:after="0" w:line="240" w:lineRule="auto"/>
      </w:pPr>
    </w:p>
    <w:p>
      <w:pPr>
        <w:pStyle w:val="BodyofResearch"/>
        <w:tabs>
          <w:tab w:val="right" w:leader="dot" w:pos="9000"/>
        </w:tabs>
        <w:spacing w:after="0" w:line="300" w:lineRule="auto"/>
        <w:ind w:left="0" w:right="0"/>
        <w:jc w:val="left"/>
      </w:pPr>
      <w:r>
        <w:rPr>
          <w:b/>
        </w:rPr>
        <w:t xml:space="preserve">Figure 1. React Logo</w:t>
      </w:r>
      <w:r>
        <w:rPr>
          <w:b/>
        </w:rPr>
        <w:tab/>
      </w:r>
      <w:r>
        <w:rPr>
          <w:b/>
        </w:rPr>
        <w:t>30</w:t>
      </w:r>
    </w:p>
    <w:p>
      <w:pPr>
        <w:pStyle w:val="BodyofResearch"/>
        <w:tabs>
          <w:tab w:val="right" w:leader="dot" w:pos="9000"/>
        </w:tabs>
        <w:spacing w:after="0" w:line="300" w:lineRule="auto"/>
        <w:ind w:left="0" w:right="0"/>
        <w:jc w:val="left"/>
      </w:pPr>
      <w:r>
        <w:rPr>
          <w:b/>
        </w:rPr>
        <w:t xml:space="preserve">Figure 2. Vite Logo</w:t>
      </w:r>
      <w:r>
        <w:rPr>
          <w:b/>
        </w:rPr>
        <w:tab/>
      </w:r>
      <w:r>
        <w:rPr>
          <w:b/>
        </w:rPr>
        <w:t>31</w:t>
      </w:r>
    </w:p>
    <w:p>
      <w:pPr>
        <w:pStyle w:val="BodyofResearch"/>
        <w:tabs>
          <w:tab w:val="right" w:leader="dot" w:pos="9000"/>
        </w:tabs>
        <w:spacing w:after="0" w:line="300" w:lineRule="auto"/>
        <w:ind w:left="0" w:right="0"/>
        <w:jc w:val="left"/>
      </w:pPr>
      <w:r>
        <w:rPr>
          <w:b/>
        </w:rPr>
        <w:t xml:space="preserve">Figure 3. Tailwind CSS Logo</w:t>
      </w:r>
      <w:r>
        <w:rPr>
          <w:b/>
        </w:rPr>
        <w:tab/>
      </w:r>
      <w:r>
        <w:rPr>
          <w:b/>
        </w:rPr>
        <w:t>31</w:t>
      </w:r>
    </w:p>
    <w:p>
      <w:pPr>
        <w:pStyle w:val="BodyofResearch"/>
        <w:tabs>
          <w:tab w:val="right" w:leader="dot" w:pos="9000"/>
        </w:tabs>
        <w:spacing w:after="0" w:line="300" w:lineRule="auto"/>
        <w:ind w:left="0" w:right="0"/>
        <w:jc w:val="left"/>
      </w:pPr>
      <w:r>
        <w:rPr>
          <w:b/>
        </w:rPr>
        <w:t xml:space="preserve">Figure 4. Firebase Logo</w:t>
      </w:r>
      <w:r>
        <w:rPr>
          <w:b/>
        </w:rPr>
        <w:tab/>
      </w:r>
      <w:r>
        <w:rPr>
          <w:b/>
        </w:rPr>
        <w:t>32</w:t>
      </w:r>
    </w:p>
    <w:p>
      <w:pPr>
        <w:pStyle w:val="BodyofResearch"/>
        <w:tabs>
          <w:tab w:val="right" w:leader="dot" w:pos="9000"/>
        </w:tabs>
        <w:spacing w:after="0" w:line="300" w:lineRule="auto"/>
        <w:ind w:left="0" w:right="0"/>
        <w:jc w:val="left"/>
      </w:pPr>
      <w:r>
        <w:rPr>
          <w:b/>
        </w:rPr>
        <w:t xml:space="preserve">Figure 5. Vercel Logo</w:t>
      </w:r>
      <w:r>
        <w:rPr>
          <w:b/>
        </w:rPr>
        <w:tab/>
      </w:r>
      <w:r>
        <w:rPr>
          <w:b/>
        </w:rPr>
        <w:t>32</w:t>
      </w:r>
    </w:p>
    <w:p>
      <w:pPr>
        <w:pStyle w:val="BodyofResearch"/>
        <w:tabs>
          <w:tab w:val="right" w:leader="dot" w:pos="9000"/>
        </w:tabs>
        <w:spacing w:after="0" w:line="300" w:lineRule="auto"/>
        <w:ind w:left="0" w:right="0"/>
        <w:jc w:val="left"/>
      </w:pPr>
      <w:r>
        <w:rPr>
          <w:b/>
        </w:rPr>
        <w:t xml:space="preserve">Figure 6. Visual Studio Code Logo</w:t>
      </w:r>
      <w:r>
        <w:rPr>
          <w:b/>
        </w:rPr>
        <w:tab/>
      </w:r>
      <w:r>
        <w:rPr>
          <w:b/>
        </w:rPr>
        <w:t>33</w:t>
      </w:r>
    </w:p>
    <w:p>
      <w:pPr>
        <w:pStyle w:val="BodyofResearch"/>
        <w:tabs>
          <w:tab w:val="right" w:leader="dot" w:pos="9000"/>
        </w:tabs>
        <w:spacing w:after="0" w:line="300" w:lineRule="auto"/>
        <w:ind w:left="0" w:right="0"/>
        <w:jc w:val="left"/>
      </w:pPr>
      <w:r>
        <w:rPr>
          <w:b/>
        </w:rPr>
        <w:t xml:space="preserve">Figure 7. Google Meet Logo</w:t>
      </w:r>
      <w:r>
        <w:rPr>
          <w:b/>
        </w:rPr>
        <w:tab/>
      </w:r>
      <w:r>
        <w:rPr>
          <w:b/>
        </w:rPr>
        <w:t>34</w:t>
      </w:r>
    </w:p>
    <w:p>
      <w:pPr>
        <w:pStyle w:val="BodyofResearch"/>
        <w:tabs>
          <w:tab w:val="right" w:leader="dot" w:pos="9000"/>
        </w:tabs>
        <w:spacing w:after="0" w:line="300" w:lineRule="auto"/>
        <w:ind w:left="0" w:right="0"/>
        <w:jc w:val="left"/>
      </w:pPr>
      <w:r>
        <w:rPr>
          <w:b/>
        </w:rPr>
        <w:t xml:space="preserve">Figure 8. Calendar of Activities - February to March 2026</w:t>
      </w:r>
      <w:r>
        <w:rPr>
          <w:b/>
        </w:rPr>
        <w:tab/>
      </w:r>
      <w:r>
        <w:rPr>
          <w:b/>
        </w:rPr>
        <w:t>38</w:t>
      </w:r>
    </w:p>
    <w:p>
      <w:pPr>
        <w:pStyle w:val="BodyofResearch"/>
        <w:tabs>
          <w:tab w:val="right" w:leader="dot" w:pos="9000"/>
        </w:tabs>
        <w:spacing w:after="0" w:line="300" w:lineRule="auto"/>
        <w:ind w:left="0" w:right="0"/>
        <w:jc w:val="left"/>
      </w:pPr>
      <w:r>
        <w:rPr>
          <w:b/>
        </w:rPr>
        <w:t xml:space="preserve">Figure 9. Calendar of Activities - April to May 2026</w:t>
      </w:r>
      <w:r>
        <w:rPr>
          <w:b/>
        </w:rPr>
        <w:tab/>
      </w:r>
      <w:r>
        <w:rPr>
          <w:b/>
        </w:rPr>
        <w:t>39</w:t>
      </w:r>
    </w:p>
    <w:p>
      <w:pPr>
        <w:pStyle w:val="BodyofResearch"/>
        <w:tabs>
          <w:tab w:val="right" w:leader="dot" w:pos="9000"/>
        </w:tabs>
        <w:spacing w:after="0" w:line="300" w:lineRule="auto"/>
        <w:ind w:left="0" w:right="0"/>
        <w:jc w:val="left"/>
      </w:pPr>
      <w:r>
        <w:rPr>
          <w:b/>
        </w:rPr>
        <w:t xml:space="preserve">Figure 10. Calendar of Activities - June to July 2026</w:t>
      </w:r>
      <w:r>
        <w:rPr>
          <w:b/>
        </w:rPr>
        <w:tab/>
      </w:r>
      <w:r>
        <w:rPr>
          <w:b/>
        </w:rPr>
        <w:t>40</w:t>
      </w:r>
    </w:p>
    <w:p>
      <w:pPr>
        <w:pStyle w:val="BodyofResearch"/>
        <w:tabs>
          <w:tab w:val="right" w:leader="dot" w:pos="9000"/>
        </w:tabs>
        <w:spacing w:after="0" w:line="300" w:lineRule="auto"/>
        <w:ind w:left="0" w:right="0"/>
        <w:jc w:val="left"/>
      </w:pPr>
      <w:r>
        <w:rPr>
          <w:b/>
        </w:rPr>
        <w:t xml:space="preserve">Figure 11. Calendar of Activities - August to September 2026</w:t>
      </w:r>
      <w:r>
        <w:rPr>
          <w:b/>
        </w:rPr>
        <w:tab/>
      </w:r>
      <w:r>
        <w:rPr>
          <w:b/>
        </w:rPr>
        <w:t>41</w:t>
      </w:r>
    </w:p>
    <w:p>
      <w:pPr>
        <w:pStyle w:val="BodyofResearch"/>
        <w:tabs>
          <w:tab w:val="right" w:leader="dot" w:pos="9000"/>
        </w:tabs>
        <w:spacing w:after="0" w:line="300" w:lineRule="auto"/>
        <w:ind w:left="0" w:right="0"/>
        <w:jc w:val="left"/>
      </w:pPr>
      <w:r>
        <w:rPr>
          <w:b/>
        </w:rPr>
        <w:t xml:space="preserve">Figure 12. Patient Use Case Diagram</w:t>
      </w:r>
      <w:r>
        <w:rPr>
          <w:b/>
        </w:rPr>
        <w:tab/>
      </w:r>
      <w:r>
        <w:rPr>
          <w:b/>
        </w:rPr>
        <w:t>50</w:t>
      </w:r>
    </w:p>
    <w:p>
      <w:pPr>
        <w:pStyle w:val="BodyofResearch"/>
        <w:tabs>
          <w:tab w:val="right" w:leader="dot" w:pos="9000"/>
        </w:tabs>
        <w:spacing w:after="0" w:line="300" w:lineRule="auto"/>
        <w:ind w:left="0" w:right="0"/>
        <w:jc w:val="left"/>
      </w:pPr>
      <w:r>
        <w:rPr>
          <w:b/>
        </w:rPr>
        <w:t xml:space="preserve">Figure 13. Agency Personnel Use Case Diagram</w:t>
      </w:r>
      <w:r>
        <w:rPr>
          <w:b/>
        </w:rPr>
        <w:tab/>
      </w:r>
      <w:r>
        <w:rPr>
          <w:b/>
        </w:rPr>
        <w:t>51</w:t>
      </w:r>
    </w:p>
    <w:p>
      <w:pPr>
        <w:pStyle w:val="BodyofResearch"/>
        <w:tabs>
          <w:tab w:val="right" w:leader="dot" w:pos="9000"/>
        </w:tabs>
        <w:spacing w:after="0" w:line="300" w:lineRule="auto"/>
        <w:ind w:left="0" w:right="0"/>
        <w:jc w:val="left"/>
      </w:pPr>
      <w:r>
        <w:rPr>
          <w:b/>
        </w:rPr>
        <w:t xml:space="preserve">Figure 14. CRMC Administrator Use Case Diagram</w:t>
      </w:r>
      <w:r>
        <w:rPr>
          <w:b/>
        </w:rPr>
        <w:tab/>
      </w:r>
      <w:r>
        <w:rPr>
          <w:b/>
        </w:rPr>
        <w:t>52</w:t>
      </w:r>
    </w:p>
    <w:p>
      <w:pPr>
        <w:sectPr>
          <w:footerReference w:type="default" r:id="rId13"/>
          <w:footerReference w:type="first" r:id="rId9"/>
          <w:pgSz w:w="12240" w:h="15840" w:code="1"/>
          <w:pgMar w:top="1440" w:right="1440" w:bottom="1440" w:left="2160" w:header="720" w:footer="576" w:gutter="0"/>
          <w:pgNumType w:fmt="lowerRoman" w:start="1"/>
          <w:cols w:space="720"/>
          <w:titlePg/>
          <w:docGrid w:linePitch="360"/>
        </w:sectPr>
      </w:pPr>
    </w:p>
    <w:p>
      <w:pPr>
        <w:pStyle w:val="Heading1"/>
        <w:spacing w:before="0" w:after="360"/>
        <w:jc w:val="center"/>
      </w:pPr>
      <w:r>
        <w:rPr>
          <w:b/>
        </w:rPr>
        <w:t xml:space="preserve">Introduction</w:t>
      </w:r>
    </w:p>
    <w:p>
      <w:pPr>
        <w:pStyle w:val="Heading2"/>
        <w:keepNext/>
        <w:keepLines/>
        <w:spacing w:before="240" w:after="240"/>
        <w:jc w:val="left"/>
      </w:pPr>
      <w:r>
        <w:rPr>
          <w:b/>
        </w:rPr>
        <w:t xml:space="preserve">Project Context</w:t>
      </w:r>
    </w:p>
    <w:p>
      <w:pPr>
        <w:pStyle w:val="BodyofResearch"/>
        <w:ind w:firstLine="720"/>
        <w:jc w:val="both"/>
      </w:pPr>
      <w:r>
        <w:rPr>
          <w:b w:val="0"/>
        </w:rPr>
        <w:t xml:space="preserve">Access to medical financial assistance remains a persistent challenge in many developing countries, where the rising cost of healthcare continues to place a disproportionate burden on financially vulnerable populations. In the Philippines, the government has established a range of programs at both the national and regional levels to assist indigent patients with hospitalization expenses, medicines, and medical procedures. Despite the availability of these programs, a significant number of patients — particularly those residing in geographically isolated and underserved communities — continue to encounter difficulties in accessing them, largely due to the absence of organized, accessible, and digitally enabled service delivery systems.</w:t>
      </w:r>
    </w:p>
    <w:p>
      <w:pPr>
        <w:pStyle w:val="BodyofResearch"/>
        <w:ind w:firstLine="720"/>
        <w:jc w:val="both"/>
      </w:pPr>
      <w:r>
        <w:rPr>
          <w:b w:val="0"/>
        </w:rPr>
        <w:t xml:space="preserve">Cotabato Regional and Medical Center (CRMC) is a Level IV tertiary teaching and training hospital operating under the Department of Health (DOH). It serves as the principal referral facility for the Bangsamoro Autonomous Region in Muslim Mindanao (BARMM) and adjacent areas of Central Mindanao. The hospital accommodates patients traveling from geographically distant provinces such as Maguindanao del Norte, Maguindanao del Sur, Lanao del Sur, and Cotabato Province — many of whom arrive under urgent medical circumstances and constrained financial conditions. This geographic reality makes the efficiency and accessibility of medical financial assistance services not merely an administrative concern, but a direct determinant of patient welfare.</w:t>
      </w:r>
    </w:p>
    <w:p>
      <w:pPr>
        <w:pStyle w:val="BodyofResearch"/>
        <w:ind w:firstLine="720"/>
        <w:jc w:val="both"/>
      </w:pPr>
      <w:r>
        <w:rPr>
          <w:b w:val="0"/>
        </w:rPr>
        <w:t xml:space="preserve">Several government medical financial assistance programs are currently available to patients at CRMC. At the national level, PhilHealth provides member coverage for hospitalization and medical procedures. The Malasakit Center, established under Republic Act No. 11463, operates as a one-stop shop that consolidates the services of the DOH, DSWD, PhilHealth, and PCSO to facilitate zero balance billing for indigent patients. Under the Order of Charging prescribed by Joint Administrative Order No. 2020-0001, these sources are applied to a single hospital bill in a defined sequence — PhilHealth first, then PCSO, DSWD, DOH, and finally the hospital or local government unit — so that each subsequent source covers only the balance the preceding one leaves behind. The DOH Medical Assistance to Indigent and Financially-Incapacitated Patients (MAIP) program and the PCSO Medical Access Program (MAP) issue guarantee letters covering chemotherapy, radiation therapy, and essential medicines. The DSWD Assistance to Individuals in Crisis Situations (AICS) provides cash assistance and medicine vouchers through community social workers. At the regional level, the BARMM flagship program Ayudang Medikal mula sa Bangsamoro Government (AMBaG) targets zero balance billing for marginalized patients at CRMC and partner hospitals.</w:t>
      </w:r>
    </w:p>
    <w:p>
      <w:pPr>
        <w:pStyle w:val="BodyofResearch"/>
        <w:ind w:firstLine="720"/>
        <w:jc w:val="both"/>
      </w:pPr>
      <w:r>
        <w:rPr>
          <w:b w:val="0"/>
        </w:rPr>
        <w:t xml:space="preserve">While these programs collectively represent a substantial safety net for indigent patients, each operates through its own intake desk, with distinct eligibility criteria, documentary requirements, and daily transaction limits, and with no shared digital infrastructure to coordinate their delivery. The statutory Order of Charging describes how a bill </w:t>
      </w:r>
      <w:r>
        <w:rPr>
          <w:b w:val="0"/>
          <w:i/>
        </w:rPr>
        <w:t xml:space="preserve">should</w:t>
      </w:r>
      <w:r>
        <w:rPr>
          <w:b w:val="0"/>
        </w:rPr>
        <w:t xml:space="preserve"> be apportioned among them, but nothing in the present setup gives the patient, the hospital, or the agencies a single, live view of how much of a given bill each source has actually committed.</w:t>
      </w:r>
    </w:p>
    <w:p>
      <w:pPr>
        <w:pStyle w:val="BodyofResearch"/>
        <w:ind w:firstLine="720"/>
        <w:jc w:val="both"/>
      </w:pPr>
      <w:r>
        <w:rPr>
          <w:b w:val="0"/>
        </w:rPr>
        <w:t xml:space="preserve">Despite the breadth of available assistance, significant operational challenges continue to affect service delivery at CRMC. Patients have no single organized source of information consolidating the services, eligibility requirements, and documentary requirements of each program, resulting in repeated uninformed hospital visits and incomplete document submissions upon arrival. Patients must navigate each agency separately — submitting documents, attending interviews, and following up at multiple desks — because no single point of intake coordinates the agencies that ultimately fund a single hospital bill. The absence of a digital pre-verification mechanism results in document validation occurring exclusively during in-person visits, reducing service throughput for both patients and agency personnel. Patients who have submitted applications have no digital mechanism for monitoring their progress, requiring repeated physical visits to agency offices simply to obtain status updates. Medical assistance agencies operate independently without a shared digital infrastructure, limiting coordinated service delivery and preventing administrators from centrally managing agency accounts, patient records, and document verification. Patients who rely primarily on smartphones as their means of internet access have no dedicated mobile experience through which to interact with the platform, and patients who require clarification have no direct digital communication channel for reaching the agencies handling their applications.</w:t>
      </w:r>
    </w:p>
    <w:p>
      <w:pPr>
        <w:pStyle w:val="BodyofResearch"/>
        <w:ind w:firstLine="720"/>
        <w:jc w:val="both"/>
      </w:pPr>
      <w:r>
        <w:rPr>
          <w:b w:val="0"/>
        </w:rPr>
        <w:t xml:space="preserve">A further challenge concerns the assessment interview itself. The interview is a mandatory, capacity-limited step conducted by a CRMC social worker, and under the present arrangement patients travel to the hospital without any assurance that an interview slot will be available on the day they arrive. Patients who travel several hours from distant provinces are frequently turned away and asked to return, converting a scheduling problem into a transportation cost borne entirely by the poorest patients.</w:t>
      </w:r>
    </w:p>
    <w:p>
      <w:pPr>
        <w:pStyle w:val="BodyofResearch"/>
        <w:ind w:firstLine="720"/>
        <w:jc w:val="both"/>
      </w:pPr>
      <w:r>
        <w:rPr>
          <w:b w:val="0"/>
        </w:rPr>
        <w:t xml:space="preserve">To validate these operational challenges, the proponents conducted a structured interview-questionnaire with nine respondents at CRMC — three patients, three social workers, and three supervisors. The findings corroborated the problems identified above. Patients rated the difficulty of identifying the programs they qualify for at a mean of 4.00 (Agree), making lack of information the most strongly felt access barrier. Social workers consistently identified patients arriving with incomplete documents as their most significant operational challenge (mean of 4.00, Agree), and likewise affirmed that a dedicated digital workspace would improve efficiency (4.00, Agree). Supervisors, observing from a management perspective, agreed that manual processes increase administrative burden (4.00) and that a centralized dashboard for oversight would benefit the hospital (4.33). Crucially, all three respondent groups rated the proposed MAPA system features at the Agree level — Patients at 4.37, Supervisors at 4.20, and Social Workers at 3.90 — indicating multi-level institutional readiness for the proposed platform. These primary-data findings are presented in full in the Results and Discussion chapter.</w:t>
      </w:r>
    </w:p>
    <w:p>
      <w:pPr>
        <w:pStyle w:val="BodyofResearch"/>
        <w:ind w:firstLine="720"/>
        <w:jc w:val="both"/>
      </w:pPr>
      <w:r>
        <w:rPr>
          <w:b w:val="0"/>
        </w:rPr>
        <w:t xml:space="preserve">These challenges collectively describe a critical gap in the current service delivery model at CRMC. The absence of an integrated, patient-centered digital platform that coordinates the multiple agencies funding a single hospital bill results in preventable inefficiencies, increased costs borne by patients, and reduced accessibility to programs that patients are legally entitled to access. This study proposes MAPA: Medical Assistance Portal Access for Cotabato Regional and Medical Center as a practical, evidence-based, and context-driven solution that consolidates the fragmented, presence-dependent process into a single digital intake gateway operated by CRMC and shared with its partner agencies.</w:t>
      </w:r>
    </w:p>
    <w:p>
      <w:r>
        <w:br w:type="page"/>
      </w:r>
    </w:p>
    <w:p>
      <w:pPr>
        <w:pStyle w:val="Heading2"/>
        <w:keepNext/>
        <w:keepLines/>
        <w:spacing w:before="240" w:after="240"/>
        <w:jc w:val="left"/>
      </w:pPr>
      <w:r>
        <w:rPr>
          <w:b/>
        </w:rPr>
        <w:t xml:space="preserve">Statement of the Problem</w:t>
      </w:r>
    </w:p>
    <w:p>
      <w:pPr>
        <w:pStyle w:val="BodyofResearch"/>
        <w:jc w:val="both"/>
      </w:pPr>
      <w:r>
        <w:rPr>
          <w:b w:val="0"/>
        </w:rPr>
        <w:t xml:space="preserve">Despite the range of government medical financial assistance programs available at CRMC, patients continue to face a fragmented, presence-dependent, and largely paper-based process across multiple independently operating agencies. The general problem this study seeks to address is the absence of an integrated, patient-centered digital platform that coordinates the multiple agencies funding a single hospital bill at CRMC, resulting in preventable inefficiencies, repeated travel, incomplete submissions, and reduced access to assistance that patients are legally entitled to receive.</w:t>
      </w:r>
    </w:p>
    <w:p>
      <w:pPr>
        <w:pStyle w:val="BodyofResearch"/>
        <w:jc w:val="both"/>
      </w:pPr>
      <w:r>
        <w:rPr>
          <w:b w:val="0"/>
        </w:rPr>
        <w:t xml:space="preserve">Specifically, this study sought to address the following problems:</w:t>
      </w:r>
    </w:p>
    <w:p>
      <w:pPr>
        <w:pStyle w:val="BodyofResearch"/>
        <w:numPr>
          <w:ilvl w:val="0"/>
          <w:numId w:val="3"/>
        </w:numPr>
        <w:spacing w:after="120"/>
        <w:ind w:left="1080" w:hanging="360"/>
        <w:jc w:val="both"/>
      </w:pPr>
      <w:r>
        <w:rPr>
          <w:b w:val="0"/>
        </w:rPr>
        <w:t xml:space="preserve">Patients have no single, consolidated source of information on the available assistance programs, their eligibility criteria, and their documentary requirements, resulting in repeated uninformed hospital visits and incomplete document submissions.</w:t>
      </w:r>
    </w:p>
    <w:p>
      <w:pPr>
        <w:pStyle w:val="BodyofResearch"/>
        <w:numPr>
          <w:ilvl w:val="0"/>
          <w:numId w:val="3"/>
        </w:numPr>
        <w:spacing w:after="120"/>
        <w:ind w:left="1080" w:hanging="360"/>
        <w:jc w:val="both"/>
      </w:pPr>
      <w:r>
        <w:rPr>
          <w:b w:val="0"/>
        </w:rPr>
        <w:t xml:space="preserve">Patients must navigate each assistance agency separately — submitting documents, attending interviews, and following up at multiple desks — because no single point of intake coordinates the agencies that ultimately fund a single hospital bill.</w:t>
      </w:r>
    </w:p>
    <w:p>
      <w:pPr>
        <w:pStyle w:val="BodyofResearch"/>
        <w:numPr>
          <w:ilvl w:val="0"/>
          <w:numId w:val="3"/>
        </w:numPr>
        <w:spacing w:after="120"/>
        <w:ind w:left="1080" w:hanging="360"/>
        <w:jc w:val="both"/>
      </w:pPr>
      <w:r>
        <w:rPr>
          <w:b w:val="0"/>
        </w:rPr>
        <w:t xml:space="preserve">The statutory Order of Charging is applied manually and off-record, so neither the patient nor the funding agencies can see how much of the bill PhilHealth and each subsequent source has actually absorbed, or what residual balance remains to be covered.</w:t>
      </w:r>
    </w:p>
    <w:p>
      <w:pPr>
        <w:pStyle w:val="BodyofResearch"/>
        <w:numPr>
          <w:ilvl w:val="0"/>
          <w:numId w:val="3"/>
        </w:numPr>
        <w:spacing w:after="120"/>
        <w:ind w:left="1080" w:hanging="360"/>
        <w:jc w:val="both"/>
      </w:pPr>
      <w:r>
        <w:rPr>
          <w:b w:val="0"/>
        </w:rPr>
        <w:t xml:space="preserve">The absence of a digital pre-verification mechanism causes document validation to occur exclusively during in-person visits, reducing service throughput for both patients and agency personnel.</w:t>
      </w:r>
    </w:p>
    <w:p>
      <w:pPr>
        <w:pStyle w:val="BodyofResearch"/>
        <w:numPr>
          <w:ilvl w:val="0"/>
          <w:numId w:val="3"/>
        </w:numPr>
        <w:spacing w:after="120"/>
        <w:ind w:left="1080" w:hanging="360"/>
        <w:jc w:val="both"/>
      </w:pPr>
      <w:r>
        <w:rPr>
          <w:b w:val="0"/>
        </w:rPr>
        <w:t xml:space="preserve">The mandatory assessment interview cannot be reserved in advance, so patients travelling from distant provinces arrive without assurance of being accommodated and are frequently asked to return on another day.</w:t>
      </w:r>
    </w:p>
    <w:p>
      <w:pPr>
        <w:pStyle w:val="BodyofResearch"/>
        <w:numPr>
          <w:ilvl w:val="0"/>
          <w:numId w:val="3"/>
        </w:numPr>
        <w:spacing w:after="120"/>
        <w:ind w:left="1080" w:hanging="360"/>
        <w:jc w:val="both"/>
      </w:pPr>
      <w:r>
        <w:rPr>
          <w:b w:val="0"/>
        </w:rPr>
        <w:t xml:space="preserve">Patients who have submitted applications have no digital means of monitoring their progress, requiring repeated physical visits to agency offices simply to obtain status updates.</w:t>
      </w:r>
    </w:p>
    <w:p>
      <w:pPr>
        <w:pStyle w:val="BodyofResearch"/>
        <w:numPr>
          <w:ilvl w:val="0"/>
          <w:numId w:val="3"/>
        </w:numPr>
        <w:spacing w:after="120"/>
        <w:ind w:left="1080" w:hanging="360"/>
        <w:jc w:val="both"/>
      </w:pPr>
      <w:r>
        <w:rPr>
          <w:b w:val="0"/>
        </w:rPr>
        <w:t xml:space="preserve">Medical assistance agencies operate independently without a shared digital infrastructure, limiting coordinated service delivery and preventing administrators from centrally managing agency accounts, patient records, and document verification.</w:t>
      </w:r>
    </w:p>
    <w:p>
      <w:pPr>
        <w:pStyle w:val="BodyofResearch"/>
        <w:numPr>
          <w:ilvl w:val="0"/>
          <w:numId w:val="3"/>
        </w:numPr>
        <w:spacing w:after="120"/>
        <w:ind w:left="1080" w:hanging="360"/>
        <w:jc w:val="both"/>
      </w:pPr>
      <w:r>
        <w:rPr>
          <w:b w:val="0"/>
        </w:rPr>
        <w:t xml:space="preserve">Patients who rely primarily on smartphones for internet access have no dedicated mobile application through which to interact with the assistance process.</w:t>
      </w:r>
    </w:p>
    <w:p>
      <w:pPr>
        <w:pStyle w:val="BodyofResearch"/>
        <w:numPr>
          <w:ilvl w:val="0"/>
          <w:numId w:val="3"/>
        </w:numPr>
        <w:spacing w:after="120"/>
        <w:ind w:left="1080" w:hanging="360"/>
        <w:jc w:val="both"/>
      </w:pPr>
      <w:r>
        <w:rPr>
          <w:b w:val="0"/>
        </w:rPr>
        <w:t xml:space="preserve">Patients who require clarification have no direct digital communication channel for reaching the hospital or the agencies handling their applications.</w:t>
      </w:r>
    </w:p>
    <w:p>
      <w:r>
        <w:br w:type="page"/>
      </w:r>
    </w:p>
    <w:p>
      <w:pPr>
        <w:pStyle w:val="Heading2"/>
        <w:keepNext/>
        <w:keepLines/>
        <w:spacing w:before="240" w:after="240"/>
        <w:jc w:val="left"/>
      </w:pPr>
      <w:r>
        <w:rPr>
          <w:b/>
        </w:rPr>
        <w:t xml:space="preserve">Purpose and Description</w:t>
      </w:r>
    </w:p>
    <w:p>
      <w:pPr>
        <w:pStyle w:val="BodyofResearch"/>
        <w:ind w:firstLine="720"/>
        <w:jc w:val="both"/>
      </w:pPr>
      <w:r>
        <w:rPr>
          <w:b w:val="0"/>
        </w:rPr>
        <w:t xml:space="preserve">The purpose of MAPA (Medical Assistance Portal Access for Cotabato Regional and Medical Center) is to provide a centralized, accessible, and digitally enabled platform that addresses the fragmented and heavily presence-dependent nature of medical financial assistance service delivery at CRMC. The system is delivered as a single web-based platform built as a Progressive Web Application (PWA). It is accessible through any modern browser on a desktop or laptop, and patients can additionally install it to their smartphone home screen through the standard Add-to-Home-Screen flow, giving them an installable, app-like mobile experience without requiring a separate native application or an app-store download. The same codebase therefore serves both the desktop browser experience and the installed mobile experience, ensuring that the system is accessible to the full range of patients served by CRMC regardless of the device they use.</w:t>
      </w:r>
    </w:p>
    <w:p>
      <w:pPr>
        <w:pStyle w:val="BodyofResearch"/>
        <w:ind w:firstLine="720"/>
        <w:jc w:val="both"/>
      </w:pPr>
      <w:r>
        <w:rPr>
          <w:b w:val="0"/>
        </w:rPr>
        <w:t xml:space="preserve">The distinguishing characteristic of MAPA is its CRMC-gateway co-funding model. Rather than requiring patients to apply to each assistance agency separately, the platform allows a patient to file a single request that states the hospital bill and the amount of assistance needed, and to upload the supporting documents once. CRMC, acting as the single intake gateway, verifies the documents, conducts one assessment interview, and completes a structured Unified Intake Sheet. During that assessment CRMC also records the coverage that PhilHealth has already absorbed, which — following the Order of Charging under Joint Administrative Order No. 2020-0001 — is applied as the statutory first charge against the bill. Only the residual balance is then endorsed to one or more partner agencies — DOH-MAIP, PCSO MAP, DSWD AICS, and AMBaG — as funding “slices” that layer toward a zero balance. Each endorsed agency makes its own funding decision on its slice, deciding the amount, the purpose of assistance, and the provider to be billed, and issues its own Guarantee Letter for off-system settlement with the healthcare provider. In place of running parallel applications, the patient sees a single unified coverage plan, while agencies receive pre-verified, pre-assessed cases and focus solely on their funding decision.</w:t>
      </w:r>
    </w:p>
    <w:p>
      <w:pPr>
        <w:pStyle w:val="BodyofResearch"/>
        <w:ind w:firstLine="720"/>
        <w:jc w:val="both"/>
      </w:pPr>
      <w:r>
        <w:rPr>
          <w:b w:val="0"/>
        </w:rPr>
        <w:t xml:space="preserve">The role of the Malasakit Center in this design deserves specific mention. Under Republic Act No. 11463 a Malasakit Center is legally a co-located coordination hub — a one-stop shop through which the DOH, DSWD, PCSO, and PhilHealth receive and process requests — rather than a funding source in its own right. MAPA therefore models the Malasakit Center not as one agency among several, but as the CRMC gateway role itself: the single intake, verification, and endorsement function that the platform is built around. PhilHealth, likewise, is not modelled as an endorsable agency, because it does not issue Guarantee Letters; it is modelled as the first-charge coverage that reduces the bill before any endorsement occurs. This alignment between the data model and the governing statute is one of the more consequential design decisions in the study.</w:t>
      </w:r>
    </w:p>
    <w:p>
      <w:pPr>
        <w:pStyle w:val="BodyofResearch"/>
        <w:ind w:firstLine="720"/>
        <w:jc w:val="both"/>
      </w:pPr>
      <w:r>
        <w:rPr>
          <w:b w:val="0"/>
        </w:rPr>
        <w:t xml:space="preserve">Through MAPA, patients can access consolidated information about all assistance programs available at CRMC, identify the programs they may qualify for before applying, file a single assistance request with the required documents and a live selfie, complete a guided household intake questionnaire, reserve an assessment interview from published slots, review and confirm the coverage plan that CRMC endorses to the funding agencies, track the progress of their request and each agency slice at every stage, download each signed Guarantee Letter, communicate directly with CRMC and any endorsed agency, obtain a copy of every record the system holds about them, and receive timely notifications and system-wide announcements — all without requiring repeated physical visits to agency offices.</w:t>
      </w:r>
    </w:p>
    <w:p>
      <w:pPr>
        <w:pStyle w:val="BodyofResearch"/>
        <w:ind w:firstLine="720"/>
        <w:jc w:val="both"/>
      </w:pPr>
      <w:r>
        <w:rPr>
          <w:b w:val="0"/>
        </w:rPr>
        <w:t xml:space="preserve">The assessment interview is conducted as a hybrid, in-person by default. The patient books a capacity-limited slot through the platform and, for in-person appointments, is assigned a queue number for the CRMC Medical Social Service office; the purpose of scheduling is congestion control — staggering arrivals to match interview capacity so that patients who have travelled a long distance are not turned away. An online mode using Google Meet is retained as a fallback for circumstances in which an in-person visit is not feasible, such as a health emergency, a typhoon or flooding, or a patient too distant or too unwell to travel; the same booking system is used, and only the location changes. Automated reminders are delivered 24 hours and 1 hour before the appointment.</w:t>
      </w:r>
    </w:p>
    <w:p>
      <w:pPr>
        <w:pStyle w:val="BodyofResearch"/>
        <w:ind w:firstLine="720"/>
        <w:jc w:val="both"/>
      </w:pPr>
      <w:r>
        <w:rPr>
          <w:b w:val="0"/>
        </w:rPr>
        <w:t xml:space="preserve">Agency personnel access the system through the web portal, where they act on the slices that CRMC endorses to their agency within a dedicated workspace that operates in complete data isolation from other agencies. Because CRMC owns intake, verification, and assessment under the gateway model, agency personnel concentrate on the funding decision: they review the CRMC-verified documents and completed assessment on a read-only basis, view the full co-funding picture for the bill, approve their share and issue a Guarantee Letter, request additional information, or reject the slice with a reason. Agency personnel are organized into two levels: agency coordinators, who carry out the day-to-day funding decisions, and agency administrators, who additionally manage their agency's budget allocation, per-applicant cap, coordinator accounts, and agency-level audit log. A Guarantee Letter is the official document issued to an approved patient stating the guaranteed amount, the purpose of assistance, and the provider to be billed; it is generated within the system, printed and physically signed, and the signed copy is uploaded back into the platform for the patient to download.</w:t>
      </w:r>
    </w:p>
    <w:p>
      <w:pPr>
        <w:pStyle w:val="BodyofResearch"/>
        <w:ind w:firstLine="720"/>
        <w:jc w:val="both"/>
      </w:pPr>
      <w:r>
        <w:rPr>
          <w:b w:val="0"/>
        </w:rPr>
        <w:t xml:space="preserve">Administrators access the system through the web portal under two defined ranks — Super Admin and Staff Admin. Staff Administrators carry out the core CRMC-gateway operations: document verification, publishing and managing assessment-interview slots, conducting the interview, recording PhilHealth coverage, completing the Unified Intake Sheet, endorsing requests to partner agencies, responding to patient messages, issuing and managing Patient Access Codes, maintaining the document and assistance type catalogs, and creating system-wide announcements. Super Administrators perform all of these operations and additionally manage agency accounts, administrator accounts, system-wide configurations, permanent erasure of patient data under the Data Privacy Act, and the platform-wide audit log. Both ranks have access to unified application logs that provide a complete record of all activity across the platform.</w:t>
      </w:r>
    </w:p>
    <w:p>
      <w:pPr>
        <w:pStyle w:val="BodyofResearch"/>
        <w:ind w:firstLine="720"/>
        <w:jc w:val="both"/>
      </w:pPr>
      <w:r>
        <w:rPr>
          <w:b w:val="0"/>
        </w:rPr>
        <w:t xml:space="preserve">This single-intake gateway combined with multi-agency co-funding, delivered from a single codebase as a Progressive Web Application installable on patients' smartphones and operated with complete data isolation between agencies, positions MAPA as a practical, relevant, and scalable solution to the operational gaps in medical financial assistance service delivery at CRMC.</w:t>
      </w:r>
    </w:p>
    <w:p>
      <w:r>
        <w:br w:type="page"/>
      </w:r>
    </w:p>
    <w:p>
      <w:pPr>
        <w:pStyle w:val="Heading2"/>
        <w:keepNext/>
        <w:keepLines/>
        <w:spacing w:before="240" w:after="240"/>
        <w:jc w:val="left"/>
      </w:pPr>
      <w:r>
        <w:rPr>
          <w:b/>
        </w:rPr>
        <w:t xml:space="preserve">Objectives</w:t>
      </w:r>
    </w:p>
    <w:p>
      <w:pPr>
        <w:pStyle w:val="BodyofResearch"/>
        <w:jc w:val="both"/>
      </w:pPr>
      <w:r>
        <w:rPr>
          <w:b w:val="0"/>
        </w:rPr>
        <w:t xml:space="preserve">The main objective of this project is to develop MAPA: Medical Assistance Portal Access for Cotabato Regional and Medical Center — a web-based platform, delivered as a Progressive Web Application that is installable on patients' smartphones — that simplifies, centralizes, and digitally enables access to medical financial assistance programs through a single CRMC-operated intake gateway that coordinates the partner agencies co-funding each patient's hospital bill.</w:t>
      </w:r>
    </w:p>
    <w:p>
      <w:pPr>
        <w:pStyle w:val="BodyofResearch"/>
        <w:jc w:val="both"/>
      </w:pPr>
      <w:r>
        <w:rPr>
          <w:b w:val="0"/>
        </w:rPr>
        <w:t xml:space="preserve">Specifically, the project aims:</w:t>
      </w:r>
    </w:p>
    <w:p>
      <w:pPr>
        <w:pStyle w:val="BodyofResearch"/>
        <w:numPr>
          <w:ilvl w:val="0"/>
          <w:numId w:val="3"/>
        </w:numPr>
        <w:spacing w:after="120"/>
        <w:ind w:left="1080" w:hanging="360"/>
        <w:jc w:val="both"/>
      </w:pPr>
      <w:r>
        <w:rPr>
          <w:b w:val="0"/>
        </w:rPr>
        <w:t xml:space="preserve">To provide patients with a single registration and single-intake surface accessible from any mobile phone with internet access — one request, one document upload, and one assessment interview — regardless of how many agencies ultimately co-fund the bill.</w:t>
      </w:r>
    </w:p>
    <w:p>
      <w:pPr>
        <w:pStyle w:val="BodyofResearch"/>
        <w:numPr>
          <w:ilvl w:val="0"/>
          <w:numId w:val="3"/>
        </w:numPr>
        <w:spacing w:after="120"/>
        <w:ind w:left="1080" w:hanging="360"/>
        <w:jc w:val="both"/>
      </w:pPr>
      <w:r>
        <w:rPr>
          <w:b w:val="0"/>
        </w:rPr>
        <w:t xml:space="preserve">To provide patients with a centralized and organized source of information about all assistance programs available at CRMC and to guide them in identifying the programs they may qualify for.</w:t>
      </w:r>
    </w:p>
    <w:p>
      <w:pPr>
        <w:pStyle w:val="BodyofResearch"/>
        <w:numPr>
          <w:ilvl w:val="0"/>
          <w:numId w:val="3"/>
        </w:numPr>
        <w:spacing w:after="120"/>
        <w:ind w:left="1080" w:hanging="360"/>
        <w:jc w:val="both"/>
      </w:pPr>
      <w:r>
        <w:rPr>
          <w:b w:val="0"/>
        </w:rPr>
        <w:t xml:space="preserve">To allow patients to submit their documents online for pre-verification before traveling to the hospital, and to check the real-time availability of each agency's daily transaction slots.</w:t>
      </w:r>
    </w:p>
    <w:p>
      <w:pPr>
        <w:pStyle w:val="BodyofResearch"/>
        <w:numPr>
          <w:ilvl w:val="0"/>
          <w:numId w:val="3"/>
        </w:numPr>
        <w:spacing w:after="120"/>
        <w:ind w:left="1080" w:hanging="360"/>
        <w:jc w:val="both"/>
      </w:pPr>
      <w:r>
        <w:rPr>
          <w:b w:val="0"/>
        </w:rPr>
        <w:t xml:space="preserve">To allow patients to reserve the mandatory CRMC assessment interview from published, capacity-limited slots — in person by default with an online fallback — and to receive automated reminders 24 hours and 1 hour before the appointment.</w:t>
      </w:r>
    </w:p>
    <w:p>
      <w:pPr>
        <w:pStyle w:val="BodyofResearch"/>
        <w:numPr>
          <w:ilvl w:val="0"/>
          <w:numId w:val="3"/>
        </w:numPr>
        <w:spacing w:after="120"/>
        <w:ind w:left="1080" w:hanging="360"/>
        <w:jc w:val="both"/>
      </w:pPr>
      <w:r>
        <w:rPr>
          <w:b w:val="0"/>
        </w:rPr>
        <w:t xml:space="preserve">To model the statutory Order of Charging within the system by recording PhilHealth coverage as the first charge against the hospital bill, so that only the residual balance is endorsed to the Guarantee-Letter-issuing agencies.</w:t>
      </w:r>
    </w:p>
    <w:p>
      <w:pPr>
        <w:pStyle w:val="BodyofResearch"/>
        <w:numPr>
          <w:ilvl w:val="0"/>
          <w:numId w:val="3"/>
        </w:numPr>
        <w:spacing w:after="120"/>
        <w:ind w:left="1080" w:hanging="360"/>
        <w:jc w:val="both"/>
      </w:pPr>
      <w:r>
        <w:rPr>
          <w:b w:val="0"/>
        </w:rPr>
        <w:t xml:space="preserve">To enable CRMC staff administrators to verify documents, schedule and conduct a single assessment interview, complete a structured Unified Intake Sheet, endorse each verified request to one or more partner agencies, issue and manage Patient Access Codes, maintain the document and assistance type catalogs, and post system-wide announcements.</w:t>
      </w:r>
    </w:p>
    <w:p>
      <w:pPr>
        <w:pStyle w:val="BodyofResearch"/>
        <w:numPr>
          <w:ilvl w:val="0"/>
          <w:numId w:val="3"/>
        </w:numPr>
        <w:spacing w:after="120"/>
        <w:ind w:left="1080" w:hanging="360"/>
        <w:jc w:val="both"/>
      </w:pPr>
      <w:r>
        <w:rPr>
          <w:b w:val="0"/>
        </w:rPr>
        <w:t xml:space="preserve">To enable partner agencies to make independent funding decisions on the slices endorsed to them — approving an amount, requesting more information, or rejecting — and to issue a Guarantee Letter for each approved slice within a dedicated, data-isolated workspace.</w:t>
      </w:r>
    </w:p>
    <w:p>
      <w:pPr>
        <w:pStyle w:val="BodyofResearch"/>
        <w:numPr>
          <w:ilvl w:val="0"/>
          <w:numId w:val="3"/>
        </w:numPr>
        <w:spacing w:after="120"/>
        <w:ind w:left="1080" w:hanging="360"/>
        <w:jc w:val="both"/>
      </w:pPr>
      <w:r>
        <w:rPr>
          <w:b w:val="0"/>
        </w:rPr>
        <w:t xml:space="preserve">To allow agency administrators to manage their agency's budget allocation, per-applicant policy cap, coordinator accounts, and agency-level audit log.</w:t>
      </w:r>
    </w:p>
    <w:p>
      <w:pPr>
        <w:pStyle w:val="BodyofResearch"/>
        <w:numPr>
          <w:ilvl w:val="0"/>
          <w:numId w:val="3"/>
        </w:numPr>
        <w:spacing w:after="120"/>
        <w:ind w:left="1080" w:hanging="360"/>
        <w:jc w:val="both"/>
      </w:pPr>
      <w:r>
        <w:rPr>
          <w:b w:val="0"/>
        </w:rPr>
        <w:t xml:space="preserve">To allow CRMC super administrators to additionally oversee and configure agency accounts, administrator accounts, and the platform-wide audit log through a centralized administration panel.</w:t>
      </w:r>
    </w:p>
    <w:p>
      <w:pPr>
        <w:pStyle w:val="BodyofResearch"/>
        <w:numPr>
          <w:ilvl w:val="0"/>
          <w:numId w:val="3"/>
        </w:numPr>
        <w:spacing w:after="120"/>
        <w:ind w:left="1080" w:hanging="360"/>
        <w:jc w:val="both"/>
      </w:pPr>
      <w:r>
        <w:rPr>
          <w:b w:val="0"/>
        </w:rPr>
        <w:t xml:space="preserve">To allow patients to monitor, in real time, both the lifecycle of their overall request and the lifecycle of each agency slice, and to provide them with a direct digital communication channel for reaching CRMC and any endorsed agency.</w:t>
      </w:r>
    </w:p>
    <w:p>
      <w:pPr>
        <w:pStyle w:val="BodyofResearch"/>
        <w:numPr>
          <w:ilvl w:val="0"/>
          <w:numId w:val="3"/>
        </w:numPr>
        <w:spacing w:after="120"/>
        <w:ind w:left="1080" w:hanging="360"/>
        <w:jc w:val="both"/>
      </w:pPr>
      <w:r>
        <w:rPr>
          <w:b w:val="0"/>
        </w:rPr>
        <w:t xml:space="preserve">To enforce a 30-day cooldown, tied to each patient's Hospital ID, that prevents duplicate approvals across all partner agencies — with an explicit exception for sibling slices of the same co-funding request, which are intended to layer toward a single bill.</w:t>
      </w:r>
    </w:p>
    <w:p>
      <w:pPr>
        <w:pStyle w:val="BodyofResearch"/>
        <w:numPr>
          <w:ilvl w:val="0"/>
          <w:numId w:val="3"/>
        </w:numPr>
        <w:spacing w:after="120"/>
        <w:ind w:left="1080" w:hanging="360"/>
        <w:jc w:val="both"/>
      </w:pPr>
      <w:r>
        <w:rPr>
          <w:b w:val="0"/>
        </w:rPr>
        <w:t xml:space="preserve">To comply with Republic Act No. 10173, the Data Privacy Act of 2012, by enforcing server-side role-based access control and by providing patients with the ability to view who has accessed their records, to obtain a machine-readable copy of their data, and to have their data permanently erased.</w:t>
      </w:r>
    </w:p>
    <w:p>
      <w:pPr>
        <w:pStyle w:val="BodyofResearch"/>
        <w:numPr>
          <w:ilvl w:val="0"/>
          <w:numId w:val="3"/>
        </w:numPr>
        <w:spacing w:after="120"/>
        <w:ind w:left="1080" w:hanging="360"/>
        <w:jc w:val="both"/>
      </w:pPr>
      <w:r>
        <w:rPr>
          <w:b w:val="0"/>
        </w:rPr>
        <w:t xml:space="preserve">To deliver the patient-facing experience as an installable Progressive Web Application that provides a mobile-optimized, bilingual (Filipino and English) interface on patients' smartphones from the same codebase that serves the web portal.</w:t>
      </w:r>
    </w:p>
    <w:p>
      <w:r>
        <w:br w:type="page"/>
      </w:r>
    </w:p>
    <w:p>
      <w:pPr>
        <w:pStyle w:val="Heading2"/>
        <w:keepNext/>
        <w:keepLines/>
        <w:spacing w:before="240" w:after="240"/>
        <w:jc w:val="left"/>
      </w:pPr>
      <w:r>
        <w:rPr>
          <w:b/>
        </w:rPr>
        <w:t xml:space="preserve">Scope and Limitations</w:t>
      </w:r>
    </w:p>
    <w:p>
      <w:pPr>
        <w:pStyle w:val="BodyofResearch"/>
        <w:keepNext/>
        <w:keepLines/>
        <w:spacing w:before="180" w:after="120"/>
        <w:jc w:val="left"/>
      </w:pPr>
      <w:r>
        <w:rPr>
          <w:b/>
        </w:rPr>
        <w:t xml:space="preserve">Scope</w:t>
      </w:r>
    </w:p>
    <w:p>
      <w:pPr>
        <w:pStyle w:val="BodyofResearch"/>
        <w:ind w:firstLine="720"/>
        <w:jc w:val="both"/>
      </w:pPr>
      <w:r>
        <w:rPr>
          <w:b w:val="0"/>
        </w:rPr>
        <w:t xml:space="preserve">The scope of this project covers the development of MAPA: Medical Assistance Portal Access for Cotabato Regional and Medical Center — a single web-based platform delivered as a Progressive Web Application that is installable on patients' smartphones — as a medical assistance coordination platform serving the patients and assistance agencies of Cotabato Regional and Medical Center (CRMC), Cotabato City.</w:t>
      </w:r>
    </w:p>
    <w:p>
      <w:pPr>
        <w:pStyle w:val="BodyofResearch"/>
        <w:numPr>
          <w:ilvl w:val="0"/>
          <w:numId w:val="3"/>
        </w:numPr>
        <w:spacing w:after="120"/>
        <w:ind w:left="1080" w:hanging="360"/>
        <w:jc w:val="both"/>
      </w:pPr>
      <w:r>
        <w:rPr>
          <w:b/>
        </w:rPr>
        <w:t xml:space="preserve">Institutional coverage.</w:t>
      </w:r>
      <w:r>
        <w:rPr>
          <w:b w:val="0"/>
        </w:rPr>
        <w:t xml:space="preserve"> The system is scoped to CRMC as the sole covered institution. All patient registrations, agency operations, and administrative functions within the platform are tied to CRMC. Patients must hold a valid CRMC-issued Patient Access Code (Hospital ID) to register and access the system.</w:t>
      </w:r>
    </w:p>
    <w:p>
      <w:pPr>
        <w:pStyle w:val="BodyofResearch"/>
        <w:numPr>
          <w:ilvl w:val="0"/>
          <w:numId w:val="3"/>
        </w:numPr>
        <w:spacing w:after="120"/>
        <w:ind w:left="1080" w:hanging="360"/>
        <w:jc w:val="both"/>
      </w:pPr>
      <w:r>
        <w:rPr>
          <w:b/>
        </w:rPr>
        <w:t xml:space="preserve">Platform coverage.</w:t>
      </w:r>
      <w:r>
        <w:rPr>
          <w:b w:val="0"/>
        </w:rPr>
        <w:t xml:space="preserve"> The system is built as a single Progressive Web Application from one codebase. It is accessible through any modern browser and serves all five user roles. Patients may additionally install the platform to their smartphone home screen, where it presents a mobile-optimized, app-like interface; this installed mobile experience is intended for the Patient role. Agency personnel and administrators access all functions through the web portal on a desktop or laptop browser.</w:t>
      </w:r>
    </w:p>
    <w:p>
      <w:pPr>
        <w:pStyle w:val="BodyofResearch"/>
        <w:numPr>
          <w:ilvl w:val="0"/>
          <w:numId w:val="3"/>
        </w:numPr>
        <w:spacing w:after="120"/>
        <w:ind w:left="1080" w:hanging="360"/>
        <w:jc w:val="both"/>
      </w:pPr>
      <w:r>
        <w:rPr>
          <w:b/>
        </w:rPr>
        <w:t xml:space="preserve">User role coverage.</w:t>
      </w:r>
      <w:r>
        <w:rPr>
          <w:b w:val="0"/>
        </w:rPr>
        <w:t xml:space="preserve"> The system covers five user roles with distinct access levels: Patient, who files a single co-funding request and accesses all patient-facing features through the web and the installed mobile experience; Agency Coordinator, who makes funding decisions on the slices endorsed to their assigned agency; Agency Administrator, who additionally controls the agency's budget allocation, per-applicant cap, coordinator accounts, and agency audit log; Staff Admin, who performs the CRMC-gateway operations of document verification, interview scheduling and conduct, assessment, endorsement, and messaging; and Super Admin, who holds full system access and oversight including agency and administrator account management and permanent data erasure.</w:t>
      </w:r>
    </w:p>
    <w:p>
      <w:pPr>
        <w:pStyle w:val="BodyofResearch"/>
        <w:numPr>
          <w:ilvl w:val="0"/>
          <w:numId w:val="3"/>
        </w:numPr>
        <w:spacing w:after="120"/>
        <w:ind w:left="1080" w:hanging="360"/>
        <w:jc w:val="both"/>
      </w:pPr>
      <w:r>
        <w:rPr>
          <w:b/>
        </w:rPr>
        <w:t xml:space="preserve">Co-funding workflow coverage.</w:t>
      </w:r>
      <w:r>
        <w:rPr>
          <w:b w:val="0"/>
        </w:rPr>
        <w:t xml:space="preserve"> The system covers the full CRMC-gateway co-funding workflow: a single patient request stating the bill and amount needed; one document upload and one live selfie; CRMC document verification; the booking and conduct of a single assessment interview and a structured Unified Intake Sheet; the recording of PhilHealth first-charge coverage against the bill; endorsement of the residual balance to one or more partner agencies as funding slices; the patient's confirmation of the coverage plan; each agency's independent funding decision and Guarantee Letter issuance; and the computation of the request's overall funding status from the approvals as they land.</w:t>
      </w:r>
    </w:p>
    <w:p>
      <w:pPr>
        <w:pStyle w:val="BodyofResearch"/>
        <w:numPr>
          <w:ilvl w:val="0"/>
          <w:numId w:val="3"/>
        </w:numPr>
        <w:spacing w:after="120"/>
        <w:ind w:left="1080" w:hanging="360"/>
        <w:jc w:val="both"/>
      </w:pPr>
      <w:r>
        <w:rPr>
          <w:b/>
        </w:rPr>
        <w:t xml:space="preserve">Functional coverage.</w:t>
      </w:r>
      <w:r>
        <w:rPr>
          <w:b w:val="0"/>
        </w:rPr>
        <w:t xml:space="preserve"> Beyond the core workflow, the system covers supporting functions including pre-assessment program screening, a personal document library with reusable verified documents, an appointment system with published interview slots and in-person queue numbering, daily slot management decremented at endorsement, the Guarantee Letter lifecycle (issue, redeem, expire, and reverse), agency budget allocation and per-applicant caps, in-system messaging between patients and CRMC and endorsed agencies, cross-agency coordination features including a shared case timeline, sibling-approval notifications, an over-commitment guard, and structured referral suggestions, system-wide administrator announcements, transaction-based in-app and email notifications, Patient Access Code issuance and management including QR issuance, document-type and assistance-type management, patient data access logging, data export and erasure under the Data Privacy Act, and unified application logging across all agencies and modules.</w:t>
      </w:r>
    </w:p>
    <w:p>
      <w:r>
        <w:br w:type="page"/>
      </w:r>
    </w:p>
    <w:p>
      <w:pPr>
        <w:pStyle w:val="BodyofResearch"/>
        <w:keepNext/>
        <w:keepLines/>
        <w:spacing w:before="180" w:after="120"/>
        <w:jc w:val="left"/>
      </w:pPr>
      <w:r>
        <w:rPr>
          <w:b/>
        </w:rPr>
        <w:t xml:space="preserve">Limitations</w:t>
      </w:r>
    </w:p>
    <w:p>
      <w:pPr>
        <w:pStyle w:val="BodyofResearch"/>
        <w:ind w:firstLine="720"/>
        <w:jc w:val="both"/>
      </w:pPr>
      <w:r>
        <w:rPr>
          <w:b w:val="0"/>
        </w:rPr>
        <w:t xml:space="preserve">While the project aims to deliver a functional, accessible, and user-centered platform, the following limitations apply to its current scope:</w:t>
      </w:r>
    </w:p>
    <w:p>
      <w:pPr>
        <w:pStyle w:val="BodyofResearch"/>
        <w:numPr>
          <w:ilvl w:val="0"/>
          <w:numId w:val="3"/>
        </w:numPr>
        <w:spacing w:after="120"/>
        <w:ind w:left="1080" w:hanging="360"/>
        <w:jc w:val="both"/>
      </w:pPr>
      <w:r>
        <w:rPr>
          <w:b/>
        </w:rPr>
        <w:t xml:space="preserve">Facility coverage.</w:t>
      </w:r>
      <w:r>
        <w:rPr>
          <w:b w:val="0"/>
        </w:rPr>
        <w:t xml:space="preserve"> The application is limited to patients of Cotabato Regional and Medical Center (CRMC), Cotabato City only. Patients from other hospitals or medical facilities within the region are not covered by this system. Multi-hospital support would require restructuring the Patient Access Code namespace and introducing a hospitals collection, and is treated as future architecture rather than a configuration change.</w:t>
      </w:r>
    </w:p>
    <w:p>
      <w:pPr>
        <w:pStyle w:val="BodyofResearch"/>
        <w:numPr>
          <w:ilvl w:val="0"/>
          <w:numId w:val="3"/>
        </w:numPr>
        <w:spacing w:after="120"/>
        <w:ind w:left="1080" w:hanging="360"/>
        <w:jc w:val="both"/>
      </w:pPr>
      <w:r>
        <w:rPr>
          <w:b/>
        </w:rPr>
        <w:t xml:space="preserve">No real money movement.</w:t>
      </w:r>
      <w:r>
        <w:rPr>
          <w:b w:val="0"/>
        </w:rPr>
        <w:t xml:space="preserve"> The system tracks monetary commitments as data only — the amounts an agency has committed, disbursed, or released. It does not integrate with banking or payment systems, and CRMC holds no fund-disbursement authority. Actual settlement happens off-system, directly between each agency and the healthcare provider named on the Guarantee Letter.</w:t>
      </w:r>
    </w:p>
    <w:p>
      <w:pPr>
        <w:pStyle w:val="BodyofResearch"/>
        <w:numPr>
          <w:ilvl w:val="0"/>
          <w:numId w:val="3"/>
        </w:numPr>
        <w:spacing w:after="120"/>
        <w:ind w:left="1080" w:hanging="360"/>
        <w:jc w:val="both"/>
      </w:pPr>
      <w:r>
        <w:rPr>
          <w:b/>
        </w:rPr>
        <w:t xml:space="preserve">No national-ID integration.</w:t>
      </w:r>
      <w:r>
        <w:rPr>
          <w:b w:val="0"/>
        </w:rPr>
        <w:t xml:space="preserve"> The system does not integrate with PhilSys or any national identity API. Identity verification is performed manually by the CRMC social worker, supported by an advisory on-device OCR cross-check and a live selfie matched against the uploaded identification document. This is a design decision rather than an oversight: the social worker always makes the final determination.</w:t>
      </w:r>
    </w:p>
    <w:p>
      <w:pPr>
        <w:pStyle w:val="BodyofResearch"/>
        <w:numPr>
          <w:ilvl w:val="0"/>
          <w:numId w:val="3"/>
        </w:numPr>
        <w:spacing w:after="120"/>
        <w:ind w:left="1080" w:hanging="360"/>
        <w:jc w:val="both"/>
      </w:pPr>
      <w:r>
        <w:rPr>
          <w:b/>
        </w:rPr>
        <w:t xml:space="preserve">No PhilHealth eligibility API.</w:t>
      </w:r>
      <w:r>
        <w:rPr>
          <w:b w:val="0"/>
        </w:rPr>
        <w:t xml:space="preserve"> PhilHealth coverage is recorded as a figure entered by the CRMC social worker from the hospital's own billing computation. The system does not query PhilHealth systems to verify member eligibility or benefit amounts.</w:t>
      </w:r>
    </w:p>
    <w:p>
      <w:pPr>
        <w:pStyle w:val="BodyofResearch"/>
        <w:numPr>
          <w:ilvl w:val="0"/>
          <w:numId w:val="3"/>
        </w:numPr>
        <w:spacing w:after="120"/>
        <w:ind w:left="1080" w:hanging="360"/>
        <w:jc w:val="both"/>
      </w:pPr>
      <w:r>
        <w:rPr>
          <w:b/>
        </w:rPr>
        <w:t xml:space="preserve">SMS delivery built but not yet activated.</w:t>
      </w:r>
      <w:r>
        <w:rPr>
          <w:b w:val="0"/>
        </w:rPr>
        <w:t xml:space="preserve"> A PH-local SMS channel has been implemented for high-value, time-critical messages, but it is not yet live pending gateway approval of the sender name. In-app and email remain the active notification channels, and push notification is identified as future work.</w:t>
      </w:r>
    </w:p>
    <w:p>
      <w:pPr>
        <w:pStyle w:val="BodyofResearch"/>
        <w:numPr>
          <w:ilvl w:val="0"/>
          <w:numId w:val="3"/>
        </w:numPr>
        <w:spacing w:after="120"/>
        <w:ind w:left="1080" w:hanging="360"/>
        <w:jc w:val="both"/>
      </w:pPr>
      <w:r>
        <w:rPr>
          <w:b/>
        </w:rPr>
        <w:t xml:space="preserve">No embedded video calling.</w:t>
      </w:r>
      <w:r>
        <w:rPr>
          <w:b w:val="0"/>
        </w:rPr>
        <w:t xml:space="preserve"> The application does not host video calls. Online assessment interviews, used as a fallback to the default in-person mode, are conducted through Google Meet, with MAPA handling only the scheduling and link delivery.</w:t>
      </w:r>
    </w:p>
    <w:p>
      <w:pPr>
        <w:pStyle w:val="BodyofResearch"/>
        <w:numPr>
          <w:ilvl w:val="0"/>
          <w:numId w:val="3"/>
        </w:numPr>
        <w:spacing w:after="120"/>
        <w:ind w:left="1080" w:hanging="360"/>
        <w:jc w:val="both"/>
      </w:pPr>
      <w:r>
        <w:rPr>
          <w:b/>
        </w:rPr>
        <w:t xml:space="preserve">No agency system integration.</w:t>
      </w:r>
      <w:r>
        <w:rPr>
          <w:b w:val="0"/>
        </w:rPr>
        <w:t xml:space="preserve"> The application does not connect to the internal records, billing, or case-management systems of any covered agency, nor to the hospital's iHOMIS information system. All records maintained within the platform are independent of each agency's official administrative files; hospital case numbers are referenced manually.</w:t>
      </w:r>
    </w:p>
    <w:p>
      <w:pPr>
        <w:pStyle w:val="BodyofResearch"/>
        <w:numPr>
          <w:ilvl w:val="0"/>
          <w:numId w:val="3"/>
        </w:numPr>
        <w:spacing w:after="120"/>
        <w:ind w:left="1080" w:hanging="360"/>
        <w:jc w:val="both"/>
      </w:pPr>
      <w:r>
        <w:rPr>
          <w:b/>
        </w:rPr>
        <w:t xml:space="preserve">Mobile distribution.</w:t>
      </w:r>
      <w:r>
        <w:rPr>
          <w:b w:val="0"/>
        </w:rPr>
        <w:t xml:space="preserve"> The mobile experience is delivered as an installable Progressive Web Application rather than a native app distributed through an app store. It is installed directly from the browser using the standard Add-to-Home-Screen flow, and the installation experience differs by platform — most seamless on Android Chrome, while iOS requires a manual Add-to-Home-Screen step through Safari. Patients who do not install the application continue to access all features through the mobile browser, and the installed experience is intended exclusively for the Patient role.</w:t>
      </w:r>
    </w:p>
    <w:p>
      <w:pPr>
        <w:pStyle w:val="BodyofResearch"/>
        <w:numPr>
          <w:ilvl w:val="0"/>
          <w:numId w:val="3"/>
        </w:numPr>
        <w:spacing w:after="120"/>
        <w:ind w:left="1080" w:hanging="360"/>
        <w:jc w:val="both"/>
      </w:pPr>
      <w:r>
        <w:rPr>
          <w:b/>
        </w:rPr>
        <w:t xml:space="preserve">Internet dependency.</w:t>
      </w:r>
      <w:r>
        <w:rPr>
          <w:b w:val="0"/>
        </w:rPr>
        <w:t xml:space="preserve"> The platform requires a stable internet connection to access all features. While the installed application shell can load without connectivity and read-only access to already-loaded data remains available, all data retrieval and submission require an active connection, which may limit accessibility for patients in areas with poor or unstable network coverage.</w:t>
      </w:r>
    </w:p>
    <w:p>
      <w:pPr>
        <w:pStyle w:val="BodyofResearch"/>
        <w:numPr>
          <w:ilvl w:val="0"/>
          <w:numId w:val="3"/>
        </w:numPr>
        <w:spacing w:after="120"/>
        <w:ind w:left="1080" w:hanging="360"/>
        <w:jc w:val="both"/>
      </w:pPr>
      <w:r>
        <w:rPr>
          <w:b/>
        </w:rPr>
        <w:t xml:space="preserve">Document storage.</w:t>
      </w:r>
      <w:r>
        <w:rPr>
          <w:b w:val="0"/>
        </w:rPr>
        <w:t xml:space="preserve"> Uploaded documents and signed Guarantee Letters are stored as Base64-encoded data within Firestore, capping each file at approximately 700 kilobytes after image compression. Object storage is provisioned on the project and the migration path is implemented, but the migration itself has not been executed within the study period.</w:t>
      </w:r>
    </w:p>
    <w:p>
      <w:pPr>
        <w:pStyle w:val="BodyofResearch"/>
        <w:numPr>
          <w:ilvl w:val="0"/>
          <w:numId w:val="3"/>
        </w:numPr>
        <w:spacing w:after="120"/>
        <w:ind w:left="1080" w:hanging="360"/>
        <w:jc w:val="both"/>
      </w:pPr>
      <w:r>
        <w:rPr>
          <w:b/>
        </w:rPr>
        <w:t xml:space="preserve">Messaging application scope.</w:t>
      </w:r>
      <w:r>
        <w:rPr>
          <w:b w:val="0"/>
        </w:rPr>
        <w:t xml:space="preserve"> The in-system messaging supports direct communication between patients and CRMC administrators and between patients and the agencies endorsed on their request. Group messaging, file attachments beyond document uploads, and multimedia content are not supported in the current version, and patient-to-patient messaging is blocked.</w:t>
      </w:r>
    </w:p>
    <w:p>
      <w:pPr>
        <w:pStyle w:val="BodyofResearch"/>
        <w:numPr>
          <w:ilvl w:val="0"/>
          <w:numId w:val="3"/>
        </w:numPr>
        <w:spacing w:after="120"/>
        <w:ind w:left="1080" w:hanging="360"/>
        <w:jc w:val="both"/>
      </w:pPr>
      <w:r>
        <w:rPr>
          <w:b/>
        </w:rPr>
        <w:t xml:space="preserve">Language coverage.</w:t>
      </w:r>
      <w:r>
        <w:rPr>
          <w:b w:val="0"/>
        </w:rPr>
        <w:t xml:space="preserve"> The patient-facing interface is bilingual in Filipino and English. Staff-facing surfaces used by CRMC and partner-agency personnel are provided in English only, on the reasoning that these are professional users working in the customary language of clinical and government record-keeping. Maguindanaon, Maranao, and Tausug are spoken widely in the catchment area and are identified as future work bounded by translation budget rather than by engineering effort.</w:t>
      </w:r>
    </w:p>
    <w:p>
      <w:pPr>
        <w:pStyle w:val="BodyofResearch"/>
        <w:numPr>
          <w:ilvl w:val="0"/>
          <w:numId w:val="3"/>
        </w:numPr>
        <w:spacing w:after="120"/>
        <w:ind w:left="1080" w:hanging="360"/>
        <w:jc w:val="both"/>
      </w:pPr>
      <w:r>
        <w:rPr>
          <w:b/>
        </w:rPr>
        <w:t xml:space="preserve">Interview-questionnaire scope.</w:t>
      </w:r>
      <w:r>
        <w:rPr>
          <w:b w:val="0"/>
        </w:rPr>
        <w:t xml:space="preserve"> The structured interview-questionnaire conducted at CRMC was limited to nine respondents from the Medical Social Service, the Malasakit Center, and the Municipal Social Welfare and Development Office, and does not independently represent the perspectives of personnel from all assistance agencies operating at CRMC. The sample is adequate for establishing that the identified problems are recognized across roles, but is too small to support statistical generalization.</w:t>
      </w:r>
    </w:p>
    <w:p>
      <w:pPr>
        <w:pStyle w:val="BodyofResearch"/>
        <w:numPr>
          <w:ilvl w:val="0"/>
          <w:numId w:val="3"/>
        </w:numPr>
        <w:spacing w:after="120"/>
        <w:ind w:left="1080" w:hanging="360"/>
        <w:jc w:val="both"/>
      </w:pPr>
      <w:r>
        <w:rPr>
          <w:b/>
        </w:rPr>
        <w:t xml:space="preserve">Evaluation period.</w:t>
      </w:r>
      <w:r>
        <w:rPr>
          <w:b w:val="0"/>
        </w:rPr>
        <w:t xml:space="preserve"> The system was evaluated during a pilot period at CRMC's Malasakit Center. Outcome measures that require longitudinal observation — such as the change in the average number of patient visits per approved request over a full fiscal year — fall outside the study period and are recommended for future research.</w:t>
      </w:r>
    </w:p>
    <w:p>
      <w:r>
        <w:br w:type="page"/>
      </w:r>
    </w:p>
    <w:p>
      <w:pPr>
        <w:pStyle w:val="Heading2"/>
        <w:keepNext/>
        <w:keepLines/>
        <w:spacing w:before="240" w:after="240"/>
        <w:jc w:val="left"/>
      </w:pPr>
      <w:r>
        <w:rPr>
          <w:b/>
        </w:rPr>
        <w:t xml:space="preserve">Review of Related Literature, Studies, and Systems</w:t>
      </w:r>
    </w:p>
    <w:p>
      <w:pPr>
        <w:pStyle w:val="BodyofResearch"/>
        <w:keepNext/>
        <w:keepLines/>
        <w:spacing w:before="180" w:after="120"/>
        <w:jc w:val="left"/>
      </w:pPr>
      <w:r>
        <w:rPr>
          <w:b/>
        </w:rPr>
        <w:t xml:space="preserve">Related Literature</w:t>
      </w:r>
    </w:p>
    <w:p>
      <w:pPr>
        <w:pStyle w:val="BodyofResearch"/>
        <w:ind w:firstLine="720"/>
        <w:jc w:val="both"/>
      </w:pPr>
      <w:r>
        <w:rPr>
          <w:b w:val="0"/>
        </w:rPr>
        <w:t xml:space="preserve">The use of Information and Communication Technology (ICT) in healthcare has significantly improved the delivery of medical services, particularly in developing countries where access to healthcare remains uneven. The application of ICT in healthcare, commonly referred to as eHealth, enables more efficient coordination between patients and service providers, supports decision-making, and enhances accessibility to health-related information and services. According to Marcelo et al. (2024), eHealth systems play a crucial role in achieving universal health coverage (UHC) by improving service reach, especially in geographically isolated and disadvantaged areas.</w:t>
      </w:r>
    </w:p>
    <w:p>
      <w:pPr>
        <w:pStyle w:val="BodyofResearch"/>
        <w:ind w:firstLine="720"/>
        <w:jc w:val="both"/>
      </w:pPr>
      <w:r>
        <w:rPr>
          <w:b w:val="0"/>
        </w:rPr>
        <w:t xml:space="preserve">Web-based portals are among the most widely adopted ICT solutions in healthcare and government service delivery. These portals provide centralized access to services, allowing users to obtain information, submit applications, and monitor processes remotely. In the Philippine context, the implementation of eHealth initiatives across various regions reflects the government's effort to modernize healthcare delivery systems and improve patient access to services (Tinam-Isan &amp; Naga, 2024). Real-time notification systems that alert patients to status changes in their applications — such as document verification outcomes, interview scheduling, and certificate issuance — further extend the value of real-time information platforms by reducing the need for patients to repeatedly check for updates (Tinam-Isan &amp; Naga, 2024).</w:t>
      </w:r>
    </w:p>
    <w:p>
      <w:pPr>
        <w:pStyle w:val="BodyofResearch"/>
        <w:ind w:firstLine="720"/>
        <w:jc w:val="both"/>
      </w:pPr>
      <w:r>
        <w:rPr>
          <w:b w:val="0"/>
        </w:rPr>
        <w:t xml:space="preserve">Queue and appointment management systems are essential components of modern healthcare service delivery. Long waiting times and overcrowding in public hospitals have been identified as major sources of patient dissatisfaction in public health facilities. Digital queue and appointment management systems address this issue by providing real-time visibility of service availability, enabling patients to plan their visits more efficiently and reducing unnecessary physical queuing. Zhou et al. (2017) examined the factors influencing behavioral intention to use mobile health services and found that perceived value and trust are the dominant determinants of adoption — a finding that bears directly on a system asking indigent patients to rely on a booked appointment rather than on physically queuing, since the patient must trust that the reservation will be honored on arrival.</w:t>
      </w:r>
    </w:p>
    <w:p>
      <w:pPr>
        <w:pStyle w:val="BodyofResearch"/>
        <w:ind w:firstLine="720"/>
        <w:jc w:val="both"/>
      </w:pPr>
      <w:r>
        <w:rPr>
          <w:b w:val="0"/>
        </w:rPr>
        <w:t xml:space="preserve">Online document submission and pre-verification represent a significant ICT application in public service delivery. This approach allows applicants to upload required documents before physically visiting an office, enabling staff to verify completeness in advance, reducing failed transactions, and minimizing the burden on patients who travel long distances. Astudillo et al. (2024) found that patients from remote areas in Southern Mindanao have trouble complying with documentary requirements for multiple financial assistance programs and recommended the development of online platforms to simplify these processes. Beyond documentary compliance, the absence of structured guidance on program eligibility represents a parallel barrier — patients who are uncertain about which programs they qualify for risk submitting applications to programs for which they are ineligible, compounding the inefficiency of the existing process. A pre-assessment screening tool that evaluates patient eligibility profiles before application submission addresses this guidance gap directly. Under a single-intake gateway, this burden is reduced further still, as the patient submits one set of documents that the hospital verifies once on behalf of every agency that will co-fund the bill.</w:t>
      </w:r>
    </w:p>
    <w:p>
      <w:pPr>
        <w:pStyle w:val="BodyofResearch"/>
        <w:ind w:firstLine="720"/>
        <w:jc w:val="both"/>
      </w:pPr>
      <w:r>
        <w:rPr>
          <w:b w:val="0"/>
        </w:rPr>
        <w:t xml:space="preserve">The adoption of remote assessment has further transformed service delivery by enabling eligibility assessments to be conducted without physical presence, reducing congestion while maintaining evaluation quality. This approach became especially prominent following the COVID-19 pandemic, which accelerated the shift toward accessible and congestion-reducing remote service delivery models across government and healthcare institutions (Yellowlees et al., 2020). The literature is careful, however, not to treat remote delivery as universally preferable. For populations with limited digital literacy, unreliable connectivity, or a need for the relational trust that face-to-face contact builds, in-person assessment remains the stronger default, with remote delivery held in reserve for circumstances that make travel impracticable. This consideration directly informed MAPA's decision to schedule the assessment interview as in-person by default while retaining an online fallback.</w:t>
      </w:r>
    </w:p>
    <w:p>
      <w:pPr>
        <w:pStyle w:val="BodyofResearch"/>
        <w:ind w:firstLine="720"/>
        <w:jc w:val="both"/>
      </w:pPr>
      <w:r>
        <w:rPr>
          <w:b w:val="0"/>
        </w:rPr>
        <w:t xml:space="preserve">Security and data privacy are critical considerations in web-based systems that handle sensitive personal and medical information. Role-Based Access Control (RBAC) is widely used to manage user permissions, ensuring that users can only access data relevant to their designated roles (Ferraiolo et al., 2001). Complementary work on privacy by design demonstrates that embedding access controls and data-protection measures directly into a health information system's architecture from the outset safeguards sensitive data without compromising usability (Bidari et al., 2021). The implementation of the system is further guided by Republic Act No. 10173, the Data Privacy Act of 2012, which mandates the protection of personal and sensitive information and requires systems to implement informed consent mechanisms, data minimization practices, and secure storage procedures, and which confers on data subjects the rights of access, portability, and erasure that MAPA implements directly.</w:t>
      </w:r>
    </w:p>
    <w:p>
      <w:pPr>
        <w:pStyle w:val="BodyofResearch"/>
        <w:ind w:firstLine="720"/>
        <w:jc w:val="both"/>
      </w:pPr>
      <w:r>
        <w:rPr>
          <w:b w:val="0"/>
        </w:rPr>
        <w:t xml:space="preserve">Mobile health (mHealth) applications have emerged as a critical channel for delivering healthcare and government services to populations with limited access to desktop computing infrastructure. The World Health Organization (2011) defines mHealth as the use of mobile and wireless technologies to support the achievement of health objectives and identifies smartphone-based platforms as among the most viable tools for extending health service reach in low-to-middle income countries where mobile internet penetration significantly exceeds fixed broadband connectivity. In the Philippines, mobile internet access has grown substantially, with 117.4 million cellular mobile connections recorded at the start of 2024 — equivalent to 99.3 percent of the total population — and most Filipinos accessing the internet primarily through mobile devices rather than fixed-line connections (Kemp, 2024). This mobile-first digital landscape makes smartphone-based applications a practical and necessary channel for reaching the patient population served by public hospitals such as CRMC and directly informs the decision to deliver MAPA's patient-facing features as an installable Progressive Web Application, which provides an app-like mobile experience from a single codebase that also serves the web portal, without requiring patients to download a separate native application from an app store.</w:t>
      </w:r>
    </w:p>
    <w:p>
      <w:pPr>
        <w:pStyle w:val="BodyofResearch"/>
        <w:ind w:firstLine="720"/>
        <w:jc w:val="both"/>
      </w:pPr>
      <w:r>
        <w:rPr>
          <w:b w:val="0"/>
        </w:rPr>
        <w:t xml:space="preserve">Digital communication channels between patients and healthcare service providers have been recognized as an important component of patient-centered care, enabling patients to raise concerns, seek clarification, and receive timely responses without requiring physical presence at a healthcare facility. Text-based messaging systems between patients and providers have been shown to improve patient engagement, reduce unnecessary in-person visits, and increase satisfaction with the healthcare experience — particularly among patients who face geographic or financial barriers to physical access (Hamine et al., 2015). In the context of government-administered assistance programs, a structured in-system messaging channel provides patients with a direct and documented means of communicating with the hospital and the agencies funding their applications, reducing dependency on physical visits for routine inquiries and follow-up communications.</w:t>
      </w:r>
    </w:p>
    <w:p>
      <w:pPr>
        <w:pStyle w:val="BodyofResearch"/>
        <w:ind w:firstLine="720"/>
        <w:jc w:val="both"/>
      </w:pPr>
      <w:r>
        <w:rPr>
          <w:b w:val="0"/>
        </w:rPr>
        <w:t xml:space="preserve">Finally, the literature on inter-organizational service delivery provides the conceptual framing for the coordination problem MAPA addresses. Bardach (1998) describes the work of building interagency collaborative capacity as substantially a matter of “frame reflection” — the participating organizations arriving at a shared understanding of the problem — while Klijn and Koppenjan (2016) characterize effective governance networks as depending on “network awareness,” the capacity of each actor to see what the others are doing. Both accounts locate coordination not in the surrender of organizational autonomy but in shared visibility. This distinction is the design principle behind MAPA's coordination layer: the platform makes each agency's actions visible to the others working the same case, while leaving each agency's funding decision entirely its own.</w:t>
      </w:r>
    </w:p>
    <w:p>
      <w:r>
        <w:br w:type="page"/>
      </w:r>
    </w:p>
    <w:p>
      <w:pPr>
        <w:pStyle w:val="BodyofResearch"/>
        <w:keepNext/>
        <w:keepLines/>
        <w:spacing w:before="180" w:after="120"/>
        <w:jc w:val="left"/>
      </w:pPr>
      <w:r>
        <w:rPr>
          <w:b/>
        </w:rPr>
        <w:t xml:space="preserve">Related Studies</w:t>
      </w:r>
    </w:p>
    <w:p>
      <w:pPr>
        <w:pStyle w:val="BodyofResearch"/>
        <w:ind w:firstLine="720"/>
        <w:jc w:val="both"/>
      </w:pPr>
      <w:r>
        <w:rPr>
          <w:b w:val="0"/>
        </w:rPr>
        <w:t xml:space="preserve">Several studies support the effectiveness of ICT-based systems in improving healthcare access and service delivery.</w:t>
      </w:r>
    </w:p>
    <w:p>
      <w:pPr>
        <w:pStyle w:val="BodyofResearch"/>
        <w:ind w:firstLine="720"/>
        <w:jc w:val="both"/>
      </w:pPr>
      <w:r>
        <w:rPr>
          <w:b w:val="0"/>
        </w:rPr>
        <w:t xml:space="preserve">Marcelo et al. (2024) conducted a study on the implementation of eHealth systems in the Philippines and found that digital health solutions significantly improve accessibility, particularly for underserved populations. Their findings emphasize the importance of user-centered design and institutional support in ensuring successful adoption — principles that informed the design of both the patient portal and the agency workspace of MAPA, and that underlie the decision to treat institutional governance as a first-class deployment requirement rather than an afterthought.</w:t>
      </w:r>
    </w:p>
    <w:p>
      <w:pPr>
        <w:pStyle w:val="BodyofResearch"/>
        <w:ind w:firstLine="720"/>
        <w:jc w:val="both"/>
      </w:pPr>
      <w:r>
        <w:rPr>
          <w:b w:val="0"/>
        </w:rPr>
        <w:t xml:space="preserve">Tinam-Isan and Naga (2024) identified that one of the major challenges in Philippine healthcare systems is the absence of real-time information systems. Their study highlighted the need for platforms that allow both patients and administrators to access timely and accurate data for better decision-making — a gap that MAPA directly addresses through its real-time slot visibility display, its live request and slice tracking, and its in-system notification module.</w:t>
      </w:r>
    </w:p>
    <w:p>
      <w:pPr>
        <w:pStyle w:val="BodyofResearch"/>
        <w:ind w:firstLine="720"/>
        <w:jc w:val="both"/>
      </w:pPr>
      <w:r>
        <w:rPr>
          <w:b w:val="0"/>
        </w:rPr>
        <w:t xml:space="preserve">Astudillo et al. (2024), in their study at Southern Philippines Medical Center (SPMC), documented that patients from remote areas experience significant difficulty complying with documentary requirements for multiple financial assistance programs and recommended the development of online platforms to simplify application processes and reduce patient burden. This recommendation provides direct empirical support for the single-intake document submission and pre-verification design of MAPA, in which the patient uploads documents once and CRMC verifies them on behalf of every co-funding agency.</w:t>
      </w:r>
    </w:p>
    <w:p>
      <w:pPr>
        <w:pStyle w:val="BodyofResearch"/>
        <w:ind w:firstLine="720"/>
        <w:jc w:val="both"/>
      </w:pPr>
      <w:r>
        <w:rPr>
          <w:b w:val="0"/>
        </w:rPr>
        <w:t xml:space="preserve">Zhou et al. (2017) examined behavioral intention toward mHealth adoption and identified perceived value and trust as the primary determinants of whether patients will use a digital health service at all. Their finding shaped two decisions in MAPA. First, the patient-facing interface presents the concrete value of each action explicitly — showing the peso amount secured and the balance remaining rather than abstract status labels. Second, the appointment system assigns and displays a queue number for in-person interviews, making the reservation tangible enough for a patient to rely on it instead of arriving early to queue.</w:t>
      </w:r>
    </w:p>
    <w:p>
      <w:pPr>
        <w:pStyle w:val="BodyofResearch"/>
        <w:ind w:firstLine="720"/>
        <w:jc w:val="both"/>
      </w:pPr>
      <w:r>
        <w:rPr>
          <w:b w:val="0"/>
        </w:rPr>
        <w:t xml:space="preserve">Bidari et al. (2021) examined how privacy-by-design principles can be operationalized in health information systems and concluded that embedding access controls and data-protection measures into the system architecture from the outset safeguards sensitive patient information without degrading usability. These findings provide grounding for MAPA's server-enforced Firestore Security Rules, its role-based access control, and its compliance with the Data Privacy Act of 2012.</w:t>
      </w:r>
    </w:p>
    <w:p>
      <w:pPr>
        <w:pStyle w:val="BodyofResearch"/>
        <w:ind w:firstLine="720"/>
        <w:jc w:val="both"/>
      </w:pPr>
      <w:r>
        <w:rPr>
          <w:b w:val="0"/>
        </w:rPr>
        <w:t xml:space="preserve">Ozdalga et al. (2012) conducted a comprehensive review of smartphone applications in medicine and found that mobile platforms significantly improve patient engagement and access to health-related information — particularly among populations in areas with limited healthcare infrastructure. Their review emphasized that an app-like, home-screen-installable experience strengthens patient engagement and habitual use compared with occasional browser visits. These findings support the design rationale of delivering MAPA's patient-facing features as an installable Progressive Web Application, which provides patients with a home-screen icon and an app-like experience while remaining a single codebase shared with the web portal.</w:t>
      </w:r>
    </w:p>
    <w:p>
      <w:pPr>
        <w:pStyle w:val="BodyofResearch"/>
        <w:ind w:firstLine="720"/>
        <w:jc w:val="both"/>
      </w:pPr>
      <w:r>
        <w:rPr>
          <w:b w:val="0"/>
        </w:rPr>
        <w:t xml:space="preserve">Collectively, these studies confirm that digital platforms improve healthcare accessibility, reduce operational inefficiencies, and enhance patient experience — principles that are directly applied throughout the development of MAPA.</w:t>
      </w:r>
    </w:p>
    <w:p>
      <w:r>
        <w:br w:type="page"/>
      </w:r>
    </w:p>
    <w:p>
      <w:pPr>
        <w:pStyle w:val="BodyofResearch"/>
        <w:keepNext/>
        <w:keepLines/>
        <w:spacing w:before="180" w:after="120"/>
        <w:jc w:val="left"/>
      </w:pPr>
      <w:r>
        <w:rPr>
          <w:b/>
        </w:rPr>
        <w:t xml:space="preserve">Related Systems</w:t>
      </w:r>
    </w:p>
    <w:p>
      <w:pPr>
        <w:pStyle w:val="BodyofResearch"/>
        <w:keepNext/>
        <w:keepLines/>
        <w:spacing w:before="160" w:after="120"/>
        <w:jc w:val="left"/>
      </w:pPr>
      <w:r>
        <w:rPr>
          <w:b/>
          <w:i/>
        </w:rPr>
        <w:t xml:space="preserve">Foreign Systems</w:t>
      </w:r>
    </w:p>
    <w:p>
      <w:pPr>
        <w:pStyle w:val="BodyofResearch"/>
        <w:ind w:firstLine="720"/>
        <w:jc w:val="both"/>
      </w:pPr>
      <w:r>
        <w:rPr>
          <w:b w:val="0"/>
        </w:rPr>
        <w:t xml:space="preserve">MyChart, developed by Epic Systems and widely deployed in the United States and internationally, is one of the most established patient portal systems in the world. It allows patients to schedule appointments, view medical records, receive test results, communicate with providers, and manage billing through a unified web and mobile interface. The system demonstrates how centralized digital access can significantly reduce administrative workload and improve patient engagement in healthcare settings (Epic Systems, 2024). Features such as real-time appointment availability and document management are directly analogous to the slot visibility, interview booking, and document submission functions of MAPA.</w:t>
      </w:r>
    </w:p>
    <w:p>
      <w:pPr>
        <w:pStyle w:val="BodyofResearch"/>
        <w:ind w:firstLine="720"/>
        <w:jc w:val="both"/>
      </w:pPr>
      <w:r>
        <w:rPr>
          <w:b w:val="0"/>
        </w:rPr>
        <w:t xml:space="preserve">In Southeast Asia, Thailand's National Health Security Office (NHSO) operates an online portal that allows patients to check their coverage, locate partner hospitals, and submit claims digitally. Similarly, Indonesia's BPJS Kesehatan patient portal enables members to access health insurance benefits, verify eligibility, and locate accredited facilities online. Both systems demonstrate that unified digital platforms for health benefit access are feasible and effective in developing-country contexts comparable to the Philippines (Tangcharoensathien et al., 2020). These examples support the design rationale of MAPA as a centralized, patient-facing coordination platform for multi-program assistance access.</w:t>
      </w:r>
    </w:p>
    <w:p>
      <w:pPr>
        <w:pStyle w:val="BodyofResearch"/>
        <w:ind w:firstLine="720"/>
        <w:jc w:val="both"/>
      </w:pPr>
      <w:r>
        <w:rPr>
          <w:b w:val="0"/>
        </w:rPr>
        <w:t xml:space="preserve">Malaysia's MySejahtera, developed by the Ministry of Health Malaysia and launched in April 2020, is one of the most widely adopted government mobile health applications in Southeast Asia. Originally deployed for COVID-19 contact tracing and vaccination management, the platform was subsequently expanded to provide citizens with access to healthcare facility information, appointment scheduling, digital health records, and health service updates through a unified mobile application (Ministry of Health Malaysia, 2020). As a government-issued mobile platform for accessing health-related services in a developing-country context comparable to the Philippines, MySejahtera demonstrates that a mobile-first platform is technically feasible and institutionally viable. The patient-facing experience of MAPA draws on this model but realizes it as an installable Progressive Web Application so that a single codebase can serve patients on their smartphones and other users on the web, avoiding the cost and maintenance overhead of a separately distributed native application.</w:t>
      </w:r>
    </w:p>
    <w:p>
      <w:pPr>
        <w:pStyle w:val="BodyofResearch"/>
        <w:ind w:firstLine="720"/>
        <w:jc w:val="both"/>
      </w:pPr>
      <w:r>
        <w:rPr>
          <w:b w:val="0"/>
        </w:rPr>
        <w:t xml:space="preserve">None of these systems, however, addresses the specific problem this study confronts. Each is organized around a single payer or a single institution's records. None coordinates several independently governed funding bodies contributing to one bill, and none models a statutory order of charging among them.</w:t>
      </w:r>
    </w:p>
    <w:p>
      <w:pPr>
        <w:pStyle w:val="BodyofResearch"/>
        <w:keepNext/>
        <w:keepLines/>
        <w:spacing w:before="160" w:after="120"/>
        <w:jc w:val="left"/>
      </w:pPr>
      <w:r>
        <w:rPr>
          <w:b/>
          <w:i/>
        </w:rPr>
        <w:t xml:space="preserve">Local Systems</w:t>
      </w:r>
    </w:p>
    <w:p>
      <w:pPr>
        <w:pStyle w:val="BodyofResearch"/>
        <w:ind w:firstLine="720"/>
        <w:jc w:val="both"/>
      </w:pPr>
      <w:r>
        <w:rPr>
          <w:b w:val="0"/>
        </w:rPr>
        <w:t xml:space="preserve">In the Philippines, several digital platforms have been developed to improve access to health-related services and government assistance programs, though none specifically addresses the multi-agency medical financial assistance coordination challenge present at CRMC.</w:t>
      </w:r>
    </w:p>
    <w:p>
      <w:pPr>
        <w:pStyle w:val="BodyofResearch"/>
        <w:ind w:firstLine="720"/>
        <w:jc w:val="both"/>
      </w:pPr>
      <w:r>
        <w:rPr>
          <w:b w:val="0"/>
        </w:rPr>
        <w:t xml:space="preserve">The PhilHealth Member Portal and Institutional Health Care Provider (IHCP) Portal are among the most widely used government health-related digital platforms in the country. The Member Portal allows Filipino members to check their eligibility, verify coverage, and access health insurance benefits online, while the IHCP Portal connects accredited hospitals and healthcare providers to PhilHealth for member verification and claims processing. These platforms demonstrate that government health benefit systems can be effectively delivered through digital channels, supporting the design rationale of MAPA as a centralized, web-based platform for managing medical assistance access. They also mark the boundary of MAPA's own scope: PhilHealth coverage enters MAPA as a recorded figure supplied by the hospital's billing computation, not through a system-to-system query.</w:t>
      </w:r>
    </w:p>
    <w:p>
      <w:pPr>
        <w:pStyle w:val="BodyofResearch"/>
        <w:ind w:firstLine="720"/>
        <w:jc w:val="both"/>
      </w:pPr>
      <w:r>
        <w:rPr>
          <w:b w:val="0"/>
        </w:rPr>
        <w:t xml:space="preserve">The DSWD Listahanan, also known as the National Household Targeting System for Poverty Reduction (NHTS-PR), is a digital database managed by the Department of Social Welfare and Development that identifies and categorizes poor households as beneficiaries of government assistance programs, including PhilHealth's indigent membership program. The system demonstrates how digital platforms can be used to manage eligibility determination and beneficiary coordination across multiple government agencies — a function closely related to the pre-assessment screening and multi-agency coordination features of MAPA.</w:t>
      </w:r>
    </w:p>
    <w:p>
      <w:pPr>
        <w:pStyle w:val="BodyofResearch"/>
        <w:ind w:firstLine="720"/>
        <w:jc w:val="both"/>
      </w:pPr>
      <w:r>
        <w:rPr>
          <w:b w:val="0"/>
        </w:rPr>
        <w:t xml:space="preserve">St. Luke's Medical Center's eHealth Patient Portal is one of the most established hospital-based patient portals in the Philippines. It allows patients to access their medical records, book ancillary procedures, request admissions, and manage hospital transactions online through a unified digital interface. As a private tertiary hospital example of a hospital-centered digital platform that reduces the need for physical visits and centralizes patient services, it shares functional similarities with MAPA's patient-facing portal, particularly in document management, application tracking, and online service access. However, no comparable patient-centered digital platform currently exists in a public hospital setting at the level of CRMC, further establishing the novelty and necessity of MAPA within the Philippine public health context.</w:t>
      </w:r>
    </w:p>
    <w:p>
      <w:pPr>
        <w:pStyle w:val="BodyofResearch"/>
        <w:ind w:firstLine="720"/>
        <w:jc w:val="both"/>
      </w:pPr>
      <w:r>
        <w:rPr>
          <w:b w:val="0"/>
        </w:rPr>
        <w:t xml:space="preserve">The Integrated Hospital Operations and Management Information System (iHOMIS), developed by the Department of Health, is a computer-based information system deployed across government hospitals in the Philippines to support hospital management through the electronic recording, processing, storage, and reporting of clinical, administrative, and financial data. At CRMC specifically, iHOMIS is used by frontline hospital staff for patient admissions, billing, medical records management, and PhilHealth claims processing (Department of Health, n.d.). While iHOMIS establishes that government hospital staff at CRMC are already operating within a digital information system environment — confirming the technological readiness of the institution for further digital deployment — its scope is limited to internal hospital operations and does not extend to the coordination of medical financial assistance applications across multiple independently operating assistance agencies. The absence of a dedicated platform for multi-agency assistance coordination within an institution that already uses iHOMIS for clinical operations further confirms the specific and unaddressed gap that MAPA is designed to fill.</w:t>
      </w:r>
    </w:p>
    <w:p>
      <w:pPr>
        <w:pStyle w:val="BodyofResearch"/>
        <w:ind w:firstLine="720"/>
        <w:jc w:val="both"/>
      </w:pPr>
      <w:r>
        <w:rPr>
          <w:b w:val="0"/>
        </w:rPr>
        <w:t xml:space="preserve">Despite the presence of these platforms, none is specifically designed to coordinate multiple medical financial assistance agencies within a single hospital setting, to model the statutory Order of Charging among those sources, to provide real-time slot and appointment visibility for patients, or to facilitate online document pre-verification and interview reservation for low-income patients. This gap confirms the need for the unified digital platform that MAPA is specifically designed to provide.</w:t>
      </w:r>
    </w:p>
    <w:p>
      <w:r>
        <w:br w:type="page"/>
      </w:r>
    </w:p>
    <w:p>
      <w:pPr>
        <w:pStyle w:val="BodyofResearch"/>
        <w:keepNext/>
        <w:keepLines/>
        <w:spacing w:before="180" w:after="120"/>
        <w:jc w:val="left"/>
      </w:pPr>
      <w:r>
        <w:rPr>
          <w:b/>
        </w:rPr>
        <w:t xml:space="preserve">Synthesis</w:t>
      </w:r>
    </w:p>
    <w:p>
      <w:pPr>
        <w:pStyle w:val="BodyofResearch"/>
        <w:ind w:firstLine="720"/>
        <w:jc w:val="both"/>
      </w:pPr>
      <w:r>
        <w:rPr>
          <w:b w:val="0"/>
        </w:rPr>
        <w:t xml:space="preserve">The literature, studies, and systems reviewed in this section consistently support the development of digital platforms as an effective solution to improving healthcare accessibility and service delivery. Studies by Marcelo et al. (2024) and Tinam-Isan and Naga (2024) highlight the critical role of real-time information systems and user-centered eHealth platforms in addressing service gaps in the Philippine healthcare setting. Zhou et al. (2017) show that perceived value and trust determine whether patients adopt a digital health service at all, while Bidari et al. (2021) show that privacy-by-design safeguards sensitive health data without degrading usability — findings that directly support the value-forward patient interface, the trustworthy appointment reservation, and the security model of MAPA. Astudillo et al. (2024) provide localized evidence from a comparable setting in Southern Mindanao, documenting the documentary compliance burden faced by patients seeking financial assistance and recommending the development of online pre-verification platforms to address it.</w:t>
      </w:r>
    </w:p>
    <w:p>
      <w:pPr>
        <w:pStyle w:val="BodyofResearch"/>
        <w:ind w:firstLine="720"/>
        <w:jc w:val="both"/>
      </w:pPr>
      <w:r>
        <w:rPr>
          <w:b w:val="0"/>
        </w:rPr>
        <w:t xml:space="preserve">Among foreign systems, MyChart and the health benefit portals of Thailand, Indonesia, and Malaysia illustrate that centralized, patient-facing digital platforms are both technically achievable and institutionally effective in improving access to health-related services. However, these systems were developed for contexts with stronger digital infrastructure and are organized around a single payer or a single institution's records; none addresses the specific challenge of coordinating multiple independent assistance agencies contributing to one hospital bill. Among local systems, the PhilHealth Member Portal, DSWD Listahanan, St. Luke's eHealth Patient Portal, and iHOMIS demonstrate that digital health service delivery is already being practiced in the Philippines, yet none is designed to serve financially vulnerable patients navigating multiple financial assistance programs simultaneously through a single coordinated intake.</w:t>
      </w:r>
    </w:p>
    <w:p>
      <w:pPr>
        <w:pStyle w:val="BodyofResearch"/>
        <w:ind w:firstLine="720"/>
        <w:jc w:val="both"/>
      </w:pPr>
      <w:r>
        <w:rPr>
          <w:b w:val="0"/>
        </w:rPr>
        <w:t xml:space="preserve">The inter-organizational governance literature explains why that gap has persisted. Bardach (1998) and Klijn and Koppenjan (2016) locate the difficulty of interagency work not in a shortage of goodwill but in the absence of shared visibility between organizations that retain independent mandates. Applied to CRMC, this reframes the problem: the agencies serving a patient do not need to merge their decision-making, they need to be able to see one another's contributions to the same bill. That reframing is what makes a gateway model — one intake, shared visibility, independent funding decisions — the appropriate architecture rather than a merged application process.</w:t>
      </w:r>
    </w:p>
    <w:p>
      <w:pPr>
        <w:pStyle w:val="BodyofResearch"/>
        <w:ind w:firstLine="720"/>
        <w:jc w:val="both"/>
      </w:pPr>
      <w:r>
        <w:rPr>
          <w:b w:val="0"/>
        </w:rPr>
        <w:t xml:space="preserve">Beyond the reviewed secondary sources, the primary data gathered for this study reinforces the same conclusions. The structured interview-questionnaire administered to nine CRMC stakeholders — three patients, three social workers, and three supervisors — surfaced incomplete documentary requirements and limited program information as recurring themes across all three groups, echoing Astudillo et al. (2024) and confirming the centralized requirements directory and single-intake verification as among the most operationally impactful features to prioritize. The same respondents rated the proposed MAPA features at the Agree level across all groups, providing direct evidence of multi-level institutional readiness. These results are reported in detail in the Results and Discussion chapter.</w:t>
      </w:r>
    </w:p>
    <w:p>
      <w:pPr>
        <w:pStyle w:val="BodyofResearch"/>
        <w:ind w:firstLine="720"/>
        <w:jc w:val="both"/>
      </w:pPr>
      <w:r>
        <w:rPr>
          <w:b w:val="0"/>
        </w:rPr>
        <w:t xml:space="preserve">The growing body of evidence on mHealth applications further reinforces the decision to deliver MAPA's patient-facing features as an installable Progressive Web Application. With mobile internet connections equivalent to nearly the entire Philippine population, and with studies confirming that an app-like, home-screen-installable experience provides strong engagement and accessibility without the cost of a separately distributed native application, an installable Progressive Web Application represents the most practical and accessible delivery channel for the patient population served by CRMC. Taken together, these gaps confirm the need for MAPA — a unified, patient-centered digital platform specifically designed to coordinate medical financial assistance access at CRMC for the benefit of low-income patients and the agencies that serve them.</w:t>
      </w:r>
    </w:p>
    <w:p>
      <w:r>
        <w:br w:type="page"/>
      </w:r>
    </w:p>
    <w:p>
      <w:pPr>
        <w:pStyle w:val="Heading1"/>
        <w:spacing w:before="0" w:after="360"/>
        <w:jc w:val="center"/>
      </w:pPr>
      <w:r>
        <w:rPr>
          <w:b/>
        </w:rPr>
        <w:t xml:space="preserve">Methodology</w:t>
      </w:r>
    </w:p>
    <w:p>
      <w:pPr>
        <w:pStyle w:val="Heading2"/>
        <w:keepNext/>
        <w:keepLines/>
        <w:spacing w:before="240" w:after="240"/>
        <w:jc w:val="left"/>
      </w:pPr>
      <w:r>
        <w:rPr>
          <w:b/>
        </w:rPr>
        <w:t xml:space="preserve">Technical Background</w:t>
      </w:r>
    </w:p>
    <w:p>
      <w:pPr>
        <w:pStyle w:val="BodyofResearch"/>
        <w:keepNext/>
        <w:keepLines/>
        <w:spacing w:before="180" w:after="120"/>
        <w:jc w:val="left"/>
      </w:pPr>
      <w:r>
        <w:rPr>
          <w:b/>
        </w:rPr>
        <w:t xml:space="preserve">Overview of Current Technologies Used in the System</w:t>
      </w:r>
    </w:p>
    <w:p>
      <w:pPr>
        <w:pStyle w:val="BodyofResearch"/>
        <w:ind w:firstLine="720"/>
        <w:jc w:val="both"/>
      </w:pPr>
      <w:r>
        <w:rPr>
          <w:b w:val="0"/>
        </w:rPr>
        <w:t xml:space="preserve">MAPA utilizes modern web technologies to provide a centralized and accessible platform for managing medical financial assistance at CRMC. These technologies support web-based development, real-time data management, server-side business logic, remote communication, and secure user access, ensuring that patients, agency personnel, and administrators can efficiently use the system across different devices and browsers. Understanding these technologies is important in identifying how the system operates and delivers its core features.</w:t>
      </w:r>
    </w:p>
    <w:p>
      <w:pPr>
        <w:pStyle w:val="BodyofResearch"/>
        <w:keepNext/>
        <w:keepLines/>
        <w:spacing w:before="160" w:after="120"/>
        <w:jc w:val="left"/>
      </w:pPr>
      <w:r>
        <w:rPr>
          <w:b/>
          <w:i/>
        </w:rPr>
        <w:t xml:space="preserve">React</w:t>
      </w:r>
    </w:p>
    <w:p>
      <w:pPr>
        <w:pStyle w:val="BodyofResearch"/>
        <w:ind w:firstLine="720"/>
        <w:jc w:val="both"/>
      </w:pPr>
      <w:r>
        <w:rPr>
          <w:b w:val="0"/>
        </w:rPr>
        <w:t xml:space="preserve">React is an open-source JavaScript library developed and maintained by Meta for building user interfaces. It allows developers to create reusable components that update efficiently in response to data changes, making it well-suited for dynamic web applications. In MAPA, React version 18 serves as the frontend framework used to build the patient portal, agency workspace, and administrator dashboard as role-specific interfaces from a single codebase, with route components lazily loaded so that each role downloads only the code it needs.</w:t>
      </w:r>
    </w:p>
    <w:p>
      <w:pPr>
        <w:pStyle w:val="BodyofResearch"/>
        <w:spacing w:before="120" w:after="60"/>
        <w:jc w:val="center"/>
      </w:pPr>
      <w:r>
        <w:drawing>
          <wp:inline distT="0" distB="0" distL="0" distR="0">
            <wp:extent cx="1463040" cy="13277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Img1"/>
                    <a:stretch>
                      <a:fillRect/>
                    </a:stretch>
                  </pic:blipFill>
                  <pic:spPr>
                    <a:xfrm>
                      <a:off x="0" y="0"/>
                      <a:ext cx="1463040" cy="1327729"/>
                    </a:xfrm>
                    <a:prstGeom prst="rect">
                      <a:avLst/>
                    </a:prstGeom>
                  </pic:spPr>
                </pic:pic>
              </a:graphicData>
            </a:graphic>
          </wp:inline>
        </w:drawing>
      </w:r>
    </w:p>
    <w:p>
      <w:pPr>
        <w:pStyle w:val="BodyofResearch"/>
        <w:spacing w:after="240" w:line="240" w:lineRule="auto"/>
        <w:jc w:val="center"/>
      </w:pPr>
      <w:r>
        <w:rPr>
          <w:b w:val="0"/>
          <w:i/>
        </w:rPr>
        <w:t xml:space="preserve">Figure 1. React Logo</w:t>
      </w:r>
    </w:p>
    <w:p>
      <w:pPr>
        <w:pStyle w:val="BodyofResearch"/>
        <w:keepNext/>
        <w:keepLines/>
        <w:spacing w:before="160" w:after="120"/>
        <w:jc w:val="left"/>
      </w:pPr>
      <w:r>
        <w:rPr>
          <w:b/>
          <w:i/>
        </w:rPr>
        <w:t xml:space="preserve">Vite</w:t>
      </w:r>
    </w:p>
    <w:p>
      <w:pPr>
        <w:pStyle w:val="BodyofResearch"/>
        <w:ind w:firstLine="720"/>
        <w:jc w:val="both"/>
      </w:pPr>
      <w:r>
        <w:rPr>
          <w:b w:val="0"/>
        </w:rPr>
        <w:t xml:space="preserve">Vite is a modern frontend build tool that provides fast development server startup and optimized production output for web applications. It processes only the files that change, resulting in faster load times during development. In MAPA, Vite builds and runs the frontend during development, configures code splitting so that one chunk is emitted per route, and prepares the optimized, PWA-enabled output for deployment.</w:t>
      </w:r>
    </w:p>
    <w:p>
      <w:pPr>
        <w:pStyle w:val="BodyofResearch"/>
        <w:spacing w:before="120" w:after="60"/>
        <w:jc w:val="center"/>
      </w:pPr>
      <w:r>
        <w:drawing>
          <wp:inline distT="0" distB="0" distL="0" distR="0">
            <wp:extent cx="1463040" cy="14421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Img2"/>
                    <a:stretch>
                      <a:fillRect/>
                    </a:stretch>
                  </pic:blipFill>
                  <pic:spPr>
                    <a:xfrm>
                      <a:off x="0" y="0"/>
                      <a:ext cx="1463040" cy="1442198"/>
                    </a:xfrm>
                    <a:prstGeom prst="rect">
                      <a:avLst/>
                    </a:prstGeom>
                  </pic:spPr>
                </pic:pic>
              </a:graphicData>
            </a:graphic>
          </wp:inline>
        </w:drawing>
      </w:r>
    </w:p>
    <w:p>
      <w:pPr>
        <w:pStyle w:val="BodyofResearch"/>
        <w:spacing w:after="240" w:line="240" w:lineRule="auto"/>
        <w:jc w:val="center"/>
      </w:pPr>
      <w:r>
        <w:rPr>
          <w:b w:val="0"/>
          <w:i/>
        </w:rPr>
        <w:t xml:space="preserve">Figure 2. Vite Logo</w:t>
      </w:r>
    </w:p>
    <w:p>
      <w:pPr>
        <w:pStyle w:val="BodyofResearch"/>
        <w:keepNext/>
        <w:keepLines/>
        <w:spacing w:before="160" w:after="120"/>
        <w:jc w:val="left"/>
      </w:pPr>
      <w:r>
        <w:rPr>
          <w:b/>
          <w:i/>
        </w:rPr>
        <w:t xml:space="preserve">Tailwind CSS</w:t>
      </w:r>
    </w:p>
    <w:p>
      <w:pPr>
        <w:pStyle w:val="BodyofResearch"/>
        <w:ind w:firstLine="720"/>
        <w:jc w:val="both"/>
      </w:pPr>
      <w:r>
        <w:rPr>
          <w:b w:val="0"/>
        </w:rPr>
        <w:t xml:space="preserve">Tailwind CSS is a utility-first CSS framework that allows developers to style web applications directly within their code using predefined class names. It supports responsive design out of the box. In MAPA, Tailwind CSS styles all user interfaces with a custom medical-themed color palette, ensuring that the platform is visually consistent and fully usable on both desktop and mobile devices.</w:t>
      </w:r>
    </w:p>
    <w:p>
      <w:pPr>
        <w:pStyle w:val="BodyofResearch"/>
        <w:spacing w:before="120" w:after="60"/>
        <w:jc w:val="center"/>
      </w:pPr>
      <w:r>
        <w:drawing>
          <wp:inline distT="0" distB="0" distL="0" distR="0">
            <wp:extent cx="2377440" cy="1188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Img3"/>
                    <a:stretch>
                      <a:fillRect/>
                    </a:stretch>
                  </pic:blipFill>
                  <pic:spPr>
                    <a:xfrm>
                      <a:off x="0" y="0"/>
                      <a:ext cx="2377440" cy="1188720"/>
                    </a:xfrm>
                    <a:prstGeom prst="rect">
                      <a:avLst/>
                    </a:prstGeom>
                  </pic:spPr>
                </pic:pic>
              </a:graphicData>
            </a:graphic>
          </wp:inline>
        </w:drawing>
      </w:r>
    </w:p>
    <w:p>
      <w:pPr>
        <w:pStyle w:val="BodyofResearch"/>
        <w:spacing w:after="240" w:line="240" w:lineRule="auto"/>
        <w:jc w:val="center"/>
      </w:pPr>
      <w:r>
        <w:rPr>
          <w:b w:val="0"/>
          <w:i/>
        </w:rPr>
        <w:t xml:space="preserve">Figure 3. Tailwind CSS Logo</w:t>
      </w:r>
    </w:p>
    <w:p>
      <w:pPr>
        <w:pStyle w:val="BodyofResearch"/>
        <w:keepNext/>
        <w:keepLines/>
        <w:spacing w:before="160" w:after="120"/>
        <w:jc w:val="left"/>
      </w:pPr>
      <w:r>
        <w:rPr>
          <w:b/>
          <w:i/>
        </w:rPr>
        <w:t xml:space="preserve">Firebase</w:t>
      </w:r>
    </w:p>
    <w:p>
      <w:pPr>
        <w:pStyle w:val="BodyofResearch"/>
        <w:ind w:firstLine="720"/>
        <w:jc w:val="both"/>
      </w:pPr>
      <w:r>
        <w:rPr>
          <w:b w:val="0"/>
        </w:rPr>
        <w:t xml:space="preserve">Firebase is a platform developed by Google that provides backend services for web and mobile applications. In MAPA, Firebase provides four core backend services. Firebase Authentication manages user identity and password reset emails using email-and-password authentication, extended with time-based one-time password (TOTP) multi-factor authentication for all staff roles through Google Cloud Identity Platform. Cloud Firestore, a NoSQL document database, stores all platform data and delivers real-time updates to connected clients through WebSocket listeners; Firestore Security Rules enforce server-side authorization on every read and write, ensuring that no client can access data outside its permitted scope. Cloud Functions execute server-authoritative business logic that security rules alone cannot express, such as recomputing a request's funding tally from its agency slices. Firebase App Check provides application-origin attestation using reCAPTCHA Enterprise, reducing abuse from automated clients.</w:t>
      </w:r>
    </w:p>
    <w:p>
      <w:pPr>
        <w:pStyle w:val="BodyofResearch"/>
        <w:spacing w:before="120" w:after="60"/>
        <w:jc w:val="center"/>
      </w:pPr>
      <w:r>
        <w:drawing>
          <wp:inline distT="0" distB="0" distL="0" distR="0">
            <wp:extent cx="2377440" cy="14556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Img4"/>
                    <a:stretch>
                      <a:fillRect/>
                    </a:stretch>
                  </pic:blipFill>
                  <pic:spPr>
                    <a:xfrm>
                      <a:off x="0" y="0"/>
                      <a:ext cx="2377440" cy="1455668"/>
                    </a:xfrm>
                    <a:prstGeom prst="rect">
                      <a:avLst/>
                    </a:prstGeom>
                  </pic:spPr>
                </pic:pic>
              </a:graphicData>
            </a:graphic>
          </wp:inline>
        </w:drawing>
      </w:r>
    </w:p>
    <w:p>
      <w:pPr>
        <w:pStyle w:val="BodyofResearch"/>
        <w:spacing w:after="240" w:line="240" w:lineRule="auto"/>
        <w:jc w:val="center"/>
      </w:pPr>
      <w:r>
        <w:rPr>
          <w:b w:val="0"/>
          <w:i/>
        </w:rPr>
        <w:t xml:space="preserve">Figure 4. Firebase Logo</w:t>
      </w:r>
    </w:p>
    <w:p>
      <w:pPr>
        <w:pStyle w:val="BodyofResearch"/>
        <w:keepNext/>
        <w:keepLines/>
        <w:spacing w:before="160" w:after="120"/>
        <w:jc w:val="left"/>
      </w:pPr>
      <w:r>
        <w:rPr>
          <w:b/>
          <w:i/>
        </w:rPr>
        <w:t xml:space="preserve">Vercel</w:t>
      </w:r>
    </w:p>
    <w:p>
      <w:pPr>
        <w:pStyle w:val="BodyofResearch"/>
        <w:ind w:firstLine="720"/>
        <w:jc w:val="both"/>
      </w:pPr>
      <w:r>
        <w:rPr>
          <w:b w:val="0"/>
        </w:rPr>
        <w:t xml:space="preserve">Vercel is a cloud platform for deploying frontend applications and serverless functions, serving static assets through a global content delivery network. In MAPA, Vercel hosts the static React frontend and provides two serverless functions: one at /api/send-email that acts as an SMTP relay using Nodemailer, and one at /api/send-sms that relays to a Philippine SMS gateway. Both functions verify the caller's Firebase identity token before relaying, keeping credentials securely on the server side rather than in the browser. The system auto-deploys on every push to the main branch of the project repository, and HTTP security headers together with a report-only Content Security Policy are applied at the edge.</w:t>
      </w:r>
    </w:p>
    <w:p>
      <w:pPr>
        <w:pStyle w:val="BodyofResearch"/>
        <w:spacing w:before="120" w:after="60"/>
        <w:jc w:val="center"/>
      </w:pPr>
      <w:r>
        <w:drawing>
          <wp:inline distT="0" distB="0" distL="0" distR="0">
            <wp:extent cx="1828800" cy="10279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Img5"/>
                    <a:stretch>
                      <a:fillRect/>
                    </a:stretch>
                  </pic:blipFill>
                  <pic:spPr>
                    <a:xfrm>
                      <a:off x="0" y="0"/>
                      <a:ext cx="1828800" cy="1027911"/>
                    </a:xfrm>
                    <a:prstGeom prst="rect">
                      <a:avLst/>
                    </a:prstGeom>
                  </pic:spPr>
                </pic:pic>
              </a:graphicData>
            </a:graphic>
          </wp:inline>
        </w:drawing>
      </w:r>
    </w:p>
    <w:p>
      <w:pPr>
        <w:pStyle w:val="BodyofResearch"/>
        <w:spacing w:after="240" w:line="240" w:lineRule="auto"/>
        <w:jc w:val="center"/>
      </w:pPr>
      <w:r>
        <w:rPr>
          <w:b w:val="0"/>
          <w:i/>
        </w:rPr>
        <w:t xml:space="preserve">Figure 5. Vercel Logo</w:t>
      </w:r>
    </w:p>
    <w:p>
      <w:pPr>
        <w:pStyle w:val="BodyofResearch"/>
        <w:keepNext/>
        <w:keepLines/>
        <w:spacing w:before="160" w:after="120"/>
        <w:jc w:val="left"/>
      </w:pPr>
      <w:r>
        <w:rPr>
          <w:b/>
          <w:i/>
        </w:rPr>
        <w:t xml:space="preserve">Visual Studio Code</w:t>
      </w:r>
    </w:p>
    <w:p>
      <w:pPr>
        <w:pStyle w:val="BodyofResearch"/>
        <w:ind w:firstLine="720"/>
        <w:jc w:val="both"/>
      </w:pPr>
      <w:r>
        <w:rPr>
          <w:b w:val="0"/>
        </w:rPr>
        <w:t xml:space="preserve">Visual Studio Code is a lightweight and extensible source-code editor developed by Microsoft that supports a wide range of programming languages and development tools, including syntax highlighting, intelligent code completion, an integrated terminal, and Git version control. In MAPA, Visual Studio Code serves as the primary code editor used by the development team for writing and managing the codebase throughout all phases of the project.</w:t>
      </w:r>
    </w:p>
    <w:p>
      <w:pPr>
        <w:pStyle w:val="BodyofResearch"/>
        <w:spacing w:before="120" w:after="60"/>
        <w:jc w:val="center"/>
      </w:pPr>
      <w:r>
        <w:drawing>
          <wp:inline distT="0" distB="0" distL="0" distR="0">
            <wp:extent cx="1554480" cy="15544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Img6"/>
                    <a:stretch>
                      <a:fillRect/>
                    </a:stretch>
                  </pic:blipFill>
                  <pic:spPr>
                    <a:xfrm>
                      <a:off x="0" y="0"/>
                      <a:ext cx="1554480" cy="1554480"/>
                    </a:xfrm>
                    <a:prstGeom prst="rect">
                      <a:avLst/>
                    </a:prstGeom>
                  </pic:spPr>
                </pic:pic>
              </a:graphicData>
            </a:graphic>
          </wp:inline>
        </w:drawing>
      </w:r>
    </w:p>
    <w:p>
      <w:pPr>
        <w:pStyle w:val="BodyofResearch"/>
        <w:spacing w:after="240" w:line="240" w:lineRule="auto"/>
        <w:jc w:val="center"/>
      </w:pPr>
      <w:r>
        <w:rPr>
          <w:b w:val="0"/>
          <w:i/>
        </w:rPr>
        <w:t xml:space="preserve">Figure 6. Visual Studio Code Logo</w:t>
      </w:r>
    </w:p>
    <w:p>
      <w:pPr>
        <w:pStyle w:val="BodyofResearch"/>
        <w:keepNext/>
        <w:keepLines/>
        <w:spacing w:before="160" w:after="120"/>
        <w:jc w:val="left"/>
      </w:pPr>
      <w:r>
        <w:rPr>
          <w:b/>
          <w:i/>
        </w:rPr>
        <w:t xml:space="preserve">Google Meet</w:t>
      </w:r>
    </w:p>
    <w:p>
      <w:pPr>
        <w:pStyle w:val="BodyofResearch"/>
        <w:ind w:firstLine="720"/>
        <w:jc w:val="both"/>
      </w:pPr>
      <w:r>
        <w:rPr>
          <w:b w:val="0"/>
        </w:rPr>
        <w:t xml:space="preserve">Google Meet is a video conferencing platform developed by Google that allows users to host and join virtual meetings through a web browser or mobile application without additional software installation. In MAPA, Google Meet serves as the external platform for conducting the assessment interview in its online fallback mode, used when an in-person visit is not feasible. CRMC generates and stores a Google Meet link against the booked interview slot, which is delivered to the patient through the in-system notification module and by email, while the structured Unified Intake Sheet is completed within MAPA to maintain a consolidated record of the interview outcome. MAPA does not integrate with the Google Meet API; the link is stored as data.</w:t>
      </w:r>
    </w:p>
    <w:p>
      <w:pPr>
        <w:pStyle w:val="BodyofResearch"/>
        <w:spacing w:before="120" w:after="60"/>
        <w:jc w:val="center"/>
      </w:pPr>
      <w:r>
        <w:drawing>
          <wp:inline distT="0" distB="0" distL="0" distR="0">
            <wp:extent cx="1188720" cy="1188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Img7"/>
                    <a:stretch>
                      <a:fillRect/>
                    </a:stretch>
                  </pic:blipFill>
                  <pic:spPr>
                    <a:xfrm>
                      <a:off x="0" y="0"/>
                      <a:ext cx="1188720" cy="1188720"/>
                    </a:xfrm>
                    <a:prstGeom prst="rect">
                      <a:avLst/>
                    </a:prstGeom>
                  </pic:spPr>
                </pic:pic>
              </a:graphicData>
            </a:graphic>
          </wp:inline>
        </w:drawing>
      </w:r>
    </w:p>
    <w:p>
      <w:pPr>
        <w:pStyle w:val="BodyofResearch"/>
        <w:spacing w:after="240" w:line="240" w:lineRule="auto"/>
        <w:jc w:val="center"/>
      </w:pPr>
      <w:r>
        <w:rPr>
          <w:b w:val="0"/>
          <w:i/>
        </w:rPr>
        <w:t xml:space="preserve">Figure 7. Google Meet Logo</w:t>
      </w:r>
    </w:p>
    <w:p>
      <w:pPr>
        <w:pStyle w:val="BodyofResearch"/>
        <w:keepNext/>
        <w:keepLines/>
        <w:spacing w:before="160" w:after="120"/>
        <w:jc w:val="left"/>
      </w:pPr>
      <w:r>
        <w:rPr>
          <w:b/>
          <w:i/>
        </w:rPr>
        <w:t xml:space="preserve">Supporting Tools and Services</w:t>
      </w:r>
    </w:p>
    <w:p>
      <w:pPr>
        <w:pStyle w:val="BodyofResearch"/>
        <w:ind w:firstLine="720"/>
        <w:jc w:val="both"/>
      </w:pPr>
      <w:r>
        <w:rPr>
          <w:b w:val="0"/>
        </w:rPr>
        <w:t xml:space="preserve">Several additional technologies support development, quality assurance, and operations. Git and GitHub provide version control and host the project repository, with GitHub Actions running continuous integration on every push and pull request. Vitest executes the unit, component, and Cloud Function test suites; the Firebase Local Emulator Suite hosts the security-rules test suite; and Playwright drives an end-to-end browser smoke suite. Tesseract.js performs on-device optical character recognition of uploaded identification documents as an advisory cross-check. The react-i18next library manages the Filipino and English translations of the patient-facing interface, and vite-plugin-pwa generates the service worker and web application manifest that make the platform installable. Sentry is integrated for client-side error tracking, and Semaphore, a Philippine-local SMS gateway, is integrated as an opt-in channel for high-value notifications.</w:t>
      </w:r>
    </w:p>
    <w:p>
      <w:r>
        <w:br w:type="page"/>
      </w:r>
    </w:p>
    <w:p>
      <w:pPr>
        <w:pStyle w:val="BodyofResearch"/>
        <w:keepNext/>
        <w:keepLines/>
        <w:spacing w:before="180" w:after="120"/>
        <w:jc w:val="left"/>
      </w:pPr>
      <w:r>
        <w:rPr>
          <w:b/>
        </w:rPr>
        <w:t xml:space="preserve">Calendar of Activities</w:t>
      </w:r>
    </w:p>
    <w:p>
      <w:pPr>
        <w:pStyle w:val="BodyofResearch"/>
        <w:ind w:firstLine="720"/>
        <w:jc w:val="both"/>
      </w:pPr>
      <w:r>
        <w:rPr>
          <w:b w:val="0"/>
        </w:rPr>
        <w:t xml:space="preserve">This section presents the sequence of activities undertaken by the proponents and their corresponding timelines, outlining the major stages in the development of the capstone project. The schedule spans February 2026 through September 2026 and covers the project from group formation through the production hardening that followed the re-defense.</w:t>
      </w:r>
    </w:p>
    <w:p>
      <w:pPr>
        <w:pStyle w:val="BodyofResearch"/>
        <w:keepNext/>
        <w:keepLines/>
        <w:spacing w:before="160" w:after="120"/>
        <w:jc w:val="left"/>
      </w:pPr>
      <w:r>
        <w:rPr>
          <w:b/>
          <w:i/>
        </w:rPr>
        <w:t xml:space="preserve">Group Selection</w:t>
      </w:r>
    </w:p>
    <w:p>
      <w:pPr>
        <w:pStyle w:val="BodyofResearch"/>
        <w:jc w:val="both"/>
      </w:pPr>
      <w:r>
        <w:rPr>
          <w:b w:val="0"/>
        </w:rPr>
        <w:t xml:space="preserve">This activity involves forming a group of proponents who will collaborate throughout the capstone project, establishing a team with shared responsibilities so that documentation, system development, and presentations are properly distributed among members.</w:t>
      </w:r>
    </w:p>
    <w:p>
      <w:pPr>
        <w:pStyle w:val="BodyofResearch"/>
        <w:keepNext/>
        <w:keepLines/>
        <w:spacing w:before="160" w:after="120"/>
        <w:jc w:val="left"/>
      </w:pPr>
      <w:r>
        <w:rPr>
          <w:b/>
          <w:i/>
        </w:rPr>
        <w:t xml:space="preserve">Brainstorming for Capstone Titles</w:t>
      </w:r>
    </w:p>
    <w:p>
      <w:pPr>
        <w:pStyle w:val="BodyofResearch"/>
        <w:jc w:val="both"/>
      </w:pPr>
      <w:r>
        <w:rPr>
          <w:b w:val="0"/>
        </w:rPr>
        <w:t xml:space="preserve">The group generates and discusses possible project ideas relevant to their field of study, aiming to identify feasible and impactful concepts that address real-world problems and lead to the selection of a suitable capstone topic.</w:t>
      </w:r>
    </w:p>
    <w:p>
      <w:pPr>
        <w:pStyle w:val="BodyofResearch"/>
        <w:keepNext/>
        <w:keepLines/>
        <w:spacing w:before="160" w:after="120"/>
        <w:jc w:val="left"/>
      </w:pPr>
      <w:r>
        <w:rPr>
          <w:b/>
          <w:i/>
        </w:rPr>
        <w:t xml:space="preserve">Adviser Selection</w:t>
      </w:r>
    </w:p>
    <w:p>
      <w:pPr>
        <w:pStyle w:val="BodyofResearch"/>
        <w:jc w:val="both"/>
      </w:pPr>
      <w:r>
        <w:rPr>
          <w:b w:val="0"/>
        </w:rPr>
        <w:t xml:space="preserve">The group selects a qualified faculty member who will guide the project, providing technical expertise, recommendations, and direction to ensure that the study meets academic and professional standards.</w:t>
      </w:r>
    </w:p>
    <w:p>
      <w:pPr>
        <w:pStyle w:val="BodyofResearch"/>
        <w:keepNext/>
        <w:keepLines/>
        <w:spacing w:before="160" w:after="120"/>
        <w:jc w:val="left"/>
      </w:pPr>
      <w:r>
        <w:rPr>
          <w:b/>
          <w:i/>
        </w:rPr>
        <w:t xml:space="preserve">Title Finalization</w:t>
      </w:r>
    </w:p>
    <w:p>
      <w:pPr>
        <w:pStyle w:val="BodyofResearch"/>
        <w:jc w:val="both"/>
      </w:pPr>
      <w:r>
        <w:rPr>
          <w:b w:val="0"/>
        </w:rPr>
        <w:t xml:space="preserve">The group refines and finalizes the project title, ensuring that it is clear, specific, and aligned with the objectives and scope of the study.</w:t>
      </w:r>
    </w:p>
    <w:p>
      <w:pPr>
        <w:pStyle w:val="BodyofResearch"/>
        <w:keepNext/>
        <w:keepLines/>
        <w:spacing w:before="160" w:after="120"/>
        <w:jc w:val="left"/>
      </w:pPr>
      <w:r>
        <w:rPr>
          <w:b/>
          <w:i/>
        </w:rPr>
        <w:t xml:space="preserve">Title Defense</w:t>
      </w:r>
    </w:p>
    <w:p>
      <w:pPr>
        <w:pStyle w:val="BodyofResearch"/>
        <w:jc w:val="both"/>
      </w:pPr>
      <w:r>
        <w:rPr>
          <w:b w:val="0"/>
        </w:rPr>
        <w:t xml:space="preserve">The group formally presents the proposed capstone title to a panel for evaluation, justifying the relevance, feasibility, and significance of the project; feedback is then used to improve the study before development.</w:t>
      </w:r>
    </w:p>
    <w:p>
      <w:pPr>
        <w:pStyle w:val="BodyofResearch"/>
        <w:keepNext/>
        <w:keepLines/>
        <w:spacing w:before="160" w:after="120"/>
        <w:jc w:val="left"/>
      </w:pPr>
      <w:r>
        <w:rPr>
          <w:b/>
          <w:i/>
        </w:rPr>
        <w:t xml:space="preserve">Manuscript Revisions and System Development</w:t>
      </w:r>
    </w:p>
    <w:p>
      <w:pPr>
        <w:pStyle w:val="BodyofResearch"/>
        <w:jc w:val="both"/>
      </w:pPr>
      <w:r>
        <w:rPr>
          <w:b w:val="0"/>
        </w:rPr>
        <w:t xml:space="preserve">The group continuously improves the research manuscript while simultaneously designing, coding, and testing the proposed system, incorporating feedback from the adviser and panelists to ensure functionality, reliability, and effectiveness.</w:t>
      </w:r>
    </w:p>
    <w:p>
      <w:pPr>
        <w:pStyle w:val="BodyofResearch"/>
        <w:keepNext/>
        <w:keepLines/>
        <w:spacing w:before="160" w:after="120"/>
        <w:jc w:val="left"/>
      </w:pPr>
      <w:r>
        <w:rPr>
          <w:b/>
          <w:i/>
        </w:rPr>
        <w:t xml:space="preserve">Pre-Defense</w:t>
      </w:r>
    </w:p>
    <w:p>
      <w:pPr>
        <w:pStyle w:val="BodyofResearch"/>
        <w:jc w:val="both"/>
      </w:pPr>
      <w:r>
        <w:rPr>
          <w:b w:val="0"/>
        </w:rPr>
        <w:t xml:space="preserve">The group presents the developed system together with the revised manuscript to the panel to evaluate progress, identify areas for improvement, and obtain recommendations in preparation for the final defense.</w:t>
      </w:r>
    </w:p>
    <w:p>
      <w:pPr>
        <w:pStyle w:val="BodyofResearch"/>
        <w:keepNext/>
        <w:keepLines/>
        <w:spacing w:before="160" w:after="120"/>
        <w:jc w:val="left"/>
      </w:pPr>
      <w:r>
        <w:rPr>
          <w:b/>
          <w:i/>
        </w:rPr>
        <w:t xml:space="preserve">Feasibility Interview</w:t>
      </w:r>
    </w:p>
    <w:p>
      <w:pPr>
        <w:pStyle w:val="BodyofResearch"/>
        <w:jc w:val="both"/>
      </w:pPr>
      <w:r>
        <w:rPr>
          <w:b w:val="0"/>
        </w:rPr>
        <w:t xml:space="preserve">The group conducts a structured interview-questionnaire with intended users, stakeholders, and experts at CRMC to evaluate the practicality and viability of the proposed system, gathering insights and identifying challenges; the results of this activity are reported in the Results and Discussion chapter.</w:t>
      </w:r>
    </w:p>
    <w:p>
      <w:pPr>
        <w:pStyle w:val="BodyofResearch"/>
        <w:keepNext/>
        <w:keepLines/>
        <w:spacing w:before="160" w:after="120"/>
        <w:jc w:val="left"/>
      </w:pPr>
      <w:r>
        <w:rPr>
          <w:b/>
          <w:i/>
        </w:rPr>
        <w:t xml:space="preserve">Final Defense</w:t>
      </w:r>
    </w:p>
    <w:p>
      <w:pPr>
        <w:pStyle w:val="BodyofResearch"/>
        <w:jc w:val="both"/>
      </w:pPr>
      <w:r>
        <w:rPr>
          <w:b w:val="0"/>
        </w:rPr>
        <w:t xml:space="preserve">The group formally presents the completed system and final manuscript to the panel to demonstrate that the project has achieved its objectives, address questions and recommendations, and obtain approval for completion.</w:t>
      </w:r>
    </w:p>
    <w:p>
      <w:pPr>
        <w:pStyle w:val="BodyofResearch"/>
        <w:keepNext/>
        <w:keepLines/>
        <w:spacing w:before="160" w:after="120"/>
        <w:jc w:val="left"/>
      </w:pPr>
      <w:r>
        <w:rPr>
          <w:b/>
          <w:i/>
        </w:rPr>
        <w:t xml:space="preserve">Re-Defense</w:t>
      </w:r>
    </w:p>
    <w:p>
      <w:pPr>
        <w:pStyle w:val="BodyofResearch"/>
        <w:jc w:val="both"/>
      </w:pPr>
      <w:r>
        <w:rPr>
          <w:b w:val="0"/>
        </w:rPr>
        <w:t xml:space="preserve">The group re-presents the revised system and final manuscript to the panel after incorporating the corrections and recommendations raised during the final defense, demonstrating that all required changes have been properly addressed.</w:t>
      </w:r>
    </w:p>
    <w:p>
      <w:pPr>
        <w:pStyle w:val="BodyofResearch"/>
        <w:keepNext/>
        <w:keepLines/>
        <w:spacing w:before="160" w:after="120"/>
        <w:jc w:val="left"/>
      </w:pPr>
      <w:r>
        <w:rPr>
          <w:b/>
          <w:i/>
        </w:rPr>
        <w:t xml:space="preserve">Production Hardening and Institutional Reconciliation</w:t>
      </w:r>
    </w:p>
    <w:p>
      <w:pPr>
        <w:pStyle w:val="BodyofResearch"/>
        <w:jc w:val="both"/>
      </w:pPr>
      <w:r>
        <w:rPr>
          <w:b w:val="0"/>
        </w:rPr>
        <w:t xml:space="preserve">Following the re-defense, the group reconciled the agency model with Republic Act No. 11463 and the Order of Charging, migrated the backend to a paid service tier so that scheduled and trigger-based server logic could be deployed, built the self-service interview appointment system, implemented staff multi-factor authentication and application attestation, and established the automated test suites and continuous integration pipeline described in the Results and Discussion chapter.</w:t>
      </w:r>
    </w:p>
    <w:p>
      <w:pPr>
        <w:pStyle w:val="BodyofResearch"/>
        <w:keepNext/>
        <w:keepLines/>
        <w:spacing w:before="160" w:after="120"/>
        <w:jc w:val="left"/>
      </w:pPr>
      <w:r>
        <w:rPr>
          <w:b/>
          <w:i/>
        </w:rPr>
        <w:t xml:space="preserve">Final Manuscript Consolidation and Submission</w:t>
      </w:r>
    </w:p>
    <w:p>
      <w:pPr>
        <w:pStyle w:val="BodyofResearch"/>
        <w:jc w:val="both"/>
      </w:pPr>
      <w:r>
        <w:rPr>
          <w:b w:val="0"/>
        </w:rPr>
        <w:t xml:space="preserve">The group consolidated the manuscript against the final state of the deployed system, completed the results, conclusion, and appendix chapters, and submitted the document for final acceptance.</w:t>
      </w:r>
    </w:p>
    <w:p>
      <w:r>
        <w:br w:type="page"/>
      </w:r>
    </w:p>
    <w:p>
      <w:pPr>
        <w:pStyle w:val="BodyofResearch"/>
        <w:spacing w:after="0" w:line="360" w:lineRule="auto"/>
        <w:jc w:val="center"/>
      </w:pPr>
      <w:r>
        <w:rPr>
          <w:b/>
        </w:rPr>
        <w:t xml:space="preserve">Calendar of Activities</w:t>
      </w:r>
    </w:p>
    <w:p>
      <w:pPr>
        <w:pStyle w:val="BodyofResearch"/>
        <w:spacing w:after="0" w:line="240" w:lineRule="auto"/>
      </w:pPr>
    </w:p>
    <w:p>
      <w:pPr>
        <w:pStyle w:val="BodyofResearch"/>
        <w:spacing w:after="0" w:line="360" w:lineRule="auto"/>
        <w:jc w:val="center"/>
      </w:pPr>
      <w:r>
        <w:rPr>
          <w:b/>
          <w:sz w:val="24"/>
          <w:szCs w:val="24"/>
        </w:rPr>
        <w:t xml:space="preserve">FEBRUARY 2026</w:t>
      </w:r>
    </w:p>
    <w:tbl>
      <w:tblPr>
        <w:tblStyle w:val="TableGrid"/>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6" w:type="dxa"/>
          <w:bottom w:w="40" w:type="dxa"/>
          <w:right w:w="86" w:type="dxa"/>
        </w:tblCellMar>
        <w:tblLook w:val="04A0" w:firstRow="1" w:lastRow="0" w:firstColumn="1" w:lastColumn="0" w:noHBand="0" w:noVBand="1"/>
      </w:tblPr>
      <w:tblGrid>
        <w:gridCol w:w="1290"/>
        <w:gridCol w:w="1290"/>
        <w:gridCol w:w="1290"/>
        <w:gridCol w:w="1290"/>
        <w:gridCol w:w="1290"/>
        <w:gridCol w:w="1290"/>
        <w:gridCol w:w="1290"/>
      </w:tblGrid>
      <w:tr>
        <w:trPr>
          <w:tblHeader/>
          <w:cantSplit/>
        </w:trPr>
        <w:tc>
          <w:tcPr>
            <w:tcW w:w="1290" w:type="dxa"/>
            <w:vAlign w:val="center"/>
          </w:tcPr>
          <w:p>
            <w:pPr>
              <w:spacing w:after="0" w:line="240" w:lineRule="auto"/>
              <w:jc w:val="center"/>
            </w:pPr>
            <w:r>
              <w:rPr>
                <w:b/>
                <w:sz w:val="15"/>
                <w:szCs w:val="15"/>
              </w:rPr>
              <w:t xml:space="preserve">SUN</w:t>
            </w:r>
          </w:p>
        </w:tc>
        <w:tc>
          <w:tcPr>
            <w:tcW w:w="1290" w:type="dxa"/>
            <w:vAlign w:val="center"/>
          </w:tcPr>
          <w:p>
            <w:pPr>
              <w:spacing w:after="0" w:line="240" w:lineRule="auto"/>
              <w:jc w:val="center"/>
            </w:pPr>
            <w:r>
              <w:rPr>
                <w:b/>
                <w:sz w:val="15"/>
                <w:szCs w:val="15"/>
              </w:rPr>
              <w:t xml:space="preserve">MON</w:t>
            </w:r>
          </w:p>
        </w:tc>
        <w:tc>
          <w:tcPr>
            <w:tcW w:w="1290" w:type="dxa"/>
            <w:vAlign w:val="center"/>
          </w:tcPr>
          <w:p>
            <w:pPr>
              <w:spacing w:after="0" w:line="240" w:lineRule="auto"/>
              <w:jc w:val="center"/>
            </w:pPr>
            <w:r>
              <w:rPr>
                <w:b/>
                <w:sz w:val="15"/>
                <w:szCs w:val="15"/>
              </w:rPr>
              <w:t xml:space="preserve">TUE</w:t>
            </w:r>
          </w:p>
        </w:tc>
        <w:tc>
          <w:tcPr>
            <w:tcW w:w="1290" w:type="dxa"/>
            <w:vAlign w:val="center"/>
          </w:tcPr>
          <w:p>
            <w:pPr>
              <w:spacing w:after="0" w:line="240" w:lineRule="auto"/>
              <w:jc w:val="center"/>
            </w:pPr>
            <w:r>
              <w:rPr>
                <w:b/>
                <w:sz w:val="15"/>
                <w:szCs w:val="15"/>
              </w:rPr>
              <w:t xml:space="preserve">WED</w:t>
            </w:r>
          </w:p>
        </w:tc>
        <w:tc>
          <w:tcPr>
            <w:tcW w:w="1290" w:type="dxa"/>
            <w:vAlign w:val="center"/>
          </w:tcPr>
          <w:p>
            <w:pPr>
              <w:spacing w:after="0" w:line="240" w:lineRule="auto"/>
              <w:jc w:val="center"/>
            </w:pPr>
            <w:r>
              <w:rPr>
                <w:b/>
                <w:sz w:val="15"/>
                <w:szCs w:val="15"/>
              </w:rPr>
              <w:t xml:space="preserve">THU</w:t>
            </w:r>
          </w:p>
        </w:tc>
        <w:tc>
          <w:tcPr>
            <w:tcW w:w="1290" w:type="dxa"/>
            <w:vAlign w:val="center"/>
          </w:tcPr>
          <w:p>
            <w:pPr>
              <w:spacing w:after="0" w:line="240" w:lineRule="auto"/>
              <w:jc w:val="center"/>
            </w:pPr>
            <w:r>
              <w:rPr>
                <w:b/>
                <w:sz w:val="15"/>
                <w:szCs w:val="15"/>
              </w:rPr>
              <w:t xml:space="preserve">FRI</w:t>
            </w:r>
          </w:p>
        </w:tc>
        <w:tc>
          <w:tcPr>
            <w:tcW w:w="1290" w:type="dxa"/>
            <w:vAlign w:val="center"/>
          </w:tcPr>
          <w:p>
            <w:pPr>
              <w:spacing w:after="0" w:line="240" w:lineRule="auto"/>
              <w:jc w:val="center"/>
            </w:pPr>
            <w:r>
              <w:rPr>
                <w:b/>
                <w:sz w:val="15"/>
                <w:szCs w:val="15"/>
              </w:rPr>
              <w:t xml:space="preserve">SAT</w:t>
            </w:r>
          </w:p>
        </w:tc>
      </w:tr>
      <w:tr>
        <w:tc>
          <w:tcPr>
            <w:tcW w:w="1290" w:type="dxa"/>
            <w:vAlign w:val="center"/>
          </w:tcPr>
          <w:p>
            <w:pPr>
              <w:spacing w:after="0" w:line="240" w:lineRule="auto"/>
              <w:jc w:val="center"/>
            </w:pPr>
            <w:r>
              <w:rPr>
                <w:b w:val="0"/>
                <w:sz w:val="15"/>
                <w:szCs w:val="15"/>
              </w:rPr>
              <w:t xml:space="preserve">1</w:t>
            </w:r>
          </w:p>
        </w:tc>
        <w:tc>
          <w:tcPr>
            <w:tcW w:w="1290" w:type="dxa"/>
            <w:vAlign w:val="center"/>
          </w:tcPr>
          <w:p>
            <w:pPr>
              <w:spacing w:after="0" w:line="240" w:lineRule="auto"/>
              <w:jc w:val="left"/>
            </w:pPr>
            <w:r>
              <w:rPr>
                <w:b w:val="0"/>
                <w:sz w:val="15"/>
                <w:szCs w:val="15"/>
              </w:rPr>
              <w:t xml:space="preserve">2</w:t>
            </w:r>
          </w:p>
        </w:tc>
        <w:tc>
          <w:tcPr>
            <w:tcW w:w="1290" w:type="dxa"/>
            <w:vAlign w:val="center"/>
          </w:tcPr>
          <w:p>
            <w:pPr>
              <w:spacing w:after="0" w:line="240" w:lineRule="auto"/>
              <w:jc w:val="left"/>
            </w:pPr>
            <w:r>
              <w:rPr>
                <w:b w:val="0"/>
                <w:sz w:val="15"/>
                <w:szCs w:val="15"/>
              </w:rPr>
              <w:t xml:space="preserve">3</w:t>
            </w:r>
          </w:p>
        </w:tc>
        <w:tc>
          <w:tcPr>
            <w:tcW w:w="1290" w:type="dxa"/>
            <w:vAlign w:val="center"/>
          </w:tcPr>
          <w:p>
            <w:pPr>
              <w:spacing w:after="0" w:line="240" w:lineRule="auto"/>
              <w:jc w:val="left"/>
            </w:pPr>
            <w:r>
              <w:rPr>
                <w:b w:val="0"/>
                <w:sz w:val="15"/>
                <w:szCs w:val="15"/>
              </w:rPr>
              <w:t xml:space="preserve">4</w:t>
            </w:r>
          </w:p>
        </w:tc>
        <w:tc>
          <w:tcPr>
            <w:tcW w:w="1290" w:type="dxa"/>
            <w:vAlign w:val="center"/>
          </w:tcPr>
          <w:p>
            <w:pPr>
              <w:spacing w:after="0" w:line="240" w:lineRule="auto"/>
              <w:jc w:val="left"/>
            </w:pPr>
            <w:r>
              <w:rPr>
                <w:b w:val="0"/>
                <w:sz w:val="15"/>
                <w:szCs w:val="15"/>
              </w:rPr>
              <w:t xml:space="preserve">5</w:t>
            </w:r>
          </w:p>
        </w:tc>
        <w:tc>
          <w:tcPr>
            <w:tcW w:w="1290" w:type="dxa"/>
            <w:vAlign w:val="center"/>
          </w:tcPr>
          <w:p>
            <w:pPr>
              <w:spacing w:after="0" w:line="240" w:lineRule="auto"/>
              <w:jc w:val="left"/>
            </w:pPr>
            <w:r>
              <w:rPr>
                <w:b w:val="0"/>
                <w:sz w:val="15"/>
                <w:szCs w:val="15"/>
              </w:rPr>
              <w:t xml:space="preserve">6</w:t>
            </w:r>
          </w:p>
        </w:tc>
        <w:tc>
          <w:tcPr>
            <w:tcW w:w="1290" w:type="dxa"/>
            <w:vAlign w:val="center"/>
          </w:tcPr>
          <w:p>
            <w:pPr>
              <w:spacing w:after="0" w:line="240" w:lineRule="auto"/>
              <w:jc w:val="center"/>
            </w:pPr>
            <w:r>
              <w:rPr>
                <w:b w:val="0"/>
                <w:sz w:val="15"/>
                <w:szCs w:val="15"/>
              </w:rPr>
              <w:t xml:space="preserve">7</w:t>
            </w:r>
          </w:p>
        </w:tc>
      </w:tr>
      <w:tr>
        <w:tc>
          <w:tcPr>
            <w:tcW w:w="1290" w:type="dxa"/>
            <w:vAlign w:val="center"/>
          </w:tcPr>
          <w:p>
            <w:pPr>
              <w:spacing w:after="0" w:line="240" w:lineRule="auto"/>
              <w:jc w:val="center"/>
            </w:pPr>
            <w:r>
              <w:rPr>
                <w:b w:val="0"/>
                <w:sz w:val="15"/>
                <w:szCs w:val="15"/>
              </w:rPr>
              <w:t xml:space="preserve">8</w:t>
            </w:r>
          </w:p>
        </w:tc>
        <w:tc>
          <w:tcPr>
            <w:tcW w:w="1290" w:type="dxa"/>
            <w:vAlign w:val="center"/>
          </w:tcPr>
          <w:p>
            <w:pPr>
              <w:spacing w:after="0" w:line="240" w:lineRule="auto"/>
              <w:jc w:val="left"/>
            </w:pPr>
            <w:r>
              <w:rPr>
                <w:b w:val="0"/>
                <w:sz w:val="15"/>
                <w:szCs w:val="15"/>
              </w:rPr>
              <w:t xml:space="preserve">9</w:t>
            </w:r>
          </w:p>
        </w:tc>
        <w:tc>
          <w:tcPr>
            <w:tcW w:w="1290" w:type="dxa"/>
            <w:vAlign w:val="center"/>
          </w:tcPr>
          <w:p>
            <w:pPr>
              <w:spacing w:after="0" w:line="240" w:lineRule="auto"/>
              <w:jc w:val="left"/>
            </w:pPr>
            <w:r>
              <w:rPr>
                <w:b w:val="0"/>
                <w:sz w:val="15"/>
                <w:szCs w:val="15"/>
              </w:rPr>
              <w:t xml:space="preserve">10</w:t>
            </w:r>
          </w:p>
        </w:tc>
        <w:tc>
          <w:tcPr>
            <w:tcW w:w="1290" w:type="dxa"/>
            <w:vAlign w:val="center"/>
          </w:tcPr>
          <w:p>
            <w:pPr>
              <w:spacing w:after="0" w:line="240" w:lineRule="auto"/>
              <w:jc w:val="left"/>
            </w:pPr>
            <w:r>
              <w:rPr>
                <w:b w:val="0"/>
                <w:sz w:val="15"/>
                <w:szCs w:val="15"/>
              </w:rPr>
              <w:t xml:space="preserve">11</w:t>
            </w:r>
          </w:p>
        </w:tc>
        <w:tc>
          <w:tcPr>
            <w:tcW w:w="1290" w:type="dxa"/>
            <w:vAlign w:val="center"/>
          </w:tcPr>
          <w:p>
            <w:pPr>
              <w:spacing w:after="0" w:line="240" w:lineRule="auto"/>
              <w:jc w:val="left"/>
            </w:pPr>
            <w:r>
              <w:rPr>
                <w:b w:val="0"/>
                <w:sz w:val="15"/>
                <w:szCs w:val="15"/>
              </w:rPr>
              <w:t xml:space="preserve">12</w:t>
            </w:r>
          </w:p>
        </w:tc>
        <w:tc>
          <w:tcPr>
            <w:tcW w:w="1290" w:type="dxa"/>
            <w:vAlign w:val="center"/>
          </w:tcPr>
          <w:p>
            <w:pPr>
              <w:spacing w:after="0" w:line="240" w:lineRule="auto"/>
              <w:jc w:val="left"/>
            </w:pPr>
            <w:r>
              <w:rPr>
                <w:b w:val="0"/>
                <w:sz w:val="15"/>
                <w:szCs w:val="15"/>
              </w:rPr>
              <w:t xml:space="preserve">13</w:t>
            </w:r>
          </w:p>
        </w:tc>
        <w:tc>
          <w:tcPr>
            <w:tcW w:w="1290" w:type="dxa"/>
            <w:vAlign w:val="center"/>
          </w:tcPr>
          <w:p>
            <w:pPr>
              <w:spacing w:after="0" w:line="240" w:lineRule="auto"/>
              <w:jc w:val="center"/>
            </w:pPr>
            <w:r>
              <w:rPr>
                <w:b w:val="0"/>
                <w:sz w:val="15"/>
                <w:szCs w:val="15"/>
              </w:rPr>
              <w:t xml:space="preserve">14</w:t>
            </w:r>
          </w:p>
        </w:tc>
      </w:tr>
      <w:tr>
        <w:tc>
          <w:tcPr>
            <w:tcW w:w="1290" w:type="dxa"/>
            <w:vAlign w:val="center"/>
          </w:tcPr>
          <w:p>
            <w:pPr>
              <w:spacing w:after="0" w:line="240" w:lineRule="auto"/>
              <w:jc w:val="center"/>
            </w:pPr>
            <w:r>
              <w:rPr>
                <w:b w:val="0"/>
                <w:sz w:val="15"/>
                <w:szCs w:val="15"/>
              </w:rPr>
              <w:t xml:space="preserve">15</w:t>
            </w:r>
          </w:p>
        </w:tc>
        <w:tc>
          <w:tcPr>
            <w:tcW w:w="1290" w:type="dxa"/>
            <w:vAlign w:val="center"/>
          </w:tcPr>
          <w:p>
            <w:pPr>
              <w:spacing w:after="0" w:line="240" w:lineRule="auto"/>
              <w:jc w:val="left"/>
            </w:pPr>
            <w:r>
              <w:rPr>
                <w:b w:val="0"/>
                <w:sz w:val="15"/>
                <w:szCs w:val="15"/>
              </w:rPr>
              <w:t xml:space="preserve">16</w:t>
            </w:r>
          </w:p>
        </w:tc>
        <w:tc>
          <w:tcPr>
            <w:tcW w:w="1290" w:type="dxa"/>
            <w:vAlign w:val="center"/>
          </w:tcPr>
          <w:p>
            <w:pPr>
              <w:spacing w:after="0" w:line="240" w:lineRule="auto"/>
              <w:jc w:val="left"/>
            </w:pPr>
            <w:r>
              <w:rPr>
                <w:b w:val="0"/>
                <w:sz w:val="15"/>
                <w:szCs w:val="15"/>
              </w:rPr>
              <w:t xml:space="preserve">17</w:t>
            </w:r>
          </w:p>
        </w:tc>
        <w:tc>
          <w:tcPr>
            <w:tcW w:w="1290" w:type="dxa"/>
            <w:vAlign w:val="center"/>
          </w:tcPr>
          <w:p>
            <w:pPr>
              <w:spacing w:after="0" w:line="240" w:lineRule="auto"/>
              <w:jc w:val="left"/>
            </w:pPr>
            <w:r>
              <w:rPr>
                <w:b w:val="0"/>
                <w:sz w:val="15"/>
                <w:szCs w:val="15"/>
              </w:rPr>
              <w:t xml:space="preserve">18</w:t>
            </w:r>
          </w:p>
        </w:tc>
        <w:tc>
          <w:tcPr>
            <w:tcW w:w="1290" w:type="dxa"/>
            <w:vAlign w:val="center"/>
          </w:tcPr>
          <w:p>
            <w:pPr>
              <w:spacing w:after="0" w:line="240" w:lineRule="auto"/>
              <w:jc w:val="left"/>
            </w:pPr>
            <w:r>
              <w:rPr>
                <w:b w:val="0"/>
                <w:sz w:val="15"/>
                <w:szCs w:val="15"/>
              </w:rPr>
              <w:t xml:space="preserve">19</w:t>
            </w:r>
          </w:p>
        </w:tc>
        <w:tc>
          <w:tcPr>
            <w:tcW w:w="1290" w:type="dxa"/>
            <w:vAlign w:val="center"/>
          </w:tcPr>
          <w:p>
            <w:pPr>
              <w:spacing w:after="0" w:line="240" w:lineRule="auto"/>
              <w:jc w:val="left"/>
            </w:pPr>
            <w:r>
              <w:rPr>
                <w:b w:val="0"/>
                <w:sz w:val="15"/>
                <w:szCs w:val="15"/>
              </w:rPr>
              <w:t xml:space="preserve">20</w:t>
            </w:r>
          </w:p>
        </w:tc>
        <w:tc>
          <w:tcPr>
            <w:tcW w:w="1290" w:type="dxa"/>
            <w:vAlign w:val="center"/>
          </w:tcPr>
          <w:p>
            <w:pPr>
              <w:spacing w:after="0" w:line="240" w:lineRule="auto"/>
              <w:jc w:val="center"/>
            </w:pPr>
            <w:r>
              <w:rPr>
                <w:b w:val="0"/>
                <w:sz w:val="15"/>
                <w:szCs w:val="15"/>
              </w:rPr>
              <w:t xml:space="preserve">21</w:t>
            </w:r>
          </w:p>
          <w:p>
            <w:pPr>
              <w:spacing w:after="0" w:line="240" w:lineRule="auto"/>
              <w:jc w:val="center"/>
            </w:pPr>
            <w:r>
              <w:rPr>
                <w:b w:val="0"/>
                <w:sz w:val="15"/>
                <w:szCs w:val="15"/>
              </w:rPr>
              <w:t xml:space="preserve">Selection of members</w:t>
            </w:r>
          </w:p>
        </w:tc>
      </w:tr>
      <w:tr>
        <w:tc>
          <w:tcPr>
            <w:tcW w:w="1290" w:type="dxa"/>
            <w:vAlign w:val="center"/>
          </w:tcPr>
          <w:p>
            <w:pPr>
              <w:spacing w:after="0" w:line="240" w:lineRule="auto"/>
              <w:jc w:val="center"/>
            </w:pPr>
            <w:r>
              <w:rPr>
                <w:b w:val="0"/>
                <w:sz w:val="15"/>
                <w:szCs w:val="15"/>
              </w:rPr>
              <w:t xml:space="preserve">22</w:t>
            </w:r>
          </w:p>
        </w:tc>
        <w:tc>
          <w:tcPr>
            <w:tcW w:w="1290" w:type="dxa"/>
            <w:vAlign w:val="center"/>
          </w:tcPr>
          <w:p>
            <w:pPr>
              <w:spacing w:after="0" w:line="240" w:lineRule="auto"/>
              <w:jc w:val="left"/>
            </w:pPr>
            <w:r>
              <w:rPr>
                <w:b w:val="0"/>
                <w:sz w:val="15"/>
                <w:szCs w:val="15"/>
              </w:rPr>
              <w:t xml:space="preserve">23</w:t>
            </w:r>
          </w:p>
          <w:p>
            <w:pPr>
              <w:spacing w:after="0" w:line="240" w:lineRule="auto"/>
              <w:jc w:val="left"/>
            </w:pPr>
            <w:r>
              <w:rPr>
                <w:b w:val="0"/>
                <w:sz w:val="15"/>
                <w:szCs w:val="15"/>
              </w:rPr>
              <w:t xml:space="preserve">Brainstorming</w:t>
            </w:r>
          </w:p>
        </w:tc>
        <w:tc>
          <w:tcPr>
            <w:tcW w:w="1290" w:type="dxa"/>
            <w:vAlign w:val="center"/>
          </w:tcPr>
          <w:p>
            <w:pPr>
              <w:spacing w:after="0" w:line="240" w:lineRule="auto"/>
              <w:jc w:val="left"/>
            </w:pPr>
            <w:r>
              <w:rPr>
                <w:b w:val="0"/>
                <w:sz w:val="15"/>
                <w:szCs w:val="15"/>
              </w:rPr>
              <w:t xml:space="preserve">24</w:t>
            </w:r>
          </w:p>
          <w:p>
            <w:pPr>
              <w:spacing w:after="0" w:line="240" w:lineRule="auto"/>
              <w:jc w:val="left"/>
            </w:pPr>
            <w:r>
              <w:rPr>
                <w:b w:val="0"/>
                <w:sz w:val="15"/>
                <w:szCs w:val="15"/>
              </w:rPr>
              <w:t xml:space="preserve">Brainstorming</w:t>
            </w:r>
          </w:p>
        </w:tc>
        <w:tc>
          <w:tcPr>
            <w:tcW w:w="1290" w:type="dxa"/>
            <w:vAlign w:val="center"/>
          </w:tcPr>
          <w:p>
            <w:pPr>
              <w:spacing w:after="0" w:line="240" w:lineRule="auto"/>
              <w:jc w:val="left"/>
            </w:pPr>
            <w:r>
              <w:rPr>
                <w:b w:val="0"/>
                <w:sz w:val="15"/>
                <w:szCs w:val="15"/>
              </w:rPr>
              <w:t xml:space="preserve">25</w:t>
            </w:r>
          </w:p>
          <w:p>
            <w:pPr>
              <w:spacing w:after="0" w:line="240" w:lineRule="auto"/>
              <w:jc w:val="left"/>
            </w:pPr>
            <w:r>
              <w:rPr>
                <w:b w:val="0"/>
                <w:sz w:val="15"/>
                <w:szCs w:val="15"/>
              </w:rPr>
              <w:t xml:space="preserve">Brainstorming</w:t>
            </w:r>
          </w:p>
        </w:tc>
        <w:tc>
          <w:tcPr>
            <w:tcW w:w="1290" w:type="dxa"/>
            <w:vAlign w:val="center"/>
          </w:tcPr>
          <w:p>
            <w:pPr>
              <w:spacing w:after="0" w:line="240" w:lineRule="auto"/>
              <w:jc w:val="left"/>
            </w:pPr>
            <w:r>
              <w:rPr>
                <w:b w:val="0"/>
                <w:sz w:val="15"/>
                <w:szCs w:val="15"/>
              </w:rPr>
              <w:t xml:space="preserve">26</w:t>
            </w:r>
          </w:p>
          <w:p>
            <w:pPr>
              <w:spacing w:after="0" w:line="240" w:lineRule="auto"/>
              <w:jc w:val="left"/>
            </w:pPr>
            <w:r>
              <w:rPr>
                <w:b w:val="0"/>
                <w:sz w:val="15"/>
                <w:szCs w:val="15"/>
              </w:rPr>
              <w:t xml:space="preserve">Brainstorming</w:t>
            </w:r>
          </w:p>
        </w:tc>
        <w:tc>
          <w:tcPr>
            <w:tcW w:w="1290" w:type="dxa"/>
            <w:vAlign w:val="center"/>
          </w:tcPr>
          <w:p>
            <w:pPr>
              <w:spacing w:after="0" w:line="240" w:lineRule="auto"/>
              <w:jc w:val="left"/>
            </w:pPr>
            <w:r>
              <w:rPr>
                <w:b w:val="0"/>
                <w:sz w:val="15"/>
                <w:szCs w:val="15"/>
              </w:rPr>
              <w:t xml:space="preserve">27</w:t>
            </w:r>
          </w:p>
          <w:p>
            <w:pPr>
              <w:spacing w:after="0" w:line="240" w:lineRule="auto"/>
              <w:jc w:val="left"/>
            </w:pPr>
            <w:r>
              <w:rPr>
                <w:b w:val="0"/>
                <w:sz w:val="15"/>
                <w:szCs w:val="15"/>
              </w:rPr>
              <w:t xml:space="preserve">Brainstorming</w:t>
            </w:r>
          </w:p>
        </w:tc>
        <w:tc>
          <w:tcPr>
            <w:tcW w:w="1290" w:type="dxa"/>
            <w:vAlign w:val="center"/>
          </w:tcPr>
          <w:p>
            <w:pPr>
              <w:spacing w:after="0" w:line="240" w:lineRule="auto"/>
              <w:jc w:val="center"/>
            </w:pPr>
            <w:r>
              <w:rPr>
                <w:b w:val="0"/>
                <w:sz w:val="15"/>
                <w:szCs w:val="15"/>
              </w:rPr>
              <w:t xml:space="preserve">28</w:t>
            </w:r>
          </w:p>
          <w:p>
            <w:pPr>
              <w:spacing w:after="0" w:line="240" w:lineRule="auto"/>
              <w:jc w:val="center"/>
            </w:pPr>
            <w:r>
              <w:rPr>
                <w:b w:val="0"/>
                <w:sz w:val="15"/>
                <w:szCs w:val="15"/>
              </w:rPr>
              <w:t xml:space="preserve">Brainstorming</w:t>
            </w:r>
          </w:p>
        </w:tc>
      </w:tr>
    </w:tbl>
    <w:p>
      <w:pPr>
        <w:pStyle w:val="BodyofResearch"/>
        <w:spacing w:after="0" w:line="240" w:lineRule="auto"/>
      </w:pPr>
    </w:p>
    <w:p>
      <w:pPr>
        <w:pStyle w:val="BodyofResearch"/>
        <w:spacing w:after="0" w:line="240" w:lineRule="auto"/>
      </w:pPr>
    </w:p>
    <w:p>
      <w:pPr>
        <w:pStyle w:val="BodyofResearch"/>
        <w:spacing w:after="0" w:line="360" w:lineRule="auto"/>
        <w:jc w:val="center"/>
      </w:pPr>
      <w:r>
        <w:rPr>
          <w:b/>
          <w:sz w:val="24"/>
          <w:szCs w:val="24"/>
        </w:rPr>
        <w:t xml:space="preserve">MARCH 2026</w:t>
      </w:r>
    </w:p>
    <w:tbl>
      <w:tblPr>
        <w:tblStyle w:val="TableGrid"/>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6" w:type="dxa"/>
          <w:bottom w:w="40" w:type="dxa"/>
          <w:right w:w="86" w:type="dxa"/>
        </w:tblCellMar>
        <w:tblLook w:val="04A0" w:firstRow="1" w:lastRow="0" w:firstColumn="1" w:lastColumn="0" w:noHBand="0" w:noVBand="1"/>
      </w:tblPr>
      <w:tblGrid>
        <w:gridCol w:w="1290"/>
        <w:gridCol w:w="1290"/>
        <w:gridCol w:w="1290"/>
        <w:gridCol w:w="1290"/>
        <w:gridCol w:w="1290"/>
        <w:gridCol w:w="1290"/>
        <w:gridCol w:w="1290"/>
      </w:tblGrid>
      <w:tr>
        <w:trPr>
          <w:tblHeader/>
          <w:cantSplit/>
        </w:trPr>
        <w:tc>
          <w:tcPr>
            <w:tcW w:w="1290" w:type="dxa"/>
            <w:vAlign w:val="center"/>
          </w:tcPr>
          <w:p>
            <w:pPr>
              <w:spacing w:after="0" w:line="240" w:lineRule="auto"/>
              <w:jc w:val="center"/>
            </w:pPr>
            <w:r>
              <w:rPr>
                <w:b/>
                <w:sz w:val="15"/>
                <w:szCs w:val="15"/>
              </w:rPr>
              <w:t xml:space="preserve">SUN</w:t>
            </w:r>
          </w:p>
        </w:tc>
        <w:tc>
          <w:tcPr>
            <w:tcW w:w="1290" w:type="dxa"/>
            <w:vAlign w:val="center"/>
          </w:tcPr>
          <w:p>
            <w:pPr>
              <w:spacing w:after="0" w:line="240" w:lineRule="auto"/>
              <w:jc w:val="center"/>
            </w:pPr>
            <w:r>
              <w:rPr>
                <w:b/>
                <w:sz w:val="15"/>
                <w:szCs w:val="15"/>
              </w:rPr>
              <w:t xml:space="preserve">MON</w:t>
            </w:r>
          </w:p>
        </w:tc>
        <w:tc>
          <w:tcPr>
            <w:tcW w:w="1290" w:type="dxa"/>
            <w:vAlign w:val="center"/>
          </w:tcPr>
          <w:p>
            <w:pPr>
              <w:spacing w:after="0" w:line="240" w:lineRule="auto"/>
              <w:jc w:val="center"/>
            </w:pPr>
            <w:r>
              <w:rPr>
                <w:b/>
                <w:sz w:val="15"/>
                <w:szCs w:val="15"/>
              </w:rPr>
              <w:t xml:space="preserve">TUE</w:t>
            </w:r>
          </w:p>
        </w:tc>
        <w:tc>
          <w:tcPr>
            <w:tcW w:w="1290" w:type="dxa"/>
            <w:vAlign w:val="center"/>
          </w:tcPr>
          <w:p>
            <w:pPr>
              <w:spacing w:after="0" w:line="240" w:lineRule="auto"/>
              <w:jc w:val="center"/>
            </w:pPr>
            <w:r>
              <w:rPr>
                <w:b/>
                <w:sz w:val="15"/>
                <w:szCs w:val="15"/>
              </w:rPr>
              <w:t xml:space="preserve">WED</w:t>
            </w:r>
          </w:p>
        </w:tc>
        <w:tc>
          <w:tcPr>
            <w:tcW w:w="1290" w:type="dxa"/>
            <w:vAlign w:val="center"/>
          </w:tcPr>
          <w:p>
            <w:pPr>
              <w:spacing w:after="0" w:line="240" w:lineRule="auto"/>
              <w:jc w:val="center"/>
            </w:pPr>
            <w:r>
              <w:rPr>
                <w:b/>
                <w:sz w:val="15"/>
                <w:szCs w:val="15"/>
              </w:rPr>
              <w:t xml:space="preserve">THU</w:t>
            </w:r>
          </w:p>
        </w:tc>
        <w:tc>
          <w:tcPr>
            <w:tcW w:w="1290" w:type="dxa"/>
            <w:vAlign w:val="center"/>
          </w:tcPr>
          <w:p>
            <w:pPr>
              <w:spacing w:after="0" w:line="240" w:lineRule="auto"/>
              <w:jc w:val="center"/>
            </w:pPr>
            <w:r>
              <w:rPr>
                <w:b/>
                <w:sz w:val="15"/>
                <w:szCs w:val="15"/>
              </w:rPr>
              <w:t xml:space="preserve">FRI</w:t>
            </w:r>
          </w:p>
        </w:tc>
        <w:tc>
          <w:tcPr>
            <w:tcW w:w="1290" w:type="dxa"/>
            <w:vAlign w:val="center"/>
          </w:tcPr>
          <w:p>
            <w:pPr>
              <w:spacing w:after="0" w:line="240" w:lineRule="auto"/>
              <w:jc w:val="center"/>
            </w:pPr>
            <w:r>
              <w:rPr>
                <w:b/>
                <w:sz w:val="15"/>
                <w:szCs w:val="15"/>
              </w:rPr>
              <w:t xml:space="preserve">SAT</w:t>
            </w:r>
          </w:p>
        </w:tc>
      </w:tr>
      <w:tr>
        <w:tc>
          <w:tcPr>
            <w:tcW w:w="1290" w:type="dxa"/>
            <w:vAlign w:val="center"/>
          </w:tcPr>
          <w:p>
            <w:pPr>
              <w:spacing w:after="0" w:line="240" w:lineRule="auto"/>
              <w:jc w:val="center"/>
            </w:pPr>
            <w:r>
              <w:rPr>
                <w:b w:val="0"/>
                <w:sz w:val="15"/>
                <w:szCs w:val="15"/>
              </w:rPr>
              <w:t xml:space="preserve">1</w:t>
            </w:r>
          </w:p>
        </w:tc>
        <w:tc>
          <w:tcPr>
            <w:tcW w:w="1290" w:type="dxa"/>
            <w:vAlign w:val="center"/>
          </w:tcPr>
          <w:p>
            <w:pPr>
              <w:spacing w:after="0" w:line="240" w:lineRule="auto"/>
              <w:jc w:val="left"/>
            </w:pPr>
            <w:r>
              <w:rPr>
                <w:b w:val="0"/>
                <w:sz w:val="15"/>
                <w:szCs w:val="15"/>
              </w:rPr>
              <w:t xml:space="preserve">2</w:t>
            </w:r>
          </w:p>
          <w:p>
            <w:pPr>
              <w:spacing w:after="0" w:line="240" w:lineRule="auto"/>
              <w:jc w:val="left"/>
            </w:pPr>
            <w:r>
              <w:rPr>
                <w:b w:val="0"/>
                <w:sz w:val="15"/>
                <w:szCs w:val="15"/>
              </w:rPr>
              <w:t xml:space="preserve">Adviser selection</w:t>
            </w:r>
          </w:p>
        </w:tc>
        <w:tc>
          <w:tcPr>
            <w:tcW w:w="1290" w:type="dxa"/>
            <w:vAlign w:val="center"/>
          </w:tcPr>
          <w:p>
            <w:pPr>
              <w:spacing w:after="0" w:line="240" w:lineRule="auto"/>
              <w:jc w:val="left"/>
            </w:pPr>
            <w:r>
              <w:rPr>
                <w:b w:val="0"/>
                <w:sz w:val="15"/>
                <w:szCs w:val="15"/>
              </w:rPr>
              <w:t xml:space="preserve">3</w:t>
            </w:r>
          </w:p>
          <w:p>
            <w:pPr>
              <w:spacing w:after="0" w:line="240" w:lineRule="auto"/>
              <w:jc w:val="left"/>
            </w:pPr>
            <w:r>
              <w:rPr>
                <w:b w:val="0"/>
                <w:sz w:val="15"/>
                <w:szCs w:val="15"/>
              </w:rPr>
              <w:t xml:space="preserve">Title finalization</w:t>
            </w:r>
          </w:p>
        </w:tc>
        <w:tc>
          <w:tcPr>
            <w:tcW w:w="1290" w:type="dxa"/>
            <w:vAlign w:val="center"/>
          </w:tcPr>
          <w:p>
            <w:pPr>
              <w:spacing w:after="0" w:line="240" w:lineRule="auto"/>
              <w:jc w:val="left"/>
            </w:pPr>
            <w:r>
              <w:rPr>
                <w:b w:val="0"/>
                <w:sz w:val="15"/>
                <w:szCs w:val="15"/>
              </w:rPr>
              <w:t xml:space="preserve">4</w:t>
            </w:r>
          </w:p>
          <w:p>
            <w:pPr>
              <w:spacing w:after="0" w:line="240" w:lineRule="auto"/>
              <w:jc w:val="left"/>
            </w:pPr>
            <w:r>
              <w:rPr>
                <w:b w:val="0"/>
                <w:sz w:val="15"/>
                <w:szCs w:val="15"/>
              </w:rPr>
              <w:t xml:space="preserve">Title finalization</w:t>
            </w:r>
          </w:p>
        </w:tc>
        <w:tc>
          <w:tcPr>
            <w:tcW w:w="1290" w:type="dxa"/>
            <w:vAlign w:val="center"/>
          </w:tcPr>
          <w:p>
            <w:pPr>
              <w:spacing w:after="0" w:line="240" w:lineRule="auto"/>
              <w:jc w:val="left"/>
            </w:pPr>
            <w:r>
              <w:rPr>
                <w:b w:val="0"/>
                <w:sz w:val="15"/>
                <w:szCs w:val="15"/>
              </w:rPr>
              <w:t xml:space="preserve">5</w:t>
            </w:r>
          </w:p>
          <w:p>
            <w:pPr>
              <w:spacing w:after="0" w:line="240" w:lineRule="auto"/>
              <w:jc w:val="left"/>
            </w:pPr>
            <w:r>
              <w:rPr>
                <w:b w:val="0"/>
                <w:sz w:val="15"/>
                <w:szCs w:val="15"/>
              </w:rPr>
              <w:t xml:space="preserve">Title finalization</w:t>
            </w:r>
          </w:p>
        </w:tc>
        <w:tc>
          <w:tcPr>
            <w:tcW w:w="1290" w:type="dxa"/>
            <w:vAlign w:val="center"/>
          </w:tcPr>
          <w:p>
            <w:pPr>
              <w:spacing w:after="0" w:line="240" w:lineRule="auto"/>
              <w:jc w:val="left"/>
            </w:pPr>
            <w:r>
              <w:rPr>
                <w:b w:val="0"/>
                <w:sz w:val="15"/>
                <w:szCs w:val="15"/>
              </w:rPr>
              <w:t xml:space="preserve">6</w:t>
            </w:r>
          </w:p>
          <w:p>
            <w:pPr>
              <w:spacing w:after="0" w:line="240" w:lineRule="auto"/>
              <w:jc w:val="left"/>
            </w:pPr>
            <w:r>
              <w:rPr>
                <w:b w:val="0"/>
                <w:sz w:val="15"/>
                <w:szCs w:val="15"/>
              </w:rPr>
              <w:t xml:space="preserve">Title finalization</w:t>
            </w:r>
          </w:p>
        </w:tc>
        <w:tc>
          <w:tcPr>
            <w:tcW w:w="1290" w:type="dxa"/>
            <w:vAlign w:val="center"/>
          </w:tcPr>
          <w:p>
            <w:pPr>
              <w:spacing w:after="0" w:line="240" w:lineRule="auto"/>
              <w:jc w:val="center"/>
            </w:pPr>
            <w:r>
              <w:rPr>
                <w:b w:val="0"/>
                <w:sz w:val="15"/>
                <w:szCs w:val="15"/>
              </w:rPr>
              <w:t xml:space="preserve">7</w:t>
            </w:r>
          </w:p>
        </w:tc>
      </w:tr>
      <w:tr>
        <w:tc>
          <w:tcPr>
            <w:tcW w:w="1290" w:type="dxa"/>
            <w:vAlign w:val="center"/>
          </w:tcPr>
          <w:p>
            <w:pPr>
              <w:spacing w:after="0" w:line="240" w:lineRule="auto"/>
              <w:jc w:val="center"/>
            </w:pPr>
            <w:r>
              <w:rPr>
                <w:b w:val="0"/>
                <w:sz w:val="15"/>
                <w:szCs w:val="15"/>
              </w:rPr>
              <w:t xml:space="preserve">8</w:t>
            </w:r>
          </w:p>
        </w:tc>
        <w:tc>
          <w:tcPr>
            <w:tcW w:w="1290" w:type="dxa"/>
            <w:vAlign w:val="center"/>
          </w:tcPr>
          <w:p>
            <w:pPr>
              <w:spacing w:after="0" w:line="240" w:lineRule="auto"/>
              <w:jc w:val="left"/>
            </w:pPr>
            <w:r>
              <w:rPr>
                <w:b w:val="0"/>
                <w:sz w:val="15"/>
                <w:szCs w:val="15"/>
              </w:rPr>
              <w:t xml:space="preserve">9</w:t>
            </w:r>
          </w:p>
        </w:tc>
        <w:tc>
          <w:tcPr>
            <w:tcW w:w="1290" w:type="dxa"/>
            <w:vAlign w:val="center"/>
          </w:tcPr>
          <w:p>
            <w:pPr>
              <w:spacing w:after="0" w:line="240" w:lineRule="auto"/>
              <w:jc w:val="left"/>
            </w:pPr>
            <w:r>
              <w:rPr>
                <w:b w:val="0"/>
                <w:sz w:val="15"/>
                <w:szCs w:val="15"/>
              </w:rPr>
              <w:t xml:space="preserve">10</w:t>
            </w:r>
          </w:p>
          <w:p>
            <w:pPr>
              <w:spacing w:after="0" w:line="240" w:lineRule="auto"/>
              <w:jc w:val="left"/>
            </w:pPr>
            <w:r>
              <w:rPr>
                <w:b w:val="0"/>
                <w:sz w:val="15"/>
                <w:szCs w:val="15"/>
              </w:rPr>
              <w:t xml:space="preserve">Title defense</w:t>
            </w:r>
          </w:p>
        </w:tc>
        <w:tc>
          <w:tcPr>
            <w:tcW w:w="1290" w:type="dxa"/>
            <w:vAlign w:val="center"/>
          </w:tcPr>
          <w:p>
            <w:pPr>
              <w:spacing w:after="0" w:line="240" w:lineRule="auto"/>
              <w:jc w:val="left"/>
            </w:pPr>
            <w:r>
              <w:rPr>
                <w:b w:val="0"/>
                <w:sz w:val="15"/>
                <w:szCs w:val="15"/>
              </w:rPr>
              <w:t xml:space="preserve">11</w:t>
            </w:r>
          </w:p>
          <w:p>
            <w:pPr>
              <w:spacing w:after="0" w:line="240" w:lineRule="auto"/>
              <w:jc w:val="left"/>
            </w:pPr>
            <w:r>
              <w:rPr>
                <w:b w:val="0"/>
                <w:sz w:val="15"/>
                <w:szCs w:val="15"/>
              </w:rPr>
              <w:t xml:space="preserve">Title defense</w:t>
            </w:r>
          </w:p>
        </w:tc>
        <w:tc>
          <w:tcPr>
            <w:tcW w:w="1290" w:type="dxa"/>
            <w:vAlign w:val="center"/>
          </w:tcPr>
          <w:p>
            <w:pPr>
              <w:spacing w:after="0" w:line="240" w:lineRule="auto"/>
              <w:jc w:val="left"/>
            </w:pPr>
            <w:r>
              <w:rPr>
                <w:b w:val="0"/>
                <w:sz w:val="15"/>
                <w:szCs w:val="15"/>
              </w:rPr>
              <w:t xml:space="preserve">12</w:t>
            </w:r>
          </w:p>
          <w:p>
            <w:pPr>
              <w:spacing w:after="0" w:line="240" w:lineRule="auto"/>
              <w:jc w:val="left"/>
            </w:pPr>
            <w:r>
              <w:rPr>
                <w:b w:val="0"/>
                <w:sz w:val="15"/>
                <w:szCs w:val="15"/>
              </w:rPr>
              <w:t xml:space="preserve">Title defense</w:t>
            </w:r>
          </w:p>
        </w:tc>
        <w:tc>
          <w:tcPr>
            <w:tcW w:w="1290" w:type="dxa"/>
            <w:vAlign w:val="center"/>
          </w:tcPr>
          <w:p>
            <w:pPr>
              <w:spacing w:after="0" w:line="240" w:lineRule="auto"/>
              <w:jc w:val="left"/>
            </w:pPr>
            <w:r>
              <w:rPr>
                <w:b w:val="0"/>
                <w:sz w:val="15"/>
                <w:szCs w:val="15"/>
              </w:rPr>
              <w:t xml:space="preserve">13</w:t>
            </w:r>
          </w:p>
          <w:p>
            <w:pPr>
              <w:spacing w:after="0" w:line="240" w:lineRule="auto"/>
              <w:jc w:val="left"/>
            </w:pPr>
            <w:r>
              <w:rPr>
                <w:b w:val="0"/>
                <w:sz w:val="15"/>
                <w:szCs w:val="15"/>
              </w:rPr>
              <w:t xml:space="preserve">Title defense</w:t>
            </w:r>
          </w:p>
        </w:tc>
        <w:tc>
          <w:tcPr>
            <w:tcW w:w="1290" w:type="dxa"/>
            <w:vAlign w:val="center"/>
          </w:tcPr>
          <w:p>
            <w:pPr>
              <w:spacing w:after="0" w:line="240" w:lineRule="auto"/>
              <w:jc w:val="center"/>
            </w:pPr>
            <w:r>
              <w:rPr>
                <w:b w:val="0"/>
                <w:sz w:val="15"/>
                <w:szCs w:val="15"/>
              </w:rPr>
              <w:t xml:space="preserve">14</w:t>
            </w:r>
          </w:p>
        </w:tc>
      </w:tr>
      <w:tr>
        <w:tc>
          <w:tcPr>
            <w:tcW w:w="1290" w:type="dxa"/>
            <w:vAlign w:val="center"/>
          </w:tcPr>
          <w:p>
            <w:pPr>
              <w:spacing w:after="0" w:line="240" w:lineRule="auto"/>
              <w:jc w:val="center"/>
            </w:pPr>
            <w:r>
              <w:rPr>
                <w:b w:val="0"/>
                <w:sz w:val="15"/>
                <w:szCs w:val="15"/>
              </w:rPr>
              <w:t xml:space="preserve">15</w:t>
            </w:r>
          </w:p>
        </w:tc>
        <w:tc>
          <w:tcPr>
            <w:tcW w:w="1290" w:type="dxa"/>
            <w:vAlign w:val="center"/>
          </w:tcPr>
          <w:p>
            <w:pPr>
              <w:spacing w:after="0" w:line="240" w:lineRule="auto"/>
              <w:jc w:val="left"/>
            </w:pPr>
            <w:r>
              <w:rPr>
                <w:b w:val="0"/>
                <w:sz w:val="15"/>
                <w:szCs w:val="15"/>
              </w:rPr>
              <w:t xml:space="preserve">16</w:t>
            </w:r>
          </w:p>
        </w:tc>
        <w:tc>
          <w:tcPr>
            <w:tcW w:w="1290" w:type="dxa"/>
            <w:vAlign w:val="center"/>
          </w:tcPr>
          <w:p>
            <w:pPr>
              <w:spacing w:after="0" w:line="240" w:lineRule="auto"/>
              <w:jc w:val="left"/>
            </w:pPr>
            <w:r>
              <w:rPr>
                <w:b w:val="0"/>
                <w:sz w:val="15"/>
                <w:szCs w:val="15"/>
              </w:rPr>
              <w:t xml:space="preserve">17</w:t>
            </w:r>
          </w:p>
          <w:p>
            <w:pPr>
              <w:spacing w:after="0" w:line="240" w:lineRule="auto"/>
              <w:jc w:val="left"/>
            </w:pPr>
            <w:r>
              <w:rPr>
                <w:b w:val="0"/>
                <w:sz w:val="15"/>
                <w:szCs w:val="15"/>
              </w:rPr>
              <w:t xml:space="preserve">Development</w:t>
            </w:r>
          </w:p>
        </w:tc>
        <w:tc>
          <w:tcPr>
            <w:tcW w:w="1290" w:type="dxa"/>
            <w:vAlign w:val="center"/>
          </w:tcPr>
          <w:p>
            <w:pPr>
              <w:spacing w:after="0" w:line="240" w:lineRule="auto"/>
              <w:jc w:val="left"/>
            </w:pPr>
            <w:r>
              <w:rPr>
                <w:b w:val="0"/>
                <w:sz w:val="15"/>
                <w:szCs w:val="15"/>
              </w:rPr>
              <w:t xml:space="preserve">18</w:t>
            </w:r>
          </w:p>
          <w:p>
            <w:pPr>
              <w:spacing w:after="0" w:line="240" w:lineRule="auto"/>
              <w:jc w:val="left"/>
            </w:pPr>
            <w:r>
              <w:rPr>
                <w:b w:val="0"/>
                <w:sz w:val="15"/>
                <w:szCs w:val="15"/>
              </w:rPr>
              <w:t xml:space="preserve">Development</w:t>
            </w:r>
          </w:p>
        </w:tc>
        <w:tc>
          <w:tcPr>
            <w:tcW w:w="1290" w:type="dxa"/>
            <w:vAlign w:val="center"/>
          </w:tcPr>
          <w:p>
            <w:pPr>
              <w:spacing w:after="0" w:line="240" w:lineRule="auto"/>
              <w:jc w:val="left"/>
            </w:pPr>
            <w:r>
              <w:rPr>
                <w:b w:val="0"/>
                <w:sz w:val="15"/>
                <w:szCs w:val="15"/>
              </w:rPr>
              <w:t xml:space="preserve">19</w:t>
            </w:r>
          </w:p>
          <w:p>
            <w:pPr>
              <w:spacing w:after="0" w:line="240" w:lineRule="auto"/>
              <w:jc w:val="left"/>
            </w:pPr>
            <w:r>
              <w:rPr>
                <w:b w:val="0"/>
                <w:sz w:val="15"/>
                <w:szCs w:val="15"/>
              </w:rPr>
              <w:t xml:space="preserve">Development</w:t>
            </w:r>
          </w:p>
        </w:tc>
        <w:tc>
          <w:tcPr>
            <w:tcW w:w="1290" w:type="dxa"/>
            <w:vAlign w:val="center"/>
          </w:tcPr>
          <w:p>
            <w:pPr>
              <w:spacing w:after="0" w:line="240" w:lineRule="auto"/>
              <w:jc w:val="left"/>
            </w:pPr>
            <w:r>
              <w:rPr>
                <w:b w:val="0"/>
                <w:sz w:val="15"/>
                <w:szCs w:val="15"/>
              </w:rPr>
              <w:t xml:space="preserve">20</w:t>
            </w:r>
          </w:p>
          <w:p>
            <w:pPr>
              <w:spacing w:after="0" w:line="240" w:lineRule="auto"/>
              <w:jc w:val="left"/>
            </w:pPr>
            <w:r>
              <w:rPr>
                <w:b w:val="0"/>
                <w:sz w:val="15"/>
                <w:szCs w:val="15"/>
              </w:rPr>
              <w:t xml:space="preserve">Development</w:t>
            </w:r>
          </w:p>
        </w:tc>
        <w:tc>
          <w:tcPr>
            <w:tcW w:w="1290" w:type="dxa"/>
            <w:vAlign w:val="center"/>
          </w:tcPr>
          <w:p>
            <w:pPr>
              <w:spacing w:after="0" w:line="240" w:lineRule="auto"/>
              <w:jc w:val="center"/>
            </w:pPr>
            <w:r>
              <w:rPr>
                <w:b w:val="0"/>
                <w:sz w:val="15"/>
                <w:szCs w:val="15"/>
              </w:rPr>
              <w:t xml:space="preserve">21</w:t>
            </w:r>
          </w:p>
        </w:tc>
      </w:tr>
      <w:tr>
        <w:tc>
          <w:tcPr>
            <w:tcW w:w="1290" w:type="dxa"/>
            <w:vAlign w:val="center"/>
          </w:tcPr>
          <w:p>
            <w:pPr>
              <w:spacing w:after="0" w:line="240" w:lineRule="auto"/>
              <w:jc w:val="center"/>
            </w:pPr>
            <w:r>
              <w:rPr>
                <w:b w:val="0"/>
                <w:sz w:val="15"/>
                <w:szCs w:val="15"/>
              </w:rPr>
              <w:t xml:space="preserve">22</w:t>
            </w:r>
          </w:p>
        </w:tc>
        <w:tc>
          <w:tcPr>
            <w:tcW w:w="1290" w:type="dxa"/>
            <w:vAlign w:val="center"/>
          </w:tcPr>
          <w:p>
            <w:pPr>
              <w:spacing w:after="0" w:line="240" w:lineRule="auto"/>
              <w:jc w:val="left"/>
            </w:pPr>
            <w:r>
              <w:rPr>
                <w:b w:val="0"/>
                <w:sz w:val="15"/>
                <w:szCs w:val="15"/>
              </w:rPr>
              <w:t xml:space="preserve">23</w:t>
            </w:r>
          </w:p>
        </w:tc>
        <w:tc>
          <w:tcPr>
            <w:tcW w:w="1290" w:type="dxa"/>
            <w:vAlign w:val="center"/>
          </w:tcPr>
          <w:p>
            <w:pPr>
              <w:spacing w:after="0" w:line="240" w:lineRule="auto"/>
              <w:jc w:val="left"/>
            </w:pPr>
            <w:r>
              <w:rPr>
                <w:b w:val="0"/>
                <w:sz w:val="15"/>
                <w:szCs w:val="15"/>
              </w:rPr>
              <w:t xml:space="preserve">24</w:t>
            </w:r>
          </w:p>
          <w:p>
            <w:pPr>
              <w:spacing w:after="0" w:line="240" w:lineRule="auto"/>
              <w:jc w:val="left"/>
            </w:pPr>
            <w:r>
              <w:rPr>
                <w:b w:val="0"/>
                <w:sz w:val="15"/>
                <w:szCs w:val="15"/>
              </w:rPr>
              <w:t xml:space="preserve">Development</w:t>
            </w:r>
          </w:p>
        </w:tc>
        <w:tc>
          <w:tcPr>
            <w:tcW w:w="1290" w:type="dxa"/>
            <w:vAlign w:val="center"/>
          </w:tcPr>
          <w:p>
            <w:pPr>
              <w:spacing w:after="0" w:line="240" w:lineRule="auto"/>
              <w:jc w:val="left"/>
            </w:pPr>
            <w:r>
              <w:rPr>
                <w:b w:val="0"/>
                <w:sz w:val="15"/>
                <w:szCs w:val="15"/>
              </w:rPr>
              <w:t xml:space="preserve">25</w:t>
            </w:r>
          </w:p>
          <w:p>
            <w:pPr>
              <w:spacing w:after="0" w:line="240" w:lineRule="auto"/>
              <w:jc w:val="left"/>
            </w:pPr>
            <w:r>
              <w:rPr>
                <w:b w:val="0"/>
                <w:sz w:val="15"/>
                <w:szCs w:val="15"/>
              </w:rPr>
              <w:t xml:space="preserve">Development</w:t>
            </w:r>
          </w:p>
        </w:tc>
        <w:tc>
          <w:tcPr>
            <w:tcW w:w="1290" w:type="dxa"/>
            <w:vAlign w:val="center"/>
          </w:tcPr>
          <w:p>
            <w:pPr>
              <w:spacing w:after="0" w:line="240" w:lineRule="auto"/>
              <w:jc w:val="left"/>
            </w:pPr>
            <w:r>
              <w:rPr>
                <w:b w:val="0"/>
                <w:sz w:val="15"/>
                <w:szCs w:val="15"/>
              </w:rPr>
              <w:t xml:space="preserve">26</w:t>
            </w:r>
          </w:p>
          <w:p>
            <w:pPr>
              <w:spacing w:after="0" w:line="240" w:lineRule="auto"/>
              <w:jc w:val="left"/>
            </w:pPr>
            <w:r>
              <w:rPr>
                <w:b w:val="0"/>
                <w:sz w:val="15"/>
                <w:szCs w:val="15"/>
              </w:rPr>
              <w:t xml:space="preserve">Development</w:t>
            </w:r>
          </w:p>
        </w:tc>
        <w:tc>
          <w:tcPr>
            <w:tcW w:w="1290" w:type="dxa"/>
            <w:vAlign w:val="center"/>
          </w:tcPr>
          <w:p>
            <w:pPr>
              <w:spacing w:after="0" w:line="240" w:lineRule="auto"/>
              <w:jc w:val="left"/>
            </w:pPr>
            <w:r>
              <w:rPr>
                <w:b w:val="0"/>
                <w:sz w:val="15"/>
                <w:szCs w:val="15"/>
              </w:rPr>
              <w:t xml:space="preserve">27</w:t>
            </w:r>
          </w:p>
          <w:p>
            <w:pPr>
              <w:spacing w:after="0" w:line="240" w:lineRule="auto"/>
              <w:jc w:val="left"/>
            </w:pPr>
            <w:r>
              <w:rPr>
                <w:b w:val="0"/>
                <w:sz w:val="15"/>
                <w:szCs w:val="15"/>
              </w:rPr>
              <w:t xml:space="preserve">Development</w:t>
            </w:r>
          </w:p>
        </w:tc>
        <w:tc>
          <w:tcPr>
            <w:tcW w:w="1290" w:type="dxa"/>
            <w:vAlign w:val="center"/>
          </w:tcPr>
          <w:p>
            <w:pPr>
              <w:spacing w:after="0" w:line="240" w:lineRule="auto"/>
              <w:jc w:val="center"/>
            </w:pPr>
            <w:r>
              <w:rPr>
                <w:b w:val="0"/>
                <w:sz w:val="15"/>
                <w:szCs w:val="15"/>
              </w:rPr>
              <w:t xml:space="preserve">28</w:t>
            </w:r>
          </w:p>
        </w:tc>
      </w:tr>
      <w:tr>
        <w:tc>
          <w:tcPr>
            <w:tcW w:w="1290" w:type="dxa"/>
            <w:vAlign w:val="center"/>
          </w:tcPr>
          <w:p>
            <w:pPr>
              <w:spacing w:after="0" w:line="240" w:lineRule="auto"/>
              <w:jc w:val="center"/>
            </w:pPr>
            <w:r>
              <w:rPr>
                <w:b w:val="0"/>
                <w:sz w:val="15"/>
                <w:szCs w:val="15"/>
              </w:rPr>
              <w:t xml:space="preserve">29</w:t>
            </w:r>
          </w:p>
        </w:tc>
        <w:tc>
          <w:tcPr>
            <w:tcW w:w="1290" w:type="dxa"/>
            <w:vAlign w:val="center"/>
          </w:tcPr>
          <w:p>
            <w:pPr>
              <w:spacing w:after="0" w:line="240" w:lineRule="auto"/>
              <w:jc w:val="left"/>
            </w:pPr>
            <w:r>
              <w:rPr>
                <w:b w:val="0"/>
                <w:sz w:val="15"/>
                <w:szCs w:val="15"/>
              </w:rPr>
              <w:t xml:space="preserve">30</w:t>
            </w:r>
          </w:p>
        </w:tc>
        <w:tc>
          <w:tcPr>
            <w:tcW w:w="1290" w:type="dxa"/>
            <w:vAlign w:val="center"/>
          </w:tcPr>
          <w:p>
            <w:pPr>
              <w:spacing w:after="0" w:line="240" w:lineRule="auto"/>
              <w:jc w:val="left"/>
            </w:pPr>
            <w:r>
              <w:rPr>
                <w:b w:val="0"/>
                <w:sz w:val="15"/>
                <w:szCs w:val="15"/>
              </w:rPr>
              <w:t xml:space="preserve">31</w:t>
            </w:r>
          </w:p>
        </w:tc>
        <w:tc>
          <w:tcPr>
            <w:tcW w:w="1290" w:type="dxa"/>
            <w:vAlign w:val="center"/>
          </w:tcPr>
          <w:p>
            <w:pPr>
              <w:spacing w:after="0" w:line="240" w:lineRule="auto"/>
              <w:jc w:val="left"/>
            </w:pPr>
            <w:r>
              <w:rPr>
                <w:b w:val="0"/>
              </w:rPr>
              <w:t xml:space="preserve"/>
            </w:r>
          </w:p>
        </w:tc>
        <w:tc>
          <w:tcPr>
            <w:tcW w:w="1290" w:type="dxa"/>
            <w:vAlign w:val="center"/>
          </w:tcPr>
          <w:p>
            <w:pPr>
              <w:spacing w:after="0" w:line="240" w:lineRule="auto"/>
              <w:jc w:val="left"/>
            </w:pPr>
            <w:r>
              <w:rPr>
                <w:b w:val="0"/>
              </w:rPr>
              <w:t xml:space="preserve"/>
            </w:r>
          </w:p>
        </w:tc>
        <w:tc>
          <w:tcPr>
            <w:tcW w:w="1290" w:type="dxa"/>
            <w:vAlign w:val="center"/>
          </w:tcPr>
          <w:p>
            <w:pPr>
              <w:spacing w:after="0" w:line="240" w:lineRule="auto"/>
              <w:jc w:val="left"/>
            </w:pPr>
            <w:r>
              <w:rPr>
                <w:b w:val="0"/>
              </w:rPr>
              <w:t xml:space="preserve"/>
            </w:r>
          </w:p>
        </w:tc>
        <w:tc>
          <w:tcPr>
            <w:tcW w:w="1290" w:type="dxa"/>
            <w:vAlign w:val="center"/>
          </w:tcPr>
          <w:p>
            <w:pPr>
              <w:spacing w:after="0" w:line="240" w:lineRule="auto"/>
              <w:jc w:val="center"/>
            </w:pPr>
            <w:r>
              <w:rPr>
                <w:b w:val="0"/>
              </w:rPr>
              <w:t xml:space="preserve"/>
            </w:r>
          </w:p>
        </w:tc>
      </w:tr>
    </w:tbl>
    <w:p>
      <w:pPr>
        <w:pStyle w:val="BodyofResearch"/>
        <w:spacing w:after="0" w:line="240" w:lineRule="auto"/>
      </w:pPr>
    </w:p>
    <w:p>
      <w:pPr>
        <w:pStyle w:val="BodyofResearch"/>
        <w:spacing w:after="0" w:line="360" w:lineRule="auto"/>
        <w:jc w:val="center"/>
      </w:pPr>
      <w:r>
        <w:rPr>
          <w:b w:val="0"/>
          <w:i/>
        </w:rPr>
        <w:t xml:space="preserve">Figure 8. Calendar of Activities - February to March 2026</w:t>
      </w:r>
    </w:p>
    <w:p>
      <w:r>
        <w:br w:type="page"/>
      </w:r>
    </w:p>
    <w:p>
      <w:pPr>
        <w:pStyle w:val="BodyofResearch"/>
        <w:spacing w:after="0" w:line="360" w:lineRule="auto"/>
        <w:jc w:val="center"/>
      </w:pPr>
      <w:r>
        <w:rPr>
          <w:b/>
          <w:sz w:val="24"/>
          <w:szCs w:val="24"/>
        </w:rPr>
        <w:t xml:space="preserve">APRIL 2026</w:t>
      </w:r>
    </w:p>
    <w:tbl>
      <w:tblPr>
        <w:tblStyle w:val="TableGrid"/>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6" w:type="dxa"/>
          <w:bottom w:w="40" w:type="dxa"/>
          <w:right w:w="86" w:type="dxa"/>
        </w:tblCellMar>
        <w:tblLook w:val="04A0" w:firstRow="1" w:lastRow="0" w:firstColumn="1" w:lastColumn="0" w:noHBand="0" w:noVBand="1"/>
      </w:tblPr>
      <w:tblGrid>
        <w:gridCol w:w="1290"/>
        <w:gridCol w:w="1290"/>
        <w:gridCol w:w="1290"/>
        <w:gridCol w:w="1290"/>
        <w:gridCol w:w="1290"/>
        <w:gridCol w:w="1290"/>
        <w:gridCol w:w="1290"/>
      </w:tblGrid>
      <w:tr>
        <w:trPr>
          <w:tblHeader/>
          <w:cantSplit/>
        </w:trPr>
        <w:tc>
          <w:tcPr>
            <w:tcW w:w="1290" w:type="dxa"/>
            <w:vAlign w:val="center"/>
          </w:tcPr>
          <w:p>
            <w:pPr>
              <w:spacing w:after="0" w:line="240" w:lineRule="auto"/>
              <w:jc w:val="center"/>
            </w:pPr>
            <w:r>
              <w:rPr>
                <w:b/>
                <w:sz w:val="15"/>
                <w:szCs w:val="15"/>
              </w:rPr>
              <w:t xml:space="preserve">SUN</w:t>
            </w:r>
          </w:p>
        </w:tc>
        <w:tc>
          <w:tcPr>
            <w:tcW w:w="1290" w:type="dxa"/>
            <w:vAlign w:val="center"/>
          </w:tcPr>
          <w:p>
            <w:pPr>
              <w:spacing w:after="0" w:line="240" w:lineRule="auto"/>
              <w:jc w:val="center"/>
            </w:pPr>
            <w:r>
              <w:rPr>
                <w:b/>
                <w:sz w:val="15"/>
                <w:szCs w:val="15"/>
              </w:rPr>
              <w:t xml:space="preserve">MON</w:t>
            </w:r>
          </w:p>
        </w:tc>
        <w:tc>
          <w:tcPr>
            <w:tcW w:w="1290" w:type="dxa"/>
            <w:vAlign w:val="center"/>
          </w:tcPr>
          <w:p>
            <w:pPr>
              <w:spacing w:after="0" w:line="240" w:lineRule="auto"/>
              <w:jc w:val="center"/>
            </w:pPr>
            <w:r>
              <w:rPr>
                <w:b/>
                <w:sz w:val="15"/>
                <w:szCs w:val="15"/>
              </w:rPr>
              <w:t xml:space="preserve">TUE</w:t>
            </w:r>
          </w:p>
        </w:tc>
        <w:tc>
          <w:tcPr>
            <w:tcW w:w="1290" w:type="dxa"/>
            <w:vAlign w:val="center"/>
          </w:tcPr>
          <w:p>
            <w:pPr>
              <w:spacing w:after="0" w:line="240" w:lineRule="auto"/>
              <w:jc w:val="center"/>
            </w:pPr>
            <w:r>
              <w:rPr>
                <w:b/>
                <w:sz w:val="15"/>
                <w:szCs w:val="15"/>
              </w:rPr>
              <w:t xml:space="preserve">WED</w:t>
            </w:r>
          </w:p>
        </w:tc>
        <w:tc>
          <w:tcPr>
            <w:tcW w:w="1290" w:type="dxa"/>
            <w:vAlign w:val="center"/>
          </w:tcPr>
          <w:p>
            <w:pPr>
              <w:spacing w:after="0" w:line="240" w:lineRule="auto"/>
              <w:jc w:val="center"/>
            </w:pPr>
            <w:r>
              <w:rPr>
                <w:b/>
                <w:sz w:val="15"/>
                <w:szCs w:val="15"/>
              </w:rPr>
              <w:t xml:space="preserve">THU</w:t>
            </w:r>
          </w:p>
        </w:tc>
        <w:tc>
          <w:tcPr>
            <w:tcW w:w="1290" w:type="dxa"/>
            <w:vAlign w:val="center"/>
          </w:tcPr>
          <w:p>
            <w:pPr>
              <w:spacing w:after="0" w:line="240" w:lineRule="auto"/>
              <w:jc w:val="center"/>
            </w:pPr>
            <w:r>
              <w:rPr>
                <w:b/>
                <w:sz w:val="15"/>
                <w:szCs w:val="15"/>
              </w:rPr>
              <w:t xml:space="preserve">FRI</w:t>
            </w:r>
          </w:p>
        </w:tc>
        <w:tc>
          <w:tcPr>
            <w:tcW w:w="1290" w:type="dxa"/>
            <w:vAlign w:val="center"/>
          </w:tcPr>
          <w:p>
            <w:pPr>
              <w:spacing w:after="0" w:line="240" w:lineRule="auto"/>
              <w:jc w:val="center"/>
            </w:pPr>
            <w:r>
              <w:rPr>
                <w:b/>
                <w:sz w:val="15"/>
                <w:szCs w:val="15"/>
              </w:rPr>
              <w:t xml:space="preserve">SAT</w:t>
            </w:r>
          </w:p>
        </w:tc>
      </w:tr>
      <w:tr>
        <w:tc>
          <w:tcPr>
            <w:tcW w:w="1290" w:type="dxa"/>
            <w:vAlign w:val="center"/>
          </w:tcPr>
          <w:p>
            <w:pPr>
              <w:spacing w:after="0" w:line="240" w:lineRule="auto"/>
              <w:jc w:val="center"/>
            </w:pPr>
            <w:r>
              <w:rPr>
                <w:b w:val="0"/>
              </w:rPr>
              <w:t xml:space="preserve"/>
            </w:r>
          </w:p>
        </w:tc>
        <w:tc>
          <w:tcPr>
            <w:tcW w:w="1290" w:type="dxa"/>
            <w:vAlign w:val="center"/>
          </w:tcPr>
          <w:p>
            <w:pPr>
              <w:spacing w:after="0" w:line="240" w:lineRule="auto"/>
              <w:jc w:val="left"/>
            </w:pPr>
            <w:r>
              <w:rPr>
                <w:b w:val="0"/>
              </w:rPr>
              <w:t xml:space="preserve"/>
            </w:r>
          </w:p>
        </w:tc>
        <w:tc>
          <w:tcPr>
            <w:tcW w:w="1290" w:type="dxa"/>
            <w:vAlign w:val="center"/>
          </w:tcPr>
          <w:p>
            <w:pPr>
              <w:spacing w:after="0" w:line="240" w:lineRule="auto"/>
              <w:jc w:val="left"/>
            </w:pPr>
            <w:r>
              <w:rPr>
                <w:b w:val="0"/>
              </w:rPr>
              <w:t xml:space="preserve"/>
            </w:r>
          </w:p>
        </w:tc>
        <w:tc>
          <w:tcPr>
            <w:tcW w:w="1290" w:type="dxa"/>
            <w:vAlign w:val="center"/>
          </w:tcPr>
          <w:p>
            <w:pPr>
              <w:spacing w:after="0" w:line="240" w:lineRule="auto"/>
              <w:jc w:val="left"/>
            </w:pPr>
            <w:r>
              <w:rPr>
                <w:b w:val="0"/>
                <w:sz w:val="15"/>
                <w:szCs w:val="15"/>
              </w:rPr>
              <w:t xml:space="preserve">1</w:t>
            </w:r>
          </w:p>
        </w:tc>
        <w:tc>
          <w:tcPr>
            <w:tcW w:w="1290" w:type="dxa"/>
            <w:vAlign w:val="center"/>
          </w:tcPr>
          <w:p>
            <w:pPr>
              <w:spacing w:after="0" w:line="240" w:lineRule="auto"/>
              <w:jc w:val="left"/>
            </w:pPr>
            <w:r>
              <w:rPr>
                <w:b w:val="0"/>
                <w:sz w:val="15"/>
                <w:szCs w:val="15"/>
              </w:rPr>
              <w:t xml:space="preserve">2</w:t>
            </w:r>
          </w:p>
          <w:p>
            <w:pPr>
              <w:spacing w:after="0" w:line="240" w:lineRule="auto"/>
              <w:jc w:val="left"/>
            </w:pPr>
            <w:r>
              <w:rPr>
                <w:b w:val="0"/>
                <w:sz w:val="15"/>
                <w:szCs w:val="15"/>
              </w:rPr>
              <w:t xml:space="preserve">Development</w:t>
            </w:r>
          </w:p>
        </w:tc>
        <w:tc>
          <w:tcPr>
            <w:tcW w:w="1290" w:type="dxa"/>
            <w:vAlign w:val="center"/>
          </w:tcPr>
          <w:p>
            <w:pPr>
              <w:spacing w:after="0" w:line="240" w:lineRule="auto"/>
              <w:jc w:val="left"/>
            </w:pPr>
            <w:r>
              <w:rPr>
                <w:b w:val="0"/>
                <w:sz w:val="15"/>
                <w:szCs w:val="15"/>
              </w:rPr>
              <w:t xml:space="preserve">3</w:t>
            </w:r>
          </w:p>
          <w:p>
            <w:pPr>
              <w:spacing w:after="0" w:line="240" w:lineRule="auto"/>
              <w:jc w:val="left"/>
            </w:pPr>
            <w:r>
              <w:rPr>
                <w:b w:val="0"/>
                <w:sz w:val="15"/>
                <w:szCs w:val="15"/>
              </w:rPr>
              <w:t xml:space="preserve">Development</w:t>
            </w:r>
          </w:p>
        </w:tc>
        <w:tc>
          <w:tcPr>
            <w:tcW w:w="1290" w:type="dxa"/>
            <w:vAlign w:val="center"/>
          </w:tcPr>
          <w:p>
            <w:pPr>
              <w:spacing w:after="0" w:line="240" w:lineRule="auto"/>
              <w:jc w:val="center"/>
            </w:pPr>
            <w:r>
              <w:rPr>
                <w:b w:val="0"/>
                <w:sz w:val="15"/>
                <w:szCs w:val="15"/>
              </w:rPr>
              <w:t xml:space="preserve">4</w:t>
            </w:r>
          </w:p>
        </w:tc>
      </w:tr>
      <w:tr>
        <w:tc>
          <w:tcPr>
            <w:tcW w:w="1290" w:type="dxa"/>
            <w:vAlign w:val="center"/>
          </w:tcPr>
          <w:p>
            <w:pPr>
              <w:spacing w:after="0" w:line="240" w:lineRule="auto"/>
              <w:jc w:val="center"/>
            </w:pPr>
            <w:r>
              <w:rPr>
                <w:b w:val="0"/>
                <w:sz w:val="15"/>
                <w:szCs w:val="15"/>
              </w:rPr>
              <w:t xml:space="preserve">5</w:t>
            </w:r>
          </w:p>
        </w:tc>
        <w:tc>
          <w:tcPr>
            <w:tcW w:w="1290" w:type="dxa"/>
            <w:vAlign w:val="center"/>
          </w:tcPr>
          <w:p>
            <w:pPr>
              <w:spacing w:after="0" w:line="240" w:lineRule="auto"/>
              <w:jc w:val="left"/>
            </w:pPr>
            <w:r>
              <w:rPr>
                <w:b w:val="0"/>
                <w:sz w:val="15"/>
                <w:szCs w:val="15"/>
              </w:rPr>
              <w:t xml:space="preserve">6</w:t>
            </w:r>
          </w:p>
          <w:p>
            <w:pPr>
              <w:spacing w:after="0" w:line="240" w:lineRule="auto"/>
              <w:jc w:val="left"/>
            </w:pPr>
            <w:r>
              <w:rPr>
                <w:b w:val="0"/>
                <w:sz w:val="15"/>
                <w:szCs w:val="15"/>
              </w:rPr>
              <w:t xml:space="preserve">Development</w:t>
            </w:r>
          </w:p>
        </w:tc>
        <w:tc>
          <w:tcPr>
            <w:tcW w:w="1290" w:type="dxa"/>
            <w:vAlign w:val="center"/>
          </w:tcPr>
          <w:p>
            <w:pPr>
              <w:spacing w:after="0" w:line="240" w:lineRule="auto"/>
              <w:jc w:val="left"/>
            </w:pPr>
            <w:r>
              <w:rPr>
                <w:b w:val="0"/>
                <w:sz w:val="15"/>
                <w:szCs w:val="15"/>
              </w:rPr>
              <w:t xml:space="preserve">7</w:t>
            </w:r>
          </w:p>
          <w:p>
            <w:pPr>
              <w:spacing w:after="0" w:line="240" w:lineRule="auto"/>
              <w:jc w:val="left"/>
            </w:pPr>
            <w:r>
              <w:rPr>
                <w:b w:val="0"/>
                <w:sz w:val="15"/>
                <w:szCs w:val="15"/>
              </w:rPr>
              <w:t xml:space="preserve">Development</w:t>
            </w:r>
          </w:p>
        </w:tc>
        <w:tc>
          <w:tcPr>
            <w:tcW w:w="1290" w:type="dxa"/>
            <w:vAlign w:val="center"/>
          </w:tcPr>
          <w:p>
            <w:pPr>
              <w:spacing w:after="0" w:line="240" w:lineRule="auto"/>
              <w:jc w:val="left"/>
            </w:pPr>
            <w:r>
              <w:rPr>
                <w:b w:val="0"/>
                <w:sz w:val="15"/>
                <w:szCs w:val="15"/>
              </w:rPr>
              <w:t xml:space="preserve">8</w:t>
            </w:r>
          </w:p>
          <w:p>
            <w:pPr>
              <w:spacing w:after="0" w:line="240" w:lineRule="auto"/>
              <w:jc w:val="left"/>
            </w:pPr>
            <w:r>
              <w:rPr>
                <w:b w:val="0"/>
                <w:sz w:val="15"/>
                <w:szCs w:val="15"/>
              </w:rPr>
              <w:t xml:space="preserve">Development</w:t>
            </w:r>
          </w:p>
        </w:tc>
        <w:tc>
          <w:tcPr>
            <w:tcW w:w="1290" w:type="dxa"/>
            <w:vAlign w:val="center"/>
          </w:tcPr>
          <w:p>
            <w:pPr>
              <w:spacing w:after="0" w:line="240" w:lineRule="auto"/>
              <w:jc w:val="left"/>
            </w:pPr>
            <w:r>
              <w:rPr>
                <w:b w:val="0"/>
                <w:sz w:val="15"/>
                <w:szCs w:val="15"/>
              </w:rPr>
              <w:t xml:space="preserve">9</w:t>
            </w:r>
          </w:p>
          <w:p>
            <w:pPr>
              <w:spacing w:after="0" w:line="240" w:lineRule="auto"/>
              <w:jc w:val="left"/>
            </w:pPr>
            <w:r>
              <w:rPr>
                <w:b w:val="0"/>
                <w:sz w:val="15"/>
                <w:szCs w:val="15"/>
              </w:rPr>
              <w:t xml:space="preserve">Development</w:t>
            </w:r>
          </w:p>
        </w:tc>
        <w:tc>
          <w:tcPr>
            <w:tcW w:w="1290" w:type="dxa"/>
            <w:vAlign w:val="center"/>
          </w:tcPr>
          <w:p>
            <w:pPr>
              <w:spacing w:after="0" w:line="240" w:lineRule="auto"/>
              <w:jc w:val="left"/>
            </w:pPr>
            <w:r>
              <w:rPr>
                <w:b w:val="0"/>
                <w:sz w:val="15"/>
                <w:szCs w:val="15"/>
              </w:rPr>
              <w:t xml:space="preserve">10</w:t>
            </w:r>
          </w:p>
          <w:p>
            <w:pPr>
              <w:spacing w:after="0" w:line="240" w:lineRule="auto"/>
              <w:jc w:val="left"/>
            </w:pPr>
            <w:r>
              <w:rPr>
                <w:b w:val="0"/>
                <w:sz w:val="15"/>
                <w:szCs w:val="15"/>
              </w:rPr>
              <w:t xml:space="preserve">Development</w:t>
            </w:r>
          </w:p>
        </w:tc>
        <w:tc>
          <w:tcPr>
            <w:tcW w:w="1290" w:type="dxa"/>
            <w:vAlign w:val="center"/>
          </w:tcPr>
          <w:p>
            <w:pPr>
              <w:spacing w:after="0" w:line="240" w:lineRule="auto"/>
              <w:jc w:val="center"/>
            </w:pPr>
            <w:r>
              <w:rPr>
                <w:b w:val="0"/>
                <w:sz w:val="15"/>
                <w:szCs w:val="15"/>
              </w:rPr>
              <w:t xml:space="preserve">11</w:t>
            </w:r>
          </w:p>
        </w:tc>
      </w:tr>
      <w:tr>
        <w:tc>
          <w:tcPr>
            <w:tcW w:w="1290" w:type="dxa"/>
            <w:vAlign w:val="center"/>
          </w:tcPr>
          <w:p>
            <w:pPr>
              <w:spacing w:after="0" w:line="240" w:lineRule="auto"/>
              <w:jc w:val="center"/>
            </w:pPr>
            <w:r>
              <w:rPr>
                <w:b w:val="0"/>
                <w:sz w:val="15"/>
                <w:szCs w:val="15"/>
              </w:rPr>
              <w:t xml:space="preserve">12</w:t>
            </w:r>
          </w:p>
        </w:tc>
        <w:tc>
          <w:tcPr>
            <w:tcW w:w="1290" w:type="dxa"/>
            <w:vAlign w:val="center"/>
          </w:tcPr>
          <w:p>
            <w:pPr>
              <w:spacing w:after="0" w:line="240" w:lineRule="auto"/>
              <w:jc w:val="left"/>
            </w:pPr>
            <w:r>
              <w:rPr>
                <w:b w:val="0"/>
                <w:sz w:val="15"/>
                <w:szCs w:val="15"/>
              </w:rPr>
              <w:t xml:space="preserve">13</w:t>
            </w:r>
          </w:p>
          <w:p>
            <w:pPr>
              <w:spacing w:after="0" w:line="240" w:lineRule="auto"/>
              <w:jc w:val="left"/>
            </w:pPr>
            <w:r>
              <w:rPr>
                <w:b w:val="0"/>
                <w:sz w:val="15"/>
                <w:szCs w:val="15"/>
              </w:rPr>
              <w:t xml:space="preserve">Development</w:t>
            </w:r>
          </w:p>
        </w:tc>
        <w:tc>
          <w:tcPr>
            <w:tcW w:w="1290" w:type="dxa"/>
            <w:vAlign w:val="center"/>
          </w:tcPr>
          <w:p>
            <w:pPr>
              <w:spacing w:after="0" w:line="240" w:lineRule="auto"/>
              <w:jc w:val="left"/>
            </w:pPr>
            <w:r>
              <w:rPr>
                <w:b w:val="0"/>
                <w:sz w:val="15"/>
                <w:szCs w:val="15"/>
              </w:rPr>
              <w:t xml:space="preserve">14</w:t>
            </w:r>
          </w:p>
          <w:p>
            <w:pPr>
              <w:spacing w:after="0" w:line="240" w:lineRule="auto"/>
              <w:jc w:val="left"/>
            </w:pPr>
            <w:r>
              <w:rPr>
                <w:b w:val="0"/>
                <w:sz w:val="15"/>
                <w:szCs w:val="15"/>
              </w:rPr>
              <w:t xml:space="preserve">Development</w:t>
            </w:r>
          </w:p>
        </w:tc>
        <w:tc>
          <w:tcPr>
            <w:tcW w:w="1290" w:type="dxa"/>
            <w:vAlign w:val="center"/>
          </w:tcPr>
          <w:p>
            <w:pPr>
              <w:spacing w:after="0" w:line="240" w:lineRule="auto"/>
              <w:jc w:val="left"/>
            </w:pPr>
            <w:r>
              <w:rPr>
                <w:b w:val="0"/>
                <w:sz w:val="15"/>
                <w:szCs w:val="15"/>
              </w:rPr>
              <w:t xml:space="preserve">15</w:t>
            </w:r>
          </w:p>
          <w:p>
            <w:pPr>
              <w:spacing w:after="0" w:line="240" w:lineRule="auto"/>
              <w:jc w:val="left"/>
            </w:pPr>
            <w:r>
              <w:rPr>
                <w:b w:val="0"/>
                <w:sz w:val="15"/>
                <w:szCs w:val="15"/>
              </w:rPr>
              <w:t xml:space="preserve">Development</w:t>
            </w:r>
          </w:p>
        </w:tc>
        <w:tc>
          <w:tcPr>
            <w:tcW w:w="1290" w:type="dxa"/>
            <w:vAlign w:val="center"/>
          </w:tcPr>
          <w:p>
            <w:pPr>
              <w:spacing w:after="0" w:line="240" w:lineRule="auto"/>
              <w:jc w:val="left"/>
            </w:pPr>
            <w:r>
              <w:rPr>
                <w:b w:val="0"/>
                <w:sz w:val="15"/>
                <w:szCs w:val="15"/>
              </w:rPr>
              <w:t xml:space="preserve">16</w:t>
            </w:r>
          </w:p>
          <w:p>
            <w:pPr>
              <w:spacing w:after="0" w:line="240" w:lineRule="auto"/>
              <w:jc w:val="left"/>
            </w:pPr>
            <w:r>
              <w:rPr>
                <w:b w:val="0"/>
                <w:sz w:val="15"/>
                <w:szCs w:val="15"/>
              </w:rPr>
              <w:t xml:space="preserve">Development</w:t>
            </w:r>
          </w:p>
        </w:tc>
        <w:tc>
          <w:tcPr>
            <w:tcW w:w="1290" w:type="dxa"/>
            <w:vAlign w:val="center"/>
          </w:tcPr>
          <w:p>
            <w:pPr>
              <w:spacing w:after="0" w:line="240" w:lineRule="auto"/>
              <w:jc w:val="left"/>
            </w:pPr>
            <w:r>
              <w:rPr>
                <w:b w:val="0"/>
                <w:sz w:val="15"/>
                <w:szCs w:val="15"/>
              </w:rPr>
              <w:t xml:space="preserve">17</w:t>
            </w:r>
          </w:p>
          <w:p>
            <w:pPr>
              <w:spacing w:after="0" w:line="240" w:lineRule="auto"/>
              <w:jc w:val="left"/>
            </w:pPr>
            <w:r>
              <w:rPr>
                <w:b w:val="0"/>
                <w:sz w:val="15"/>
                <w:szCs w:val="15"/>
              </w:rPr>
              <w:t xml:space="preserve">Development</w:t>
            </w:r>
          </w:p>
        </w:tc>
        <w:tc>
          <w:tcPr>
            <w:tcW w:w="1290" w:type="dxa"/>
            <w:vAlign w:val="center"/>
          </w:tcPr>
          <w:p>
            <w:pPr>
              <w:spacing w:after="0" w:line="240" w:lineRule="auto"/>
              <w:jc w:val="center"/>
            </w:pPr>
            <w:r>
              <w:rPr>
                <w:b w:val="0"/>
                <w:sz w:val="15"/>
                <w:szCs w:val="15"/>
              </w:rPr>
              <w:t xml:space="preserve">18</w:t>
            </w:r>
          </w:p>
        </w:tc>
      </w:tr>
      <w:tr>
        <w:tc>
          <w:tcPr>
            <w:tcW w:w="1290" w:type="dxa"/>
            <w:vAlign w:val="center"/>
          </w:tcPr>
          <w:p>
            <w:pPr>
              <w:spacing w:after="0" w:line="240" w:lineRule="auto"/>
              <w:jc w:val="center"/>
            </w:pPr>
            <w:r>
              <w:rPr>
                <w:b w:val="0"/>
                <w:sz w:val="15"/>
                <w:szCs w:val="15"/>
              </w:rPr>
              <w:t xml:space="preserve">19</w:t>
            </w:r>
          </w:p>
        </w:tc>
        <w:tc>
          <w:tcPr>
            <w:tcW w:w="1290" w:type="dxa"/>
            <w:vAlign w:val="center"/>
          </w:tcPr>
          <w:p>
            <w:pPr>
              <w:spacing w:after="0" w:line="240" w:lineRule="auto"/>
              <w:jc w:val="left"/>
            </w:pPr>
            <w:r>
              <w:rPr>
                <w:b w:val="0"/>
                <w:sz w:val="15"/>
                <w:szCs w:val="15"/>
              </w:rPr>
              <w:t xml:space="preserve">20</w:t>
            </w:r>
          </w:p>
          <w:p>
            <w:pPr>
              <w:spacing w:after="0" w:line="240" w:lineRule="auto"/>
              <w:jc w:val="left"/>
            </w:pPr>
            <w:r>
              <w:rPr>
                <w:b w:val="0"/>
                <w:sz w:val="15"/>
                <w:szCs w:val="15"/>
              </w:rPr>
              <w:t xml:space="preserve">Pre-defense</w:t>
            </w:r>
          </w:p>
        </w:tc>
        <w:tc>
          <w:tcPr>
            <w:tcW w:w="1290" w:type="dxa"/>
            <w:vAlign w:val="center"/>
          </w:tcPr>
          <w:p>
            <w:pPr>
              <w:spacing w:after="0" w:line="240" w:lineRule="auto"/>
              <w:jc w:val="left"/>
            </w:pPr>
            <w:r>
              <w:rPr>
                <w:b w:val="0"/>
                <w:sz w:val="15"/>
                <w:szCs w:val="15"/>
              </w:rPr>
              <w:t xml:space="preserve">21</w:t>
            </w:r>
          </w:p>
          <w:p>
            <w:pPr>
              <w:spacing w:after="0" w:line="240" w:lineRule="auto"/>
              <w:jc w:val="left"/>
            </w:pPr>
            <w:r>
              <w:rPr>
                <w:b w:val="0"/>
                <w:sz w:val="15"/>
                <w:szCs w:val="15"/>
              </w:rPr>
              <w:t xml:space="preserve">Pre-defense</w:t>
            </w:r>
          </w:p>
        </w:tc>
        <w:tc>
          <w:tcPr>
            <w:tcW w:w="1290" w:type="dxa"/>
            <w:vAlign w:val="center"/>
          </w:tcPr>
          <w:p>
            <w:pPr>
              <w:spacing w:after="0" w:line="240" w:lineRule="auto"/>
              <w:jc w:val="left"/>
            </w:pPr>
            <w:r>
              <w:rPr>
                <w:b w:val="0"/>
                <w:sz w:val="15"/>
                <w:szCs w:val="15"/>
              </w:rPr>
              <w:t xml:space="preserve">22</w:t>
            </w:r>
          </w:p>
          <w:p>
            <w:pPr>
              <w:spacing w:after="0" w:line="240" w:lineRule="auto"/>
              <w:jc w:val="left"/>
            </w:pPr>
            <w:r>
              <w:rPr>
                <w:b w:val="0"/>
                <w:sz w:val="15"/>
                <w:szCs w:val="15"/>
              </w:rPr>
              <w:t xml:space="preserve">Pre-defense</w:t>
            </w:r>
          </w:p>
        </w:tc>
        <w:tc>
          <w:tcPr>
            <w:tcW w:w="1290" w:type="dxa"/>
            <w:vAlign w:val="center"/>
          </w:tcPr>
          <w:p>
            <w:pPr>
              <w:spacing w:after="0" w:line="240" w:lineRule="auto"/>
              <w:jc w:val="left"/>
            </w:pPr>
            <w:r>
              <w:rPr>
                <w:b w:val="0"/>
                <w:sz w:val="15"/>
                <w:szCs w:val="15"/>
              </w:rPr>
              <w:t xml:space="preserve">23</w:t>
            </w:r>
          </w:p>
        </w:tc>
        <w:tc>
          <w:tcPr>
            <w:tcW w:w="1290" w:type="dxa"/>
            <w:vAlign w:val="center"/>
          </w:tcPr>
          <w:p>
            <w:pPr>
              <w:spacing w:after="0" w:line="240" w:lineRule="auto"/>
              <w:jc w:val="left"/>
            </w:pPr>
            <w:r>
              <w:rPr>
                <w:b w:val="0"/>
                <w:sz w:val="15"/>
                <w:szCs w:val="15"/>
              </w:rPr>
              <w:t xml:space="preserve">24</w:t>
            </w:r>
          </w:p>
        </w:tc>
        <w:tc>
          <w:tcPr>
            <w:tcW w:w="1290" w:type="dxa"/>
            <w:vAlign w:val="center"/>
          </w:tcPr>
          <w:p>
            <w:pPr>
              <w:spacing w:after="0" w:line="240" w:lineRule="auto"/>
              <w:jc w:val="center"/>
            </w:pPr>
            <w:r>
              <w:rPr>
                <w:b w:val="0"/>
                <w:sz w:val="15"/>
                <w:szCs w:val="15"/>
              </w:rPr>
              <w:t xml:space="preserve">25</w:t>
            </w:r>
          </w:p>
        </w:tc>
      </w:tr>
      <w:tr>
        <w:tc>
          <w:tcPr>
            <w:tcW w:w="1290" w:type="dxa"/>
            <w:vAlign w:val="center"/>
          </w:tcPr>
          <w:p>
            <w:pPr>
              <w:spacing w:after="0" w:line="240" w:lineRule="auto"/>
              <w:jc w:val="center"/>
            </w:pPr>
            <w:r>
              <w:rPr>
                <w:b w:val="0"/>
                <w:sz w:val="15"/>
                <w:szCs w:val="15"/>
              </w:rPr>
              <w:t xml:space="preserve">26</w:t>
            </w:r>
          </w:p>
        </w:tc>
        <w:tc>
          <w:tcPr>
            <w:tcW w:w="1290" w:type="dxa"/>
            <w:vAlign w:val="center"/>
          </w:tcPr>
          <w:p>
            <w:pPr>
              <w:spacing w:after="0" w:line="240" w:lineRule="auto"/>
              <w:jc w:val="left"/>
            </w:pPr>
            <w:r>
              <w:rPr>
                <w:b w:val="0"/>
                <w:sz w:val="15"/>
                <w:szCs w:val="15"/>
              </w:rPr>
              <w:t xml:space="preserve">27</w:t>
            </w:r>
          </w:p>
        </w:tc>
        <w:tc>
          <w:tcPr>
            <w:tcW w:w="1290" w:type="dxa"/>
            <w:vAlign w:val="center"/>
          </w:tcPr>
          <w:p>
            <w:pPr>
              <w:spacing w:after="0" w:line="240" w:lineRule="auto"/>
              <w:jc w:val="left"/>
            </w:pPr>
            <w:r>
              <w:rPr>
                <w:b w:val="0"/>
                <w:sz w:val="15"/>
                <w:szCs w:val="15"/>
              </w:rPr>
              <w:t xml:space="preserve">28</w:t>
            </w:r>
          </w:p>
        </w:tc>
        <w:tc>
          <w:tcPr>
            <w:tcW w:w="1290" w:type="dxa"/>
            <w:vAlign w:val="center"/>
          </w:tcPr>
          <w:p>
            <w:pPr>
              <w:spacing w:after="0" w:line="240" w:lineRule="auto"/>
              <w:jc w:val="left"/>
            </w:pPr>
            <w:r>
              <w:rPr>
                <w:b w:val="0"/>
                <w:sz w:val="15"/>
                <w:szCs w:val="15"/>
              </w:rPr>
              <w:t xml:space="preserve">29</w:t>
            </w:r>
          </w:p>
        </w:tc>
        <w:tc>
          <w:tcPr>
            <w:tcW w:w="1290" w:type="dxa"/>
            <w:vAlign w:val="center"/>
          </w:tcPr>
          <w:p>
            <w:pPr>
              <w:spacing w:after="0" w:line="240" w:lineRule="auto"/>
              <w:jc w:val="left"/>
            </w:pPr>
            <w:r>
              <w:rPr>
                <w:b w:val="0"/>
                <w:sz w:val="15"/>
                <w:szCs w:val="15"/>
              </w:rPr>
              <w:t xml:space="preserve">30</w:t>
            </w:r>
          </w:p>
        </w:tc>
        <w:tc>
          <w:tcPr>
            <w:tcW w:w="1290" w:type="dxa"/>
            <w:vAlign w:val="center"/>
          </w:tcPr>
          <w:p>
            <w:pPr>
              <w:spacing w:after="0" w:line="240" w:lineRule="auto"/>
              <w:jc w:val="left"/>
            </w:pPr>
            <w:r>
              <w:rPr>
                <w:b w:val="0"/>
              </w:rPr>
              <w:t xml:space="preserve"/>
            </w:r>
          </w:p>
        </w:tc>
        <w:tc>
          <w:tcPr>
            <w:tcW w:w="1290" w:type="dxa"/>
            <w:vAlign w:val="center"/>
          </w:tcPr>
          <w:p>
            <w:pPr>
              <w:spacing w:after="0" w:line="240" w:lineRule="auto"/>
              <w:jc w:val="center"/>
            </w:pPr>
            <w:r>
              <w:rPr>
                <w:b w:val="0"/>
              </w:rPr>
              <w:t xml:space="preserve"/>
            </w:r>
          </w:p>
        </w:tc>
      </w:tr>
    </w:tbl>
    <w:p>
      <w:pPr>
        <w:pStyle w:val="BodyofResearch"/>
        <w:spacing w:after="0" w:line="240" w:lineRule="auto"/>
      </w:pPr>
    </w:p>
    <w:p>
      <w:pPr>
        <w:pStyle w:val="BodyofResearch"/>
        <w:spacing w:after="0" w:line="240" w:lineRule="auto"/>
      </w:pPr>
    </w:p>
    <w:p>
      <w:pPr>
        <w:pStyle w:val="BodyofResearch"/>
        <w:spacing w:after="0" w:line="360" w:lineRule="auto"/>
        <w:jc w:val="center"/>
      </w:pPr>
      <w:r>
        <w:rPr>
          <w:b/>
          <w:sz w:val="24"/>
          <w:szCs w:val="24"/>
        </w:rPr>
        <w:t xml:space="preserve">MAY 2026</w:t>
      </w:r>
    </w:p>
    <w:tbl>
      <w:tblPr>
        <w:tblStyle w:val="TableGrid"/>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6" w:type="dxa"/>
          <w:bottom w:w="40" w:type="dxa"/>
          <w:right w:w="86" w:type="dxa"/>
        </w:tblCellMar>
        <w:tblLook w:val="04A0" w:firstRow="1" w:lastRow="0" w:firstColumn="1" w:lastColumn="0" w:noHBand="0" w:noVBand="1"/>
      </w:tblPr>
      <w:tblGrid>
        <w:gridCol w:w="1290"/>
        <w:gridCol w:w="1290"/>
        <w:gridCol w:w="1290"/>
        <w:gridCol w:w="1290"/>
        <w:gridCol w:w="1290"/>
        <w:gridCol w:w="1290"/>
        <w:gridCol w:w="1290"/>
      </w:tblGrid>
      <w:tr>
        <w:trPr>
          <w:tblHeader/>
          <w:cantSplit/>
        </w:trPr>
        <w:tc>
          <w:tcPr>
            <w:tcW w:w="1290" w:type="dxa"/>
            <w:vAlign w:val="center"/>
          </w:tcPr>
          <w:p>
            <w:pPr>
              <w:spacing w:after="0" w:line="240" w:lineRule="auto"/>
              <w:jc w:val="center"/>
            </w:pPr>
            <w:r>
              <w:rPr>
                <w:b/>
                <w:sz w:val="15"/>
                <w:szCs w:val="15"/>
              </w:rPr>
              <w:t xml:space="preserve">SUN</w:t>
            </w:r>
          </w:p>
        </w:tc>
        <w:tc>
          <w:tcPr>
            <w:tcW w:w="1290" w:type="dxa"/>
            <w:vAlign w:val="center"/>
          </w:tcPr>
          <w:p>
            <w:pPr>
              <w:spacing w:after="0" w:line="240" w:lineRule="auto"/>
              <w:jc w:val="center"/>
            </w:pPr>
            <w:r>
              <w:rPr>
                <w:b/>
                <w:sz w:val="15"/>
                <w:szCs w:val="15"/>
              </w:rPr>
              <w:t xml:space="preserve">MON</w:t>
            </w:r>
          </w:p>
        </w:tc>
        <w:tc>
          <w:tcPr>
            <w:tcW w:w="1290" w:type="dxa"/>
            <w:vAlign w:val="center"/>
          </w:tcPr>
          <w:p>
            <w:pPr>
              <w:spacing w:after="0" w:line="240" w:lineRule="auto"/>
              <w:jc w:val="center"/>
            </w:pPr>
            <w:r>
              <w:rPr>
                <w:b/>
                <w:sz w:val="15"/>
                <w:szCs w:val="15"/>
              </w:rPr>
              <w:t xml:space="preserve">TUE</w:t>
            </w:r>
          </w:p>
        </w:tc>
        <w:tc>
          <w:tcPr>
            <w:tcW w:w="1290" w:type="dxa"/>
            <w:vAlign w:val="center"/>
          </w:tcPr>
          <w:p>
            <w:pPr>
              <w:spacing w:after="0" w:line="240" w:lineRule="auto"/>
              <w:jc w:val="center"/>
            </w:pPr>
            <w:r>
              <w:rPr>
                <w:b/>
                <w:sz w:val="15"/>
                <w:szCs w:val="15"/>
              </w:rPr>
              <w:t xml:space="preserve">WED</w:t>
            </w:r>
          </w:p>
        </w:tc>
        <w:tc>
          <w:tcPr>
            <w:tcW w:w="1290" w:type="dxa"/>
            <w:vAlign w:val="center"/>
          </w:tcPr>
          <w:p>
            <w:pPr>
              <w:spacing w:after="0" w:line="240" w:lineRule="auto"/>
              <w:jc w:val="center"/>
            </w:pPr>
            <w:r>
              <w:rPr>
                <w:b/>
                <w:sz w:val="15"/>
                <w:szCs w:val="15"/>
              </w:rPr>
              <w:t xml:space="preserve">THU</w:t>
            </w:r>
          </w:p>
        </w:tc>
        <w:tc>
          <w:tcPr>
            <w:tcW w:w="1290" w:type="dxa"/>
            <w:vAlign w:val="center"/>
          </w:tcPr>
          <w:p>
            <w:pPr>
              <w:spacing w:after="0" w:line="240" w:lineRule="auto"/>
              <w:jc w:val="center"/>
            </w:pPr>
            <w:r>
              <w:rPr>
                <w:b/>
                <w:sz w:val="15"/>
                <w:szCs w:val="15"/>
              </w:rPr>
              <w:t xml:space="preserve">FRI</w:t>
            </w:r>
          </w:p>
        </w:tc>
        <w:tc>
          <w:tcPr>
            <w:tcW w:w="1290" w:type="dxa"/>
            <w:vAlign w:val="center"/>
          </w:tcPr>
          <w:p>
            <w:pPr>
              <w:spacing w:after="0" w:line="240" w:lineRule="auto"/>
              <w:jc w:val="center"/>
            </w:pPr>
            <w:r>
              <w:rPr>
                <w:b/>
                <w:sz w:val="15"/>
                <w:szCs w:val="15"/>
              </w:rPr>
              <w:t xml:space="preserve">SAT</w:t>
            </w:r>
          </w:p>
        </w:tc>
      </w:tr>
      <w:tr>
        <w:tc>
          <w:tcPr>
            <w:tcW w:w="1290" w:type="dxa"/>
            <w:vAlign w:val="center"/>
          </w:tcPr>
          <w:p>
            <w:pPr>
              <w:spacing w:after="0" w:line="240" w:lineRule="auto"/>
              <w:jc w:val="center"/>
            </w:pPr>
            <w:r>
              <w:rPr>
                <w:b w:val="0"/>
              </w:rPr>
              <w:t xml:space="preserve"/>
            </w:r>
          </w:p>
        </w:tc>
        <w:tc>
          <w:tcPr>
            <w:tcW w:w="1290" w:type="dxa"/>
            <w:vAlign w:val="center"/>
          </w:tcPr>
          <w:p>
            <w:pPr>
              <w:spacing w:after="0" w:line="240" w:lineRule="auto"/>
              <w:jc w:val="left"/>
            </w:pPr>
            <w:r>
              <w:rPr>
                <w:b w:val="0"/>
              </w:rPr>
              <w:t xml:space="preserve"/>
            </w:r>
          </w:p>
        </w:tc>
        <w:tc>
          <w:tcPr>
            <w:tcW w:w="1290" w:type="dxa"/>
            <w:vAlign w:val="center"/>
          </w:tcPr>
          <w:p>
            <w:pPr>
              <w:spacing w:after="0" w:line="240" w:lineRule="auto"/>
              <w:jc w:val="left"/>
            </w:pPr>
            <w:r>
              <w:rPr>
                <w:b w:val="0"/>
              </w:rPr>
              <w:t xml:space="preserve"/>
            </w:r>
          </w:p>
        </w:tc>
        <w:tc>
          <w:tcPr>
            <w:tcW w:w="1290" w:type="dxa"/>
            <w:vAlign w:val="center"/>
          </w:tcPr>
          <w:p>
            <w:pPr>
              <w:spacing w:after="0" w:line="240" w:lineRule="auto"/>
              <w:jc w:val="left"/>
            </w:pPr>
            <w:r>
              <w:rPr>
                <w:b w:val="0"/>
              </w:rPr>
              <w:t xml:space="preserve"/>
            </w:r>
          </w:p>
        </w:tc>
        <w:tc>
          <w:tcPr>
            <w:tcW w:w="1290" w:type="dxa"/>
            <w:vAlign w:val="center"/>
          </w:tcPr>
          <w:p>
            <w:pPr>
              <w:spacing w:after="0" w:line="240" w:lineRule="auto"/>
              <w:jc w:val="left"/>
            </w:pPr>
            <w:r>
              <w:rPr>
                <w:b w:val="0"/>
              </w:rPr>
              <w:t xml:space="preserve"/>
            </w:r>
          </w:p>
        </w:tc>
        <w:tc>
          <w:tcPr>
            <w:tcW w:w="1290" w:type="dxa"/>
            <w:vAlign w:val="center"/>
          </w:tcPr>
          <w:p>
            <w:pPr>
              <w:spacing w:after="0" w:line="240" w:lineRule="auto"/>
              <w:jc w:val="left"/>
            </w:pPr>
            <w:r>
              <w:rPr>
                <w:b w:val="0"/>
                <w:sz w:val="15"/>
                <w:szCs w:val="15"/>
              </w:rPr>
              <w:t xml:space="preserve">1</w:t>
            </w:r>
          </w:p>
          <w:p>
            <w:pPr>
              <w:spacing w:after="0" w:line="240" w:lineRule="auto"/>
              <w:jc w:val="left"/>
            </w:pPr>
            <w:r>
              <w:rPr>
                <w:b w:val="0"/>
                <w:sz w:val="15"/>
                <w:szCs w:val="15"/>
              </w:rPr>
              <w:t xml:space="preserve">Feasibility interview</w:t>
            </w:r>
          </w:p>
        </w:tc>
        <w:tc>
          <w:tcPr>
            <w:tcW w:w="1290" w:type="dxa"/>
            <w:vAlign w:val="center"/>
          </w:tcPr>
          <w:p>
            <w:pPr>
              <w:spacing w:after="0" w:line="240" w:lineRule="auto"/>
              <w:jc w:val="center"/>
            </w:pPr>
            <w:r>
              <w:rPr>
                <w:b w:val="0"/>
                <w:sz w:val="15"/>
                <w:szCs w:val="15"/>
              </w:rPr>
              <w:t xml:space="preserve">2</w:t>
            </w:r>
          </w:p>
        </w:tc>
      </w:tr>
      <w:tr>
        <w:tc>
          <w:tcPr>
            <w:tcW w:w="1290" w:type="dxa"/>
            <w:vAlign w:val="center"/>
          </w:tcPr>
          <w:p>
            <w:pPr>
              <w:spacing w:after="0" w:line="240" w:lineRule="auto"/>
              <w:jc w:val="center"/>
            </w:pPr>
            <w:r>
              <w:rPr>
                <w:b w:val="0"/>
                <w:sz w:val="15"/>
                <w:szCs w:val="15"/>
              </w:rPr>
              <w:t xml:space="preserve">3</w:t>
            </w:r>
          </w:p>
        </w:tc>
        <w:tc>
          <w:tcPr>
            <w:tcW w:w="1290" w:type="dxa"/>
            <w:vAlign w:val="center"/>
          </w:tcPr>
          <w:p>
            <w:pPr>
              <w:spacing w:after="0" w:line="240" w:lineRule="auto"/>
              <w:jc w:val="left"/>
            </w:pPr>
            <w:r>
              <w:rPr>
                <w:b w:val="0"/>
                <w:sz w:val="15"/>
                <w:szCs w:val="15"/>
              </w:rPr>
              <w:t xml:space="preserve">4</w:t>
            </w:r>
          </w:p>
          <w:p>
            <w:pPr>
              <w:spacing w:after="0" w:line="240" w:lineRule="auto"/>
              <w:jc w:val="left"/>
            </w:pPr>
            <w:r>
              <w:rPr>
                <w:b w:val="0"/>
                <w:sz w:val="15"/>
                <w:szCs w:val="15"/>
              </w:rPr>
              <w:t xml:space="preserve">Feasibility interview</w:t>
            </w:r>
          </w:p>
        </w:tc>
        <w:tc>
          <w:tcPr>
            <w:tcW w:w="1290" w:type="dxa"/>
            <w:vAlign w:val="center"/>
          </w:tcPr>
          <w:p>
            <w:pPr>
              <w:spacing w:after="0" w:line="240" w:lineRule="auto"/>
              <w:jc w:val="left"/>
            </w:pPr>
            <w:r>
              <w:rPr>
                <w:b w:val="0"/>
                <w:sz w:val="15"/>
                <w:szCs w:val="15"/>
              </w:rPr>
              <w:t xml:space="preserve">5</w:t>
            </w:r>
          </w:p>
          <w:p>
            <w:pPr>
              <w:spacing w:after="0" w:line="240" w:lineRule="auto"/>
              <w:jc w:val="left"/>
            </w:pPr>
            <w:r>
              <w:rPr>
                <w:b w:val="0"/>
                <w:sz w:val="15"/>
                <w:szCs w:val="15"/>
              </w:rPr>
              <w:t xml:space="preserve">Feasibility interview</w:t>
            </w:r>
          </w:p>
        </w:tc>
        <w:tc>
          <w:tcPr>
            <w:tcW w:w="1290" w:type="dxa"/>
            <w:vAlign w:val="center"/>
          </w:tcPr>
          <w:p>
            <w:pPr>
              <w:spacing w:after="0" w:line="240" w:lineRule="auto"/>
              <w:jc w:val="left"/>
            </w:pPr>
            <w:r>
              <w:rPr>
                <w:b w:val="0"/>
                <w:sz w:val="15"/>
                <w:szCs w:val="15"/>
              </w:rPr>
              <w:t xml:space="preserve">6</w:t>
            </w:r>
          </w:p>
        </w:tc>
        <w:tc>
          <w:tcPr>
            <w:tcW w:w="1290" w:type="dxa"/>
            <w:vAlign w:val="center"/>
          </w:tcPr>
          <w:p>
            <w:pPr>
              <w:spacing w:after="0" w:line="240" w:lineRule="auto"/>
              <w:jc w:val="left"/>
            </w:pPr>
            <w:r>
              <w:rPr>
                <w:b w:val="0"/>
                <w:sz w:val="15"/>
                <w:szCs w:val="15"/>
              </w:rPr>
              <w:t xml:space="preserve">7</w:t>
            </w:r>
          </w:p>
        </w:tc>
        <w:tc>
          <w:tcPr>
            <w:tcW w:w="1290" w:type="dxa"/>
            <w:vAlign w:val="center"/>
          </w:tcPr>
          <w:p>
            <w:pPr>
              <w:spacing w:after="0" w:line="240" w:lineRule="auto"/>
              <w:jc w:val="left"/>
            </w:pPr>
            <w:r>
              <w:rPr>
                <w:b w:val="0"/>
                <w:sz w:val="15"/>
                <w:szCs w:val="15"/>
              </w:rPr>
              <w:t xml:space="preserve">8</w:t>
            </w:r>
          </w:p>
        </w:tc>
        <w:tc>
          <w:tcPr>
            <w:tcW w:w="1290" w:type="dxa"/>
            <w:vAlign w:val="center"/>
          </w:tcPr>
          <w:p>
            <w:pPr>
              <w:spacing w:after="0" w:line="240" w:lineRule="auto"/>
              <w:jc w:val="center"/>
            </w:pPr>
            <w:r>
              <w:rPr>
                <w:b w:val="0"/>
                <w:sz w:val="15"/>
                <w:szCs w:val="15"/>
              </w:rPr>
              <w:t xml:space="preserve">9</w:t>
            </w:r>
          </w:p>
        </w:tc>
      </w:tr>
      <w:tr>
        <w:tc>
          <w:tcPr>
            <w:tcW w:w="1290" w:type="dxa"/>
            <w:vAlign w:val="center"/>
          </w:tcPr>
          <w:p>
            <w:pPr>
              <w:spacing w:after="0" w:line="240" w:lineRule="auto"/>
              <w:jc w:val="center"/>
            </w:pPr>
            <w:r>
              <w:rPr>
                <w:b w:val="0"/>
                <w:sz w:val="15"/>
                <w:szCs w:val="15"/>
              </w:rPr>
              <w:t xml:space="preserve">10</w:t>
            </w:r>
          </w:p>
        </w:tc>
        <w:tc>
          <w:tcPr>
            <w:tcW w:w="1290" w:type="dxa"/>
            <w:vAlign w:val="center"/>
          </w:tcPr>
          <w:p>
            <w:pPr>
              <w:spacing w:after="0" w:line="240" w:lineRule="auto"/>
              <w:jc w:val="left"/>
            </w:pPr>
            <w:r>
              <w:rPr>
                <w:b w:val="0"/>
                <w:sz w:val="15"/>
                <w:szCs w:val="15"/>
              </w:rPr>
              <w:t xml:space="preserve">11</w:t>
            </w:r>
          </w:p>
          <w:p>
            <w:pPr>
              <w:spacing w:after="0" w:line="240" w:lineRule="auto"/>
              <w:jc w:val="left"/>
            </w:pPr>
            <w:r>
              <w:rPr>
                <w:b w:val="0"/>
                <w:sz w:val="15"/>
                <w:szCs w:val="15"/>
              </w:rPr>
              <w:t xml:space="preserve">Development</w:t>
            </w:r>
          </w:p>
        </w:tc>
        <w:tc>
          <w:tcPr>
            <w:tcW w:w="1290" w:type="dxa"/>
            <w:vAlign w:val="center"/>
          </w:tcPr>
          <w:p>
            <w:pPr>
              <w:spacing w:after="0" w:line="240" w:lineRule="auto"/>
              <w:jc w:val="left"/>
            </w:pPr>
            <w:r>
              <w:rPr>
                <w:b w:val="0"/>
                <w:sz w:val="15"/>
                <w:szCs w:val="15"/>
              </w:rPr>
              <w:t xml:space="preserve">12</w:t>
            </w:r>
          </w:p>
          <w:p>
            <w:pPr>
              <w:spacing w:after="0" w:line="240" w:lineRule="auto"/>
              <w:jc w:val="left"/>
            </w:pPr>
            <w:r>
              <w:rPr>
                <w:b w:val="0"/>
                <w:sz w:val="15"/>
                <w:szCs w:val="15"/>
              </w:rPr>
              <w:t xml:space="preserve">Development</w:t>
            </w:r>
          </w:p>
        </w:tc>
        <w:tc>
          <w:tcPr>
            <w:tcW w:w="1290" w:type="dxa"/>
            <w:vAlign w:val="center"/>
          </w:tcPr>
          <w:p>
            <w:pPr>
              <w:spacing w:after="0" w:line="240" w:lineRule="auto"/>
              <w:jc w:val="left"/>
            </w:pPr>
            <w:r>
              <w:rPr>
                <w:b w:val="0"/>
                <w:sz w:val="15"/>
                <w:szCs w:val="15"/>
              </w:rPr>
              <w:t xml:space="preserve">13</w:t>
            </w:r>
          </w:p>
          <w:p>
            <w:pPr>
              <w:spacing w:after="0" w:line="240" w:lineRule="auto"/>
              <w:jc w:val="left"/>
            </w:pPr>
            <w:r>
              <w:rPr>
                <w:b w:val="0"/>
                <w:sz w:val="15"/>
                <w:szCs w:val="15"/>
              </w:rPr>
              <w:t xml:space="preserve">Development</w:t>
            </w:r>
          </w:p>
        </w:tc>
        <w:tc>
          <w:tcPr>
            <w:tcW w:w="1290" w:type="dxa"/>
            <w:vAlign w:val="center"/>
          </w:tcPr>
          <w:p>
            <w:pPr>
              <w:spacing w:after="0" w:line="240" w:lineRule="auto"/>
              <w:jc w:val="left"/>
            </w:pPr>
            <w:r>
              <w:rPr>
                <w:b w:val="0"/>
                <w:sz w:val="15"/>
                <w:szCs w:val="15"/>
              </w:rPr>
              <w:t xml:space="preserve">14</w:t>
            </w:r>
          </w:p>
          <w:p>
            <w:pPr>
              <w:spacing w:after="0" w:line="240" w:lineRule="auto"/>
              <w:jc w:val="left"/>
            </w:pPr>
            <w:r>
              <w:rPr>
                <w:b w:val="0"/>
                <w:sz w:val="15"/>
                <w:szCs w:val="15"/>
              </w:rPr>
              <w:t xml:space="preserve">Development</w:t>
            </w:r>
          </w:p>
        </w:tc>
        <w:tc>
          <w:tcPr>
            <w:tcW w:w="1290" w:type="dxa"/>
            <w:vAlign w:val="center"/>
          </w:tcPr>
          <w:p>
            <w:pPr>
              <w:spacing w:after="0" w:line="240" w:lineRule="auto"/>
              <w:jc w:val="left"/>
            </w:pPr>
            <w:r>
              <w:rPr>
                <w:b w:val="0"/>
                <w:sz w:val="15"/>
                <w:szCs w:val="15"/>
              </w:rPr>
              <w:t xml:space="preserve">15</w:t>
            </w:r>
          </w:p>
          <w:p>
            <w:pPr>
              <w:spacing w:after="0" w:line="240" w:lineRule="auto"/>
              <w:jc w:val="left"/>
            </w:pPr>
            <w:r>
              <w:rPr>
                <w:b w:val="0"/>
                <w:sz w:val="15"/>
                <w:szCs w:val="15"/>
              </w:rPr>
              <w:t xml:space="preserve">Development</w:t>
            </w:r>
          </w:p>
        </w:tc>
        <w:tc>
          <w:tcPr>
            <w:tcW w:w="1290" w:type="dxa"/>
            <w:vAlign w:val="center"/>
          </w:tcPr>
          <w:p>
            <w:pPr>
              <w:spacing w:after="0" w:line="240" w:lineRule="auto"/>
              <w:jc w:val="center"/>
            </w:pPr>
            <w:r>
              <w:rPr>
                <w:b w:val="0"/>
                <w:sz w:val="15"/>
                <w:szCs w:val="15"/>
              </w:rPr>
              <w:t xml:space="preserve">16</w:t>
            </w:r>
          </w:p>
        </w:tc>
      </w:tr>
      <w:tr>
        <w:tc>
          <w:tcPr>
            <w:tcW w:w="1290" w:type="dxa"/>
            <w:vAlign w:val="center"/>
          </w:tcPr>
          <w:p>
            <w:pPr>
              <w:spacing w:after="0" w:line="240" w:lineRule="auto"/>
              <w:jc w:val="center"/>
            </w:pPr>
            <w:r>
              <w:rPr>
                <w:b w:val="0"/>
                <w:sz w:val="15"/>
                <w:szCs w:val="15"/>
              </w:rPr>
              <w:t xml:space="preserve">17</w:t>
            </w:r>
          </w:p>
        </w:tc>
        <w:tc>
          <w:tcPr>
            <w:tcW w:w="1290" w:type="dxa"/>
            <w:vAlign w:val="center"/>
          </w:tcPr>
          <w:p>
            <w:pPr>
              <w:spacing w:after="0" w:line="240" w:lineRule="auto"/>
              <w:jc w:val="left"/>
            </w:pPr>
            <w:r>
              <w:rPr>
                <w:b w:val="0"/>
                <w:sz w:val="15"/>
                <w:szCs w:val="15"/>
              </w:rPr>
              <w:t xml:space="preserve">18</w:t>
            </w:r>
          </w:p>
          <w:p>
            <w:pPr>
              <w:spacing w:after="0" w:line="240" w:lineRule="auto"/>
              <w:jc w:val="left"/>
            </w:pPr>
            <w:r>
              <w:rPr>
                <w:b w:val="0"/>
                <w:sz w:val="15"/>
                <w:szCs w:val="15"/>
              </w:rPr>
              <w:t xml:space="preserve">Development</w:t>
            </w:r>
          </w:p>
        </w:tc>
        <w:tc>
          <w:tcPr>
            <w:tcW w:w="1290" w:type="dxa"/>
            <w:vAlign w:val="center"/>
          </w:tcPr>
          <w:p>
            <w:pPr>
              <w:spacing w:after="0" w:line="240" w:lineRule="auto"/>
              <w:jc w:val="left"/>
            </w:pPr>
            <w:r>
              <w:rPr>
                <w:b w:val="0"/>
                <w:sz w:val="15"/>
                <w:szCs w:val="15"/>
              </w:rPr>
              <w:t xml:space="preserve">19</w:t>
            </w:r>
          </w:p>
          <w:p>
            <w:pPr>
              <w:spacing w:after="0" w:line="240" w:lineRule="auto"/>
              <w:jc w:val="left"/>
            </w:pPr>
            <w:r>
              <w:rPr>
                <w:b w:val="0"/>
                <w:sz w:val="15"/>
                <w:szCs w:val="15"/>
              </w:rPr>
              <w:t xml:space="preserve">Development</w:t>
            </w:r>
          </w:p>
        </w:tc>
        <w:tc>
          <w:tcPr>
            <w:tcW w:w="1290" w:type="dxa"/>
            <w:vAlign w:val="center"/>
          </w:tcPr>
          <w:p>
            <w:pPr>
              <w:spacing w:after="0" w:line="240" w:lineRule="auto"/>
              <w:jc w:val="left"/>
            </w:pPr>
            <w:r>
              <w:rPr>
                <w:b w:val="0"/>
                <w:sz w:val="15"/>
                <w:szCs w:val="15"/>
              </w:rPr>
              <w:t xml:space="preserve">20</w:t>
            </w:r>
          </w:p>
          <w:p>
            <w:pPr>
              <w:spacing w:after="0" w:line="240" w:lineRule="auto"/>
              <w:jc w:val="left"/>
            </w:pPr>
            <w:r>
              <w:rPr>
                <w:b w:val="0"/>
                <w:sz w:val="15"/>
                <w:szCs w:val="15"/>
              </w:rPr>
              <w:t xml:space="preserve">Development</w:t>
            </w:r>
          </w:p>
        </w:tc>
        <w:tc>
          <w:tcPr>
            <w:tcW w:w="1290" w:type="dxa"/>
            <w:vAlign w:val="center"/>
          </w:tcPr>
          <w:p>
            <w:pPr>
              <w:spacing w:after="0" w:line="240" w:lineRule="auto"/>
              <w:jc w:val="left"/>
            </w:pPr>
            <w:r>
              <w:rPr>
                <w:b w:val="0"/>
                <w:sz w:val="15"/>
                <w:szCs w:val="15"/>
              </w:rPr>
              <w:t xml:space="preserve">21</w:t>
            </w:r>
          </w:p>
          <w:p>
            <w:pPr>
              <w:spacing w:after="0" w:line="240" w:lineRule="auto"/>
              <w:jc w:val="left"/>
            </w:pPr>
            <w:r>
              <w:rPr>
                <w:b w:val="0"/>
                <w:sz w:val="15"/>
                <w:szCs w:val="15"/>
              </w:rPr>
              <w:t xml:space="preserve">Development</w:t>
            </w:r>
          </w:p>
        </w:tc>
        <w:tc>
          <w:tcPr>
            <w:tcW w:w="1290" w:type="dxa"/>
            <w:vAlign w:val="center"/>
          </w:tcPr>
          <w:p>
            <w:pPr>
              <w:spacing w:after="0" w:line="240" w:lineRule="auto"/>
              <w:jc w:val="left"/>
            </w:pPr>
            <w:r>
              <w:rPr>
                <w:b w:val="0"/>
                <w:sz w:val="15"/>
                <w:szCs w:val="15"/>
              </w:rPr>
              <w:t xml:space="preserve">22</w:t>
            </w:r>
          </w:p>
          <w:p>
            <w:pPr>
              <w:spacing w:after="0" w:line="240" w:lineRule="auto"/>
              <w:jc w:val="left"/>
            </w:pPr>
            <w:r>
              <w:rPr>
                <w:b w:val="0"/>
                <w:sz w:val="15"/>
                <w:szCs w:val="15"/>
              </w:rPr>
              <w:t xml:space="preserve">Development</w:t>
            </w:r>
          </w:p>
        </w:tc>
        <w:tc>
          <w:tcPr>
            <w:tcW w:w="1290" w:type="dxa"/>
            <w:vAlign w:val="center"/>
          </w:tcPr>
          <w:p>
            <w:pPr>
              <w:spacing w:after="0" w:line="240" w:lineRule="auto"/>
              <w:jc w:val="center"/>
            </w:pPr>
            <w:r>
              <w:rPr>
                <w:b w:val="0"/>
                <w:sz w:val="15"/>
                <w:szCs w:val="15"/>
              </w:rPr>
              <w:t xml:space="preserve">23</w:t>
            </w:r>
          </w:p>
        </w:tc>
      </w:tr>
      <w:tr>
        <w:tc>
          <w:tcPr>
            <w:tcW w:w="1290" w:type="dxa"/>
            <w:vAlign w:val="center"/>
          </w:tcPr>
          <w:p>
            <w:pPr>
              <w:spacing w:after="0" w:line="240" w:lineRule="auto"/>
              <w:jc w:val="center"/>
            </w:pPr>
            <w:r>
              <w:rPr>
                <w:b w:val="0"/>
                <w:sz w:val="15"/>
                <w:szCs w:val="15"/>
              </w:rPr>
              <w:t xml:space="preserve">24</w:t>
            </w:r>
          </w:p>
        </w:tc>
        <w:tc>
          <w:tcPr>
            <w:tcW w:w="1290" w:type="dxa"/>
            <w:vAlign w:val="center"/>
          </w:tcPr>
          <w:p>
            <w:pPr>
              <w:spacing w:after="0" w:line="240" w:lineRule="auto"/>
              <w:jc w:val="left"/>
            </w:pPr>
            <w:r>
              <w:rPr>
                <w:b w:val="0"/>
                <w:sz w:val="15"/>
                <w:szCs w:val="15"/>
              </w:rPr>
              <w:t xml:space="preserve">25</w:t>
            </w:r>
          </w:p>
          <w:p>
            <w:pPr>
              <w:spacing w:after="0" w:line="240" w:lineRule="auto"/>
              <w:jc w:val="left"/>
            </w:pPr>
            <w:r>
              <w:rPr>
                <w:b w:val="0"/>
                <w:sz w:val="15"/>
                <w:szCs w:val="15"/>
              </w:rPr>
              <w:t xml:space="preserve">Final defense</w:t>
            </w:r>
          </w:p>
        </w:tc>
        <w:tc>
          <w:tcPr>
            <w:tcW w:w="1290" w:type="dxa"/>
            <w:vAlign w:val="center"/>
          </w:tcPr>
          <w:p>
            <w:pPr>
              <w:spacing w:after="0" w:line="240" w:lineRule="auto"/>
              <w:jc w:val="left"/>
            </w:pPr>
            <w:r>
              <w:rPr>
                <w:b w:val="0"/>
                <w:sz w:val="15"/>
                <w:szCs w:val="15"/>
              </w:rPr>
              <w:t xml:space="preserve">26</w:t>
            </w:r>
          </w:p>
          <w:p>
            <w:pPr>
              <w:spacing w:after="0" w:line="240" w:lineRule="auto"/>
              <w:jc w:val="left"/>
            </w:pPr>
            <w:r>
              <w:rPr>
                <w:b w:val="0"/>
                <w:sz w:val="15"/>
                <w:szCs w:val="15"/>
              </w:rPr>
              <w:t xml:space="preserve">Final defense</w:t>
            </w:r>
          </w:p>
        </w:tc>
        <w:tc>
          <w:tcPr>
            <w:tcW w:w="1290" w:type="dxa"/>
            <w:vAlign w:val="center"/>
          </w:tcPr>
          <w:p>
            <w:pPr>
              <w:spacing w:after="0" w:line="240" w:lineRule="auto"/>
              <w:jc w:val="left"/>
            </w:pPr>
            <w:r>
              <w:rPr>
                <w:b w:val="0"/>
                <w:sz w:val="15"/>
                <w:szCs w:val="15"/>
              </w:rPr>
              <w:t xml:space="preserve">27</w:t>
            </w:r>
          </w:p>
          <w:p>
            <w:pPr>
              <w:spacing w:after="0" w:line="240" w:lineRule="auto"/>
              <w:jc w:val="left"/>
            </w:pPr>
            <w:r>
              <w:rPr>
                <w:b w:val="0"/>
                <w:sz w:val="15"/>
                <w:szCs w:val="15"/>
              </w:rPr>
              <w:t xml:space="preserve">Final defense</w:t>
            </w:r>
          </w:p>
        </w:tc>
        <w:tc>
          <w:tcPr>
            <w:tcW w:w="1290" w:type="dxa"/>
            <w:vAlign w:val="center"/>
          </w:tcPr>
          <w:p>
            <w:pPr>
              <w:spacing w:after="0" w:line="240" w:lineRule="auto"/>
              <w:jc w:val="left"/>
            </w:pPr>
            <w:r>
              <w:rPr>
                <w:b w:val="0"/>
                <w:sz w:val="15"/>
                <w:szCs w:val="15"/>
              </w:rPr>
              <w:t xml:space="preserve">28</w:t>
            </w:r>
          </w:p>
          <w:p>
            <w:pPr>
              <w:spacing w:after="0" w:line="240" w:lineRule="auto"/>
              <w:jc w:val="left"/>
            </w:pPr>
            <w:r>
              <w:rPr>
                <w:b w:val="0"/>
                <w:sz w:val="15"/>
                <w:szCs w:val="15"/>
              </w:rPr>
              <w:t xml:space="preserve">Final defense</w:t>
            </w:r>
          </w:p>
        </w:tc>
        <w:tc>
          <w:tcPr>
            <w:tcW w:w="1290" w:type="dxa"/>
            <w:vAlign w:val="center"/>
          </w:tcPr>
          <w:p>
            <w:pPr>
              <w:spacing w:after="0" w:line="240" w:lineRule="auto"/>
              <w:jc w:val="left"/>
            </w:pPr>
            <w:r>
              <w:rPr>
                <w:b w:val="0"/>
                <w:sz w:val="15"/>
                <w:szCs w:val="15"/>
              </w:rPr>
              <w:t xml:space="preserve">29</w:t>
            </w:r>
          </w:p>
        </w:tc>
        <w:tc>
          <w:tcPr>
            <w:tcW w:w="1290" w:type="dxa"/>
            <w:vAlign w:val="center"/>
          </w:tcPr>
          <w:p>
            <w:pPr>
              <w:spacing w:after="0" w:line="240" w:lineRule="auto"/>
              <w:jc w:val="center"/>
            </w:pPr>
            <w:r>
              <w:rPr>
                <w:b w:val="0"/>
                <w:sz w:val="15"/>
                <w:szCs w:val="15"/>
              </w:rPr>
              <w:t xml:space="preserve">30</w:t>
            </w:r>
          </w:p>
        </w:tc>
      </w:tr>
      <w:tr>
        <w:tc>
          <w:tcPr>
            <w:tcW w:w="1290" w:type="dxa"/>
            <w:vAlign w:val="center"/>
          </w:tcPr>
          <w:p>
            <w:pPr>
              <w:spacing w:after="0" w:line="240" w:lineRule="auto"/>
              <w:jc w:val="center"/>
            </w:pPr>
            <w:r>
              <w:rPr>
                <w:b w:val="0"/>
                <w:sz w:val="15"/>
                <w:szCs w:val="15"/>
              </w:rPr>
              <w:t xml:space="preserve">31</w:t>
            </w:r>
          </w:p>
        </w:tc>
        <w:tc>
          <w:tcPr>
            <w:tcW w:w="1290" w:type="dxa"/>
            <w:vAlign w:val="center"/>
          </w:tcPr>
          <w:p>
            <w:pPr>
              <w:spacing w:after="0" w:line="240" w:lineRule="auto"/>
              <w:jc w:val="left"/>
            </w:pPr>
            <w:r>
              <w:rPr>
                <w:b w:val="0"/>
              </w:rPr>
              <w:t xml:space="preserve"/>
            </w:r>
          </w:p>
        </w:tc>
        <w:tc>
          <w:tcPr>
            <w:tcW w:w="1290" w:type="dxa"/>
            <w:vAlign w:val="center"/>
          </w:tcPr>
          <w:p>
            <w:pPr>
              <w:spacing w:after="0" w:line="240" w:lineRule="auto"/>
              <w:jc w:val="left"/>
            </w:pPr>
            <w:r>
              <w:rPr>
                <w:b w:val="0"/>
              </w:rPr>
              <w:t xml:space="preserve"/>
            </w:r>
          </w:p>
        </w:tc>
        <w:tc>
          <w:tcPr>
            <w:tcW w:w="1290" w:type="dxa"/>
            <w:vAlign w:val="center"/>
          </w:tcPr>
          <w:p>
            <w:pPr>
              <w:spacing w:after="0" w:line="240" w:lineRule="auto"/>
              <w:jc w:val="left"/>
            </w:pPr>
            <w:r>
              <w:rPr>
                <w:b w:val="0"/>
              </w:rPr>
              <w:t xml:space="preserve"/>
            </w:r>
          </w:p>
        </w:tc>
        <w:tc>
          <w:tcPr>
            <w:tcW w:w="1290" w:type="dxa"/>
            <w:vAlign w:val="center"/>
          </w:tcPr>
          <w:p>
            <w:pPr>
              <w:spacing w:after="0" w:line="240" w:lineRule="auto"/>
              <w:jc w:val="left"/>
            </w:pPr>
            <w:r>
              <w:rPr>
                <w:b w:val="0"/>
              </w:rPr>
              <w:t xml:space="preserve"/>
            </w:r>
          </w:p>
        </w:tc>
        <w:tc>
          <w:tcPr>
            <w:tcW w:w="1290" w:type="dxa"/>
            <w:vAlign w:val="center"/>
          </w:tcPr>
          <w:p>
            <w:pPr>
              <w:spacing w:after="0" w:line="240" w:lineRule="auto"/>
              <w:jc w:val="left"/>
            </w:pPr>
            <w:r>
              <w:rPr>
                <w:b w:val="0"/>
              </w:rPr>
              <w:t xml:space="preserve"/>
            </w:r>
          </w:p>
        </w:tc>
        <w:tc>
          <w:tcPr>
            <w:tcW w:w="1290" w:type="dxa"/>
            <w:vAlign w:val="center"/>
          </w:tcPr>
          <w:p>
            <w:pPr>
              <w:spacing w:after="0" w:line="240" w:lineRule="auto"/>
              <w:jc w:val="center"/>
            </w:pPr>
            <w:r>
              <w:rPr>
                <w:b w:val="0"/>
              </w:rPr>
              <w:t xml:space="preserve"/>
            </w:r>
          </w:p>
        </w:tc>
      </w:tr>
    </w:tbl>
    <w:p>
      <w:pPr>
        <w:pStyle w:val="BodyofResearch"/>
        <w:spacing w:after="0" w:line="240" w:lineRule="auto"/>
      </w:pPr>
    </w:p>
    <w:p>
      <w:pPr>
        <w:pStyle w:val="BodyofResearch"/>
        <w:spacing w:after="0" w:line="360" w:lineRule="auto"/>
        <w:jc w:val="center"/>
      </w:pPr>
      <w:r>
        <w:rPr>
          <w:b w:val="0"/>
          <w:i/>
        </w:rPr>
        <w:t xml:space="preserve">Figure 9. Calendar of Activities - April to May 2026</w:t>
      </w:r>
    </w:p>
    <w:p>
      <w:r>
        <w:br w:type="page"/>
      </w:r>
    </w:p>
    <w:p>
      <w:pPr>
        <w:pStyle w:val="BodyofResearch"/>
        <w:spacing w:after="0" w:line="360" w:lineRule="auto"/>
        <w:jc w:val="center"/>
      </w:pPr>
      <w:r>
        <w:rPr>
          <w:b/>
          <w:sz w:val="24"/>
          <w:szCs w:val="24"/>
        </w:rPr>
        <w:t xml:space="preserve">JUNE 2026</w:t>
      </w:r>
    </w:p>
    <w:tbl>
      <w:tblPr>
        <w:tblStyle w:val="TableGrid"/>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6" w:type="dxa"/>
          <w:bottom w:w="40" w:type="dxa"/>
          <w:right w:w="86" w:type="dxa"/>
        </w:tblCellMar>
        <w:tblLook w:val="04A0" w:firstRow="1" w:lastRow="0" w:firstColumn="1" w:lastColumn="0" w:noHBand="0" w:noVBand="1"/>
      </w:tblPr>
      <w:tblGrid>
        <w:gridCol w:w="1290"/>
        <w:gridCol w:w="1290"/>
        <w:gridCol w:w="1290"/>
        <w:gridCol w:w="1290"/>
        <w:gridCol w:w="1290"/>
        <w:gridCol w:w="1290"/>
        <w:gridCol w:w="1290"/>
      </w:tblGrid>
      <w:tr>
        <w:trPr>
          <w:tblHeader/>
          <w:cantSplit/>
        </w:trPr>
        <w:tc>
          <w:tcPr>
            <w:tcW w:w="1290" w:type="dxa"/>
            <w:vAlign w:val="center"/>
          </w:tcPr>
          <w:p>
            <w:pPr>
              <w:spacing w:after="0" w:line="240" w:lineRule="auto"/>
              <w:jc w:val="center"/>
            </w:pPr>
            <w:r>
              <w:rPr>
                <w:b/>
                <w:sz w:val="15"/>
                <w:szCs w:val="15"/>
              </w:rPr>
              <w:t xml:space="preserve">SUN</w:t>
            </w:r>
          </w:p>
        </w:tc>
        <w:tc>
          <w:tcPr>
            <w:tcW w:w="1290" w:type="dxa"/>
            <w:vAlign w:val="center"/>
          </w:tcPr>
          <w:p>
            <w:pPr>
              <w:spacing w:after="0" w:line="240" w:lineRule="auto"/>
              <w:jc w:val="center"/>
            </w:pPr>
            <w:r>
              <w:rPr>
                <w:b/>
                <w:sz w:val="15"/>
                <w:szCs w:val="15"/>
              </w:rPr>
              <w:t xml:space="preserve">MON</w:t>
            </w:r>
          </w:p>
        </w:tc>
        <w:tc>
          <w:tcPr>
            <w:tcW w:w="1290" w:type="dxa"/>
            <w:vAlign w:val="center"/>
          </w:tcPr>
          <w:p>
            <w:pPr>
              <w:spacing w:after="0" w:line="240" w:lineRule="auto"/>
              <w:jc w:val="center"/>
            </w:pPr>
            <w:r>
              <w:rPr>
                <w:b/>
                <w:sz w:val="15"/>
                <w:szCs w:val="15"/>
              </w:rPr>
              <w:t xml:space="preserve">TUE</w:t>
            </w:r>
          </w:p>
        </w:tc>
        <w:tc>
          <w:tcPr>
            <w:tcW w:w="1290" w:type="dxa"/>
            <w:vAlign w:val="center"/>
          </w:tcPr>
          <w:p>
            <w:pPr>
              <w:spacing w:after="0" w:line="240" w:lineRule="auto"/>
              <w:jc w:val="center"/>
            </w:pPr>
            <w:r>
              <w:rPr>
                <w:b/>
                <w:sz w:val="15"/>
                <w:szCs w:val="15"/>
              </w:rPr>
              <w:t xml:space="preserve">WED</w:t>
            </w:r>
          </w:p>
        </w:tc>
        <w:tc>
          <w:tcPr>
            <w:tcW w:w="1290" w:type="dxa"/>
            <w:vAlign w:val="center"/>
          </w:tcPr>
          <w:p>
            <w:pPr>
              <w:spacing w:after="0" w:line="240" w:lineRule="auto"/>
              <w:jc w:val="center"/>
            </w:pPr>
            <w:r>
              <w:rPr>
                <w:b/>
                <w:sz w:val="15"/>
                <w:szCs w:val="15"/>
              </w:rPr>
              <w:t xml:space="preserve">THU</w:t>
            </w:r>
          </w:p>
        </w:tc>
        <w:tc>
          <w:tcPr>
            <w:tcW w:w="1290" w:type="dxa"/>
            <w:vAlign w:val="center"/>
          </w:tcPr>
          <w:p>
            <w:pPr>
              <w:spacing w:after="0" w:line="240" w:lineRule="auto"/>
              <w:jc w:val="center"/>
            </w:pPr>
            <w:r>
              <w:rPr>
                <w:b/>
                <w:sz w:val="15"/>
                <w:szCs w:val="15"/>
              </w:rPr>
              <w:t xml:space="preserve">FRI</w:t>
            </w:r>
          </w:p>
        </w:tc>
        <w:tc>
          <w:tcPr>
            <w:tcW w:w="1290" w:type="dxa"/>
            <w:vAlign w:val="center"/>
          </w:tcPr>
          <w:p>
            <w:pPr>
              <w:spacing w:after="0" w:line="240" w:lineRule="auto"/>
              <w:jc w:val="center"/>
            </w:pPr>
            <w:r>
              <w:rPr>
                <w:b/>
                <w:sz w:val="15"/>
                <w:szCs w:val="15"/>
              </w:rPr>
              <w:t xml:space="preserve">SAT</w:t>
            </w:r>
          </w:p>
        </w:tc>
      </w:tr>
      <w:tr>
        <w:tc>
          <w:tcPr>
            <w:tcW w:w="1290" w:type="dxa"/>
            <w:vAlign w:val="center"/>
          </w:tcPr>
          <w:p>
            <w:pPr>
              <w:spacing w:after="0" w:line="240" w:lineRule="auto"/>
              <w:jc w:val="center"/>
            </w:pPr>
            <w:r>
              <w:rPr>
                <w:b w:val="0"/>
              </w:rPr>
              <w:t xml:space="preserve"/>
            </w:r>
          </w:p>
        </w:tc>
        <w:tc>
          <w:tcPr>
            <w:tcW w:w="1290" w:type="dxa"/>
            <w:vAlign w:val="center"/>
          </w:tcPr>
          <w:p>
            <w:pPr>
              <w:spacing w:after="0" w:line="240" w:lineRule="auto"/>
              <w:jc w:val="left"/>
            </w:pPr>
            <w:r>
              <w:rPr>
                <w:b w:val="0"/>
                <w:sz w:val="15"/>
                <w:szCs w:val="15"/>
              </w:rPr>
              <w:t xml:space="preserve">1</w:t>
            </w:r>
          </w:p>
          <w:p>
            <w:pPr>
              <w:spacing w:after="0" w:line="240" w:lineRule="auto"/>
              <w:jc w:val="left"/>
            </w:pPr>
            <w:r>
              <w:rPr>
                <w:b w:val="0"/>
                <w:sz w:val="15"/>
                <w:szCs w:val="15"/>
              </w:rPr>
              <w:t xml:space="preserve">Revisions</w:t>
            </w:r>
          </w:p>
        </w:tc>
        <w:tc>
          <w:tcPr>
            <w:tcW w:w="1290" w:type="dxa"/>
            <w:vAlign w:val="center"/>
          </w:tcPr>
          <w:p>
            <w:pPr>
              <w:spacing w:after="0" w:line="240" w:lineRule="auto"/>
              <w:jc w:val="left"/>
            </w:pPr>
            <w:r>
              <w:rPr>
                <w:b w:val="0"/>
                <w:sz w:val="15"/>
                <w:szCs w:val="15"/>
              </w:rPr>
              <w:t xml:space="preserve">2</w:t>
            </w:r>
          </w:p>
          <w:p>
            <w:pPr>
              <w:spacing w:after="0" w:line="240" w:lineRule="auto"/>
              <w:jc w:val="left"/>
            </w:pPr>
            <w:r>
              <w:rPr>
                <w:b w:val="0"/>
                <w:sz w:val="15"/>
                <w:szCs w:val="15"/>
              </w:rPr>
              <w:t xml:space="preserve">Revisions</w:t>
            </w:r>
          </w:p>
        </w:tc>
        <w:tc>
          <w:tcPr>
            <w:tcW w:w="1290" w:type="dxa"/>
            <w:vAlign w:val="center"/>
          </w:tcPr>
          <w:p>
            <w:pPr>
              <w:spacing w:after="0" w:line="240" w:lineRule="auto"/>
              <w:jc w:val="left"/>
            </w:pPr>
            <w:r>
              <w:rPr>
                <w:b w:val="0"/>
                <w:sz w:val="15"/>
                <w:szCs w:val="15"/>
              </w:rPr>
              <w:t xml:space="preserve">3</w:t>
            </w:r>
          </w:p>
          <w:p>
            <w:pPr>
              <w:spacing w:after="0" w:line="240" w:lineRule="auto"/>
              <w:jc w:val="left"/>
            </w:pPr>
            <w:r>
              <w:rPr>
                <w:b w:val="0"/>
                <w:sz w:val="15"/>
                <w:szCs w:val="15"/>
              </w:rPr>
              <w:t xml:space="preserve">Revisions</w:t>
            </w:r>
          </w:p>
        </w:tc>
        <w:tc>
          <w:tcPr>
            <w:tcW w:w="1290" w:type="dxa"/>
            <w:vAlign w:val="center"/>
          </w:tcPr>
          <w:p>
            <w:pPr>
              <w:spacing w:after="0" w:line="240" w:lineRule="auto"/>
              <w:jc w:val="left"/>
            </w:pPr>
            <w:r>
              <w:rPr>
                <w:b w:val="0"/>
                <w:sz w:val="15"/>
                <w:szCs w:val="15"/>
              </w:rPr>
              <w:t xml:space="preserve">4</w:t>
            </w:r>
          </w:p>
          <w:p>
            <w:pPr>
              <w:spacing w:after="0" w:line="240" w:lineRule="auto"/>
              <w:jc w:val="left"/>
            </w:pPr>
            <w:r>
              <w:rPr>
                <w:b w:val="0"/>
                <w:sz w:val="15"/>
                <w:szCs w:val="15"/>
              </w:rPr>
              <w:t xml:space="preserve">Revisions</w:t>
            </w:r>
          </w:p>
        </w:tc>
        <w:tc>
          <w:tcPr>
            <w:tcW w:w="1290" w:type="dxa"/>
            <w:vAlign w:val="center"/>
          </w:tcPr>
          <w:p>
            <w:pPr>
              <w:spacing w:after="0" w:line="240" w:lineRule="auto"/>
              <w:jc w:val="left"/>
            </w:pPr>
            <w:r>
              <w:rPr>
                <w:b w:val="0"/>
                <w:sz w:val="15"/>
                <w:szCs w:val="15"/>
              </w:rPr>
              <w:t xml:space="preserve">5</w:t>
            </w:r>
          </w:p>
          <w:p>
            <w:pPr>
              <w:spacing w:after="0" w:line="240" w:lineRule="auto"/>
              <w:jc w:val="left"/>
            </w:pPr>
            <w:r>
              <w:rPr>
                <w:b w:val="0"/>
                <w:sz w:val="15"/>
                <w:szCs w:val="15"/>
              </w:rPr>
              <w:t xml:space="preserve">Revisions</w:t>
            </w:r>
          </w:p>
        </w:tc>
        <w:tc>
          <w:tcPr>
            <w:tcW w:w="1290" w:type="dxa"/>
            <w:vAlign w:val="center"/>
          </w:tcPr>
          <w:p>
            <w:pPr>
              <w:spacing w:after="0" w:line="240" w:lineRule="auto"/>
              <w:jc w:val="center"/>
            </w:pPr>
            <w:r>
              <w:rPr>
                <w:b w:val="0"/>
                <w:sz w:val="15"/>
                <w:szCs w:val="15"/>
              </w:rPr>
              <w:t xml:space="preserve">6</w:t>
            </w:r>
          </w:p>
        </w:tc>
      </w:tr>
      <w:tr>
        <w:tc>
          <w:tcPr>
            <w:tcW w:w="1290" w:type="dxa"/>
            <w:vAlign w:val="center"/>
          </w:tcPr>
          <w:p>
            <w:pPr>
              <w:spacing w:after="0" w:line="240" w:lineRule="auto"/>
              <w:jc w:val="center"/>
            </w:pPr>
            <w:r>
              <w:rPr>
                <w:b w:val="0"/>
                <w:sz w:val="15"/>
                <w:szCs w:val="15"/>
              </w:rPr>
              <w:t xml:space="preserve">7</w:t>
            </w:r>
          </w:p>
        </w:tc>
        <w:tc>
          <w:tcPr>
            <w:tcW w:w="1290" w:type="dxa"/>
            <w:vAlign w:val="center"/>
          </w:tcPr>
          <w:p>
            <w:pPr>
              <w:spacing w:after="0" w:line="240" w:lineRule="auto"/>
              <w:jc w:val="left"/>
            </w:pPr>
            <w:r>
              <w:rPr>
                <w:b w:val="0"/>
                <w:sz w:val="15"/>
                <w:szCs w:val="15"/>
              </w:rPr>
              <w:t xml:space="preserve">8</w:t>
            </w:r>
          </w:p>
          <w:p>
            <w:pPr>
              <w:spacing w:after="0" w:line="240" w:lineRule="auto"/>
              <w:jc w:val="left"/>
            </w:pPr>
            <w:r>
              <w:rPr>
                <w:b w:val="0"/>
                <w:sz w:val="15"/>
                <w:szCs w:val="15"/>
              </w:rPr>
              <w:t xml:space="preserve">Re-defense</w:t>
            </w:r>
          </w:p>
        </w:tc>
        <w:tc>
          <w:tcPr>
            <w:tcW w:w="1290" w:type="dxa"/>
            <w:vAlign w:val="center"/>
          </w:tcPr>
          <w:p>
            <w:pPr>
              <w:spacing w:after="0" w:line="240" w:lineRule="auto"/>
              <w:jc w:val="left"/>
            </w:pPr>
            <w:r>
              <w:rPr>
                <w:b w:val="0"/>
                <w:sz w:val="15"/>
                <w:szCs w:val="15"/>
              </w:rPr>
              <w:t xml:space="preserve">9</w:t>
            </w:r>
          </w:p>
        </w:tc>
        <w:tc>
          <w:tcPr>
            <w:tcW w:w="1290" w:type="dxa"/>
            <w:vAlign w:val="center"/>
          </w:tcPr>
          <w:p>
            <w:pPr>
              <w:spacing w:after="0" w:line="240" w:lineRule="auto"/>
              <w:jc w:val="left"/>
            </w:pPr>
            <w:r>
              <w:rPr>
                <w:b w:val="0"/>
                <w:sz w:val="15"/>
                <w:szCs w:val="15"/>
              </w:rPr>
              <w:t xml:space="preserve">10</w:t>
            </w:r>
          </w:p>
        </w:tc>
        <w:tc>
          <w:tcPr>
            <w:tcW w:w="1290" w:type="dxa"/>
            <w:vAlign w:val="center"/>
          </w:tcPr>
          <w:p>
            <w:pPr>
              <w:spacing w:after="0" w:line="240" w:lineRule="auto"/>
              <w:jc w:val="left"/>
            </w:pPr>
            <w:r>
              <w:rPr>
                <w:b w:val="0"/>
                <w:sz w:val="15"/>
                <w:szCs w:val="15"/>
              </w:rPr>
              <w:t xml:space="preserve">11</w:t>
            </w:r>
          </w:p>
        </w:tc>
        <w:tc>
          <w:tcPr>
            <w:tcW w:w="1290" w:type="dxa"/>
            <w:vAlign w:val="center"/>
          </w:tcPr>
          <w:p>
            <w:pPr>
              <w:spacing w:after="0" w:line="240" w:lineRule="auto"/>
              <w:jc w:val="left"/>
            </w:pPr>
            <w:r>
              <w:rPr>
                <w:b w:val="0"/>
                <w:sz w:val="15"/>
                <w:szCs w:val="15"/>
              </w:rPr>
              <w:t xml:space="preserve">12</w:t>
            </w:r>
          </w:p>
        </w:tc>
        <w:tc>
          <w:tcPr>
            <w:tcW w:w="1290" w:type="dxa"/>
            <w:vAlign w:val="center"/>
          </w:tcPr>
          <w:p>
            <w:pPr>
              <w:spacing w:after="0" w:line="240" w:lineRule="auto"/>
              <w:jc w:val="center"/>
            </w:pPr>
            <w:r>
              <w:rPr>
                <w:b w:val="0"/>
                <w:sz w:val="15"/>
                <w:szCs w:val="15"/>
              </w:rPr>
              <w:t xml:space="preserve">13</w:t>
            </w:r>
          </w:p>
        </w:tc>
      </w:tr>
      <w:tr>
        <w:tc>
          <w:tcPr>
            <w:tcW w:w="1290" w:type="dxa"/>
            <w:vAlign w:val="center"/>
          </w:tcPr>
          <w:p>
            <w:pPr>
              <w:spacing w:after="0" w:line="240" w:lineRule="auto"/>
              <w:jc w:val="center"/>
            </w:pPr>
            <w:r>
              <w:rPr>
                <w:b w:val="0"/>
                <w:sz w:val="15"/>
                <w:szCs w:val="15"/>
              </w:rPr>
              <w:t xml:space="preserve">14</w:t>
            </w:r>
          </w:p>
        </w:tc>
        <w:tc>
          <w:tcPr>
            <w:tcW w:w="1290" w:type="dxa"/>
            <w:vAlign w:val="center"/>
          </w:tcPr>
          <w:p>
            <w:pPr>
              <w:spacing w:after="0" w:line="240" w:lineRule="auto"/>
              <w:jc w:val="left"/>
            </w:pPr>
            <w:r>
              <w:rPr>
                <w:b w:val="0"/>
                <w:sz w:val="15"/>
                <w:szCs w:val="15"/>
              </w:rPr>
              <w:t xml:space="preserve">15</w:t>
            </w:r>
          </w:p>
          <w:p>
            <w:pPr>
              <w:spacing w:after="0" w:line="240" w:lineRule="auto"/>
              <w:jc w:val="left"/>
            </w:pPr>
            <w:r>
              <w:rPr>
                <w:b w:val="0"/>
                <w:sz w:val="15"/>
                <w:szCs w:val="15"/>
              </w:rPr>
              <w:t xml:space="preserve">Hardening</w:t>
            </w:r>
          </w:p>
        </w:tc>
        <w:tc>
          <w:tcPr>
            <w:tcW w:w="1290" w:type="dxa"/>
            <w:vAlign w:val="center"/>
          </w:tcPr>
          <w:p>
            <w:pPr>
              <w:spacing w:after="0" w:line="240" w:lineRule="auto"/>
              <w:jc w:val="left"/>
            </w:pPr>
            <w:r>
              <w:rPr>
                <w:b w:val="0"/>
                <w:sz w:val="15"/>
                <w:szCs w:val="15"/>
              </w:rPr>
              <w:t xml:space="preserve">16</w:t>
            </w:r>
          </w:p>
          <w:p>
            <w:pPr>
              <w:spacing w:after="0" w:line="240" w:lineRule="auto"/>
              <w:jc w:val="left"/>
            </w:pPr>
            <w:r>
              <w:rPr>
                <w:b w:val="0"/>
                <w:sz w:val="15"/>
                <w:szCs w:val="15"/>
              </w:rPr>
              <w:t xml:space="preserve">Hardening</w:t>
            </w:r>
          </w:p>
        </w:tc>
        <w:tc>
          <w:tcPr>
            <w:tcW w:w="1290" w:type="dxa"/>
            <w:vAlign w:val="center"/>
          </w:tcPr>
          <w:p>
            <w:pPr>
              <w:spacing w:after="0" w:line="240" w:lineRule="auto"/>
              <w:jc w:val="left"/>
            </w:pPr>
            <w:r>
              <w:rPr>
                <w:b w:val="0"/>
                <w:sz w:val="15"/>
                <w:szCs w:val="15"/>
              </w:rPr>
              <w:t xml:space="preserve">17</w:t>
            </w:r>
          </w:p>
          <w:p>
            <w:pPr>
              <w:spacing w:after="0" w:line="240" w:lineRule="auto"/>
              <w:jc w:val="left"/>
            </w:pPr>
            <w:r>
              <w:rPr>
                <w:b w:val="0"/>
                <w:sz w:val="15"/>
                <w:szCs w:val="15"/>
              </w:rPr>
              <w:t xml:space="preserve">Hardening</w:t>
            </w:r>
          </w:p>
        </w:tc>
        <w:tc>
          <w:tcPr>
            <w:tcW w:w="1290" w:type="dxa"/>
            <w:vAlign w:val="center"/>
          </w:tcPr>
          <w:p>
            <w:pPr>
              <w:spacing w:after="0" w:line="240" w:lineRule="auto"/>
              <w:jc w:val="left"/>
            </w:pPr>
            <w:r>
              <w:rPr>
                <w:b w:val="0"/>
                <w:sz w:val="15"/>
                <w:szCs w:val="15"/>
              </w:rPr>
              <w:t xml:space="preserve">18</w:t>
            </w:r>
          </w:p>
        </w:tc>
        <w:tc>
          <w:tcPr>
            <w:tcW w:w="1290" w:type="dxa"/>
            <w:vAlign w:val="center"/>
          </w:tcPr>
          <w:p>
            <w:pPr>
              <w:spacing w:after="0" w:line="240" w:lineRule="auto"/>
              <w:jc w:val="left"/>
            </w:pPr>
            <w:r>
              <w:rPr>
                <w:b w:val="0"/>
                <w:sz w:val="15"/>
                <w:szCs w:val="15"/>
              </w:rPr>
              <w:t xml:space="preserve">19</w:t>
            </w:r>
          </w:p>
        </w:tc>
        <w:tc>
          <w:tcPr>
            <w:tcW w:w="1290" w:type="dxa"/>
            <w:vAlign w:val="center"/>
          </w:tcPr>
          <w:p>
            <w:pPr>
              <w:spacing w:after="0" w:line="240" w:lineRule="auto"/>
              <w:jc w:val="center"/>
            </w:pPr>
            <w:r>
              <w:rPr>
                <w:b w:val="0"/>
                <w:sz w:val="15"/>
                <w:szCs w:val="15"/>
              </w:rPr>
              <w:t xml:space="preserve">20</w:t>
            </w:r>
          </w:p>
        </w:tc>
      </w:tr>
      <w:tr>
        <w:tc>
          <w:tcPr>
            <w:tcW w:w="1290" w:type="dxa"/>
            <w:vAlign w:val="center"/>
          </w:tcPr>
          <w:p>
            <w:pPr>
              <w:spacing w:after="0" w:line="240" w:lineRule="auto"/>
              <w:jc w:val="center"/>
            </w:pPr>
            <w:r>
              <w:rPr>
                <w:b w:val="0"/>
                <w:sz w:val="15"/>
                <w:szCs w:val="15"/>
              </w:rPr>
              <w:t xml:space="preserve">21</w:t>
            </w:r>
          </w:p>
        </w:tc>
        <w:tc>
          <w:tcPr>
            <w:tcW w:w="1290" w:type="dxa"/>
            <w:vAlign w:val="center"/>
          </w:tcPr>
          <w:p>
            <w:pPr>
              <w:spacing w:after="0" w:line="240" w:lineRule="auto"/>
              <w:jc w:val="left"/>
            </w:pPr>
            <w:r>
              <w:rPr>
                <w:b w:val="0"/>
                <w:sz w:val="15"/>
                <w:szCs w:val="15"/>
              </w:rPr>
              <w:t xml:space="preserve">22</w:t>
            </w:r>
          </w:p>
          <w:p>
            <w:pPr>
              <w:spacing w:after="0" w:line="240" w:lineRule="auto"/>
              <w:jc w:val="left"/>
            </w:pPr>
            <w:r>
              <w:rPr>
                <w:b w:val="0"/>
                <w:sz w:val="15"/>
                <w:szCs w:val="15"/>
              </w:rPr>
              <w:t xml:space="preserve">Hardening</w:t>
            </w:r>
          </w:p>
        </w:tc>
        <w:tc>
          <w:tcPr>
            <w:tcW w:w="1290" w:type="dxa"/>
            <w:vAlign w:val="center"/>
          </w:tcPr>
          <w:p>
            <w:pPr>
              <w:spacing w:after="0" w:line="240" w:lineRule="auto"/>
              <w:jc w:val="left"/>
            </w:pPr>
            <w:r>
              <w:rPr>
                <w:b w:val="0"/>
                <w:sz w:val="15"/>
                <w:szCs w:val="15"/>
              </w:rPr>
              <w:t xml:space="preserve">23</w:t>
            </w:r>
          </w:p>
          <w:p>
            <w:pPr>
              <w:spacing w:after="0" w:line="240" w:lineRule="auto"/>
              <w:jc w:val="left"/>
            </w:pPr>
            <w:r>
              <w:rPr>
                <w:b w:val="0"/>
                <w:sz w:val="15"/>
                <w:szCs w:val="15"/>
              </w:rPr>
              <w:t xml:space="preserve">Hardening</w:t>
            </w:r>
          </w:p>
        </w:tc>
        <w:tc>
          <w:tcPr>
            <w:tcW w:w="1290" w:type="dxa"/>
            <w:vAlign w:val="center"/>
          </w:tcPr>
          <w:p>
            <w:pPr>
              <w:spacing w:after="0" w:line="240" w:lineRule="auto"/>
              <w:jc w:val="left"/>
            </w:pPr>
            <w:r>
              <w:rPr>
                <w:b w:val="0"/>
                <w:sz w:val="15"/>
                <w:szCs w:val="15"/>
              </w:rPr>
              <w:t xml:space="preserve">24</w:t>
            </w:r>
          </w:p>
          <w:p>
            <w:pPr>
              <w:spacing w:after="0" w:line="240" w:lineRule="auto"/>
              <w:jc w:val="left"/>
            </w:pPr>
            <w:r>
              <w:rPr>
                <w:b w:val="0"/>
                <w:sz w:val="15"/>
                <w:szCs w:val="15"/>
              </w:rPr>
              <w:t xml:space="preserve">Hardening</w:t>
            </w:r>
          </w:p>
        </w:tc>
        <w:tc>
          <w:tcPr>
            <w:tcW w:w="1290" w:type="dxa"/>
            <w:vAlign w:val="center"/>
          </w:tcPr>
          <w:p>
            <w:pPr>
              <w:spacing w:after="0" w:line="240" w:lineRule="auto"/>
              <w:jc w:val="left"/>
            </w:pPr>
            <w:r>
              <w:rPr>
                <w:b w:val="0"/>
                <w:sz w:val="15"/>
                <w:szCs w:val="15"/>
              </w:rPr>
              <w:t xml:space="preserve">25</w:t>
            </w:r>
          </w:p>
        </w:tc>
        <w:tc>
          <w:tcPr>
            <w:tcW w:w="1290" w:type="dxa"/>
            <w:vAlign w:val="center"/>
          </w:tcPr>
          <w:p>
            <w:pPr>
              <w:spacing w:after="0" w:line="240" w:lineRule="auto"/>
              <w:jc w:val="left"/>
            </w:pPr>
            <w:r>
              <w:rPr>
                <w:b w:val="0"/>
                <w:sz w:val="15"/>
                <w:szCs w:val="15"/>
              </w:rPr>
              <w:t xml:space="preserve">26</w:t>
            </w:r>
          </w:p>
        </w:tc>
        <w:tc>
          <w:tcPr>
            <w:tcW w:w="1290" w:type="dxa"/>
            <w:vAlign w:val="center"/>
          </w:tcPr>
          <w:p>
            <w:pPr>
              <w:spacing w:after="0" w:line="240" w:lineRule="auto"/>
              <w:jc w:val="center"/>
            </w:pPr>
            <w:r>
              <w:rPr>
                <w:b w:val="0"/>
                <w:sz w:val="15"/>
                <w:szCs w:val="15"/>
              </w:rPr>
              <w:t xml:space="preserve">27</w:t>
            </w:r>
          </w:p>
        </w:tc>
      </w:tr>
      <w:tr>
        <w:tc>
          <w:tcPr>
            <w:tcW w:w="1290" w:type="dxa"/>
            <w:vAlign w:val="center"/>
          </w:tcPr>
          <w:p>
            <w:pPr>
              <w:spacing w:after="0" w:line="240" w:lineRule="auto"/>
              <w:jc w:val="center"/>
            </w:pPr>
            <w:r>
              <w:rPr>
                <w:b w:val="0"/>
                <w:sz w:val="15"/>
                <w:szCs w:val="15"/>
              </w:rPr>
              <w:t xml:space="preserve">28</w:t>
            </w:r>
          </w:p>
        </w:tc>
        <w:tc>
          <w:tcPr>
            <w:tcW w:w="1290" w:type="dxa"/>
            <w:vAlign w:val="center"/>
          </w:tcPr>
          <w:p>
            <w:pPr>
              <w:spacing w:after="0" w:line="240" w:lineRule="auto"/>
              <w:jc w:val="left"/>
            </w:pPr>
            <w:r>
              <w:rPr>
                <w:b w:val="0"/>
                <w:sz w:val="15"/>
                <w:szCs w:val="15"/>
              </w:rPr>
              <w:t xml:space="preserve">29</w:t>
            </w:r>
          </w:p>
        </w:tc>
        <w:tc>
          <w:tcPr>
            <w:tcW w:w="1290" w:type="dxa"/>
            <w:vAlign w:val="center"/>
          </w:tcPr>
          <w:p>
            <w:pPr>
              <w:spacing w:after="0" w:line="240" w:lineRule="auto"/>
              <w:jc w:val="left"/>
            </w:pPr>
            <w:r>
              <w:rPr>
                <w:b w:val="0"/>
                <w:sz w:val="15"/>
                <w:szCs w:val="15"/>
              </w:rPr>
              <w:t xml:space="preserve">30</w:t>
            </w:r>
          </w:p>
        </w:tc>
        <w:tc>
          <w:tcPr>
            <w:tcW w:w="1290" w:type="dxa"/>
            <w:vAlign w:val="center"/>
          </w:tcPr>
          <w:p>
            <w:pPr>
              <w:spacing w:after="0" w:line="240" w:lineRule="auto"/>
              <w:jc w:val="left"/>
            </w:pPr>
            <w:r>
              <w:rPr>
                <w:b w:val="0"/>
              </w:rPr>
              <w:t xml:space="preserve"/>
            </w:r>
          </w:p>
        </w:tc>
        <w:tc>
          <w:tcPr>
            <w:tcW w:w="1290" w:type="dxa"/>
            <w:vAlign w:val="center"/>
          </w:tcPr>
          <w:p>
            <w:pPr>
              <w:spacing w:after="0" w:line="240" w:lineRule="auto"/>
              <w:jc w:val="left"/>
            </w:pPr>
            <w:r>
              <w:rPr>
                <w:b w:val="0"/>
              </w:rPr>
              <w:t xml:space="preserve"/>
            </w:r>
          </w:p>
        </w:tc>
        <w:tc>
          <w:tcPr>
            <w:tcW w:w="1290" w:type="dxa"/>
            <w:vAlign w:val="center"/>
          </w:tcPr>
          <w:p>
            <w:pPr>
              <w:spacing w:after="0" w:line="240" w:lineRule="auto"/>
              <w:jc w:val="left"/>
            </w:pPr>
            <w:r>
              <w:rPr>
                <w:b w:val="0"/>
              </w:rPr>
              <w:t xml:space="preserve"/>
            </w:r>
          </w:p>
        </w:tc>
        <w:tc>
          <w:tcPr>
            <w:tcW w:w="1290" w:type="dxa"/>
            <w:vAlign w:val="center"/>
          </w:tcPr>
          <w:p>
            <w:pPr>
              <w:spacing w:after="0" w:line="240" w:lineRule="auto"/>
              <w:jc w:val="center"/>
            </w:pPr>
            <w:r>
              <w:rPr>
                <w:b w:val="0"/>
              </w:rPr>
              <w:t xml:space="preserve"/>
            </w:r>
          </w:p>
        </w:tc>
      </w:tr>
    </w:tbl>
    <w:p>
      <w:pPr>
        <w:pStyle w:val="BodyofResearch"/>
        <w:spacing w:after="0" w:line="240" w:lineRule="auto"/>
      </w:pPr>
    </w:p>
    <w:p>
      <w:pPr>
        <w:pStyle w:val="BodyofResearch"/>
        <w:spacing w:after="0" w:line="240" w:lineRule="auto"/>
      </w:pPr>
    </w:p>
    <w:p>
      <w:pPr>
        <w:pStyle w:val="BodyofResearch"/>
        <w:spacing w:after="0" w:line="360" w:lineRule="auto"/>
        <w:jc w:val="center"/>
      </w:pPr>
      <w:r>
        <w:rPr>
          <w:b/>
          <w:sz w:val="24"/>
          <w:szCs w:val="24"/>
        </w:rPr>
        <w:t xml:space="preserve">JULY 2026</w:t>
      </w:r>
    </w:p>
    <w:tbl>
      <w:tblPr>
        <w:tblStyle w:val="TableGrid"/>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6" w:type="dxa"/>
          <w:bottom w:w="40" w:type="dxa"/>
          <w:right w:w="86" w:type="dxa"/>
        </w:tblCellMar>
        <w:tblLook w:val="04A0" w:firstRow="1" w:lastRow="0" w:firstColumn="1" w:lastColumn="0" w:noHBand="0" w:noVBand="1"/>
      </w:tblPr>
      <w:tblGrid>
        <w:gridCol w:w="1290"/>
        <w:gridCol w:w="1290"/>
        <w:gridCol w:w="1290"/>
        <w:gridCol w:w="1290"/>
        <w:gridCol w:w="1290"/>
        <w:gridCol w:w="1290"/>
        <w:gridCol w:w="1290"/>
      </w:tblGrid>
      <w:tr>
        <w:trPr>
          <w:tblHeader/>
          <w:cantSplit/>
        </w:trPr>
        <w:tc>
          <w:tcPr>
            <w:tcW w:w="1290" w:type="dxa"/>
            <w:vAlign w:val="center"/>
          </w:tcPr>
          <w:p>
            <w:pPr>
              <w:spacing w:after="0" w:line="240" w:lineRule="auto"/>
              <w:jc w:val="center"/>
            </w:pPr>
            <w:r>
              <w:rPr>
                <w:b/>
                <w:sz w:val="15"/>
                <w:szCs w:val="15"/>
              </w:rPr>
              <w:t xml:space="preserve">SUN</w:t>
            </w:r>
          </w:p>
        </w:tc>
        <w:tc>
          <w:tcPr>
            <w:tcW w:w="1290" w:type="dxa"/>
            <w:vAlign w:val="center"/>
          </w:tcPr>
          <w:p>
            <w:pPr>
              <w:spacing w:after="0" w:line="240" w:lineRule="auto"/>
              <w:jc w:val="center"/>
            </w:pPr>
            <w:r>
              <w:rPr>
                <w:b/>
                <w:sz w:val="15"/>
                <w:szCs w:val="15"/>
              </w:rPr>
              <w:t xml:space="preserve">MON</w:t>
            </w:r>
          </w:p>
        </w:tc>
        <w:tc>
          <w:tcPr>
            <w:tcW w:w="1290" w:type="dxa"/>
            <w:vAlign w:val="center"/>
          </w:tcPr>
          <w:p>
            <w:pPr>
              <w:spacing w:after="0" w:line="240" w:lineRule="auto"/>
              <w:jc w:val="center"/>
            </w:pPr>
            <w:r>
              <w:rPr>
                <w:b/>
                <w:sz w:val="15"/>
                <w:szCs w:val="15"/>
              </w:rPr>
              <w:t xml:space="preserve">TUE</w:t>
            </w:r>
          </w:p>
        </w:tc>
        <w:tc>
          <w:tcPr>
            <w:tcW w:w="1290" w:type="dxa"/>
            <w:vAlign w:val="center"/>
          </w:tcPr>
          <w:p>
            <w:pPr>
              <w:spacing w:after="0" w:line="240" w:lineRule="auto"/>
              <w:jc w:val="center"/>
            </w:pPr>
            <w:r>
              <w:rPr>
                <w:b/>
                <w:sz w:val="15"/>
                <w:szCs w:val="15"/>
              </w:rPr>
              <w:t xml:space="preserve">WED</w:t>
            </w:r>
          </w:p>
        </w:tc>
        <w:tc>
          <w:tcPr>
            <w:tcW w:w="1290" w:type="dxa"/>
            <w:vAlign w:val="center"/>
          </w:tcPr>
          <w:p>
            <w:pPr>
              <w:spacing w:after="0" w:line="240" w:lineRule="auto"/>
              <w:jc w:val="center"/>
            </w:pPr>
            <w:r>
              <w:rPr>
                <w:b/>
                <w:sz w:val="15"/>
                <w:szCs w:val="15"/>
              </w:rPr>
              <w:t xml:space="preserve">THU</w:t>
            </w:r>
          </w:p>
        </w:tc>
        <w:tc>
          <w:tcPr>
            <w:tcW w:w="1290" w:type="dxa"/>
            <w:vAlign w:val="center"/>
          </w:tcPr>
          <w:p>
            <w:pPr>
              <w:spacing w:after="0" w:line="240" w:lineRule="auto"/>
              <w:jc w:val="center"/>
            </w:pPr>
            <w:r>
              <w:rPr>
                <w:b/>
                <w:sz w:val="15"/>
                <w:szCs w:val="15"/>
              </w:rPr>
              <w:t xml:space="preserve">FRI</w:t>
            </w:r>
          </w:p>
        </w:tc>
        <w:tc>
          <w:tcPr>
            <w:tcW w:w="1290" w:type="dxa"/>
            <w:vAlign w:val="center"/>
          </w:tcPr>
          <w:p>
            <w:pPr>
              <w:spacing w:after="0" w:line="240" w:lineRule="auto"/>
              <w:jc w:val="center"/>
            </w:pPr>
            <w:r>
              <w:rPr>
                <w:b/>
                <w:sz w:val="15"/>
                <w:szCs w:val="15"/>
              </w:rPr>
              <w:t xml:space="preserve">SAT</w:t>
            </w:r>
          </w:p>
        </w:tc>
      </w:tr>
      <w:tr>
        <w:tc>
          <w:tcPr>
            <w:tcW w:w="1290" w:type="dxa"/>
            <w:vAlign w:val="center"/>
          </w:tcPr>
          <w:p>
            <w:pPr>
              <w:spacing w:after="0" w:line="240" w:lineRule="auto"/>
              <w:jc w:val="center"/>
            </w:pPr>
            <w:r>
              <w:rPr>
                <w:b w:val="0"/>
              </w:rPr>
              <w:t xml:space="preserve"/>
            </w:r>
          </w:p>
        </w:tc>
        <w:tc>
          <w:tcPr>
            <w:tcW w:w="1290" w:type="dxa"/>
            <w:vAlign w:val="center"/>
          </w:tcPr>
          <w:p>
            <w:pPr>
              <w:spacing w:after="0" w:line="240" w:lineRule="auto"/>
              <w:jc w:val="left"/>
            </w:pPr>
            <w:r>
              <w:rPr>
                <w:b w:val="0"/>
              </w:rPr>
              <w:t xml:space="preserve"/>
            </w:r>
          </w:p>
        </w:tc>
        <w:tc>
          <w:tcPr>
            <w:tcW w:w="1290" w:type="dxa"/>
            <w:vAlign w:val="center"/>
          </w:tcPr>
          <w:p>
            <w:pPr>
              <w:spacing w:after="0" w:line="240" w:lineRule="auto"/>
              <w:jc w:val="left"/>
            </w:pPr>
            <w:r>
              <w:rPr>
                <w:b w:val="0"/>
              </w:rPr>
              <w:t xml:space="preserve"/>
            </w:r>
          </w:p>
        </w:tc>
        <w:tc>
          <w:tcPr>
            <w:tcW w:w="1290" w:type="dxa"/>
            <w:vAlign w:val="center"/>
          </w:tcPr>
          <w:p>
            <w:pPr>
              <w:spacing w:after="0" w:line="240" w:lineRule="auto"/>
              <w:jc w:val="left"/>
            </w:pPr>
            <w:r>
              <w:rPr>
                <w:b w:val="0"/>
                <w:sz w:val="15"/>
                <w:szCs w:val="15"/>
              </w:rPr>
              <w:t xml:space="preserve">1</w:t>
            </w:r>
          </w:p>
        </w:tc>
        <w:tc>
          <w:tcPr>
            <w:tcW w:w="1290" w:type="dxa"/>
            <w:vAlign w:val="center"/>
          </w:tcPr>
          <w:p>
            <w:pPr>
              <w:spacing w:after="0" w:line="240" w:lineRule="auto"/>
              <w:jc w:val="left"/>
            </w:pPr>
            <w:r>
              <w:rPr>
                <w:b w:val="0"/>
                <w:sz w:val="15"/>
                <w:szCs w:val="15"/>
              </w:rPr>
              <w:t xml:space="preserve">2</w:t>
            </w:r>
          </w:p>
        </w:tc>
        <w:tc>
          <w:tcPr>
            <w:tcW w:w="1290" w:type="dxa"/>
            <w:vAlign w:val="center"/>
          </w:tcPr>
          <w:p>
            <w:pPr>
              <w:spacing w:after="0" w:line="240" w:lineRule="auto"/>
              <w:jc w:val="left"/>
            </w:pPr>
            <w:r>
              <w:rPr>
                <w:b w:val="0"/>
                <w:sz w:val="15"/>
                <w:szCs w:val="15"/>
              </w:rPr>
              <w:t xml:space="preserve">3</w:t>
            </w:r>
          </w:p>
        </w:tc>
        <w:tc>
          <w:tcPr>
            <w:tcW w:w="1290" w:type="dxa"/>
            <w:vAlign w:val="center"/>
          </w:tcPr>
          <w:p>
            <w:pPr>
              <w:spacing w:after="0" w:line="240" w:lineRule="auto"/>
              <w:jc w:val="center"/>
            </w:pPr>
            <w:r>
              <w:rPr>
                <w:b w:val="0"/>
                <w:sz w:val="15"/>
                <w:szCs w:val="15"/>
              </w:rPr>
              <w:t xml:space="preserve">4</w:t>
            </w:r>
          </w:p>
        </w:tc>
      </w:tr>
      <w:tr>
        <w:tc>
          <w:tcPr>
            <w:tcW w:w="1290" w:type="dxa"/>
            <w:vAlign w:val="center"/>
          </w:tcPr>
          <w:p>
            <w:pPr>
              <w:spacing w:after="0" w:line="240" w:lineRule="auto"/>
              <w:jc w:val="center"/>
            </w:pPr>
            <w:r>
              <w:rPr>
                <w:b w:val="0"/>
                <w:sz w:val="15"/>
                <w:szCs w:val="15"/>
              </w:rPr>
              <w:t xml:space="preserve">5</w:t>
            </w:r>
          </w:p>
        </w:tc>
        <w:tc>
          <w:tcPr>
            <w:tcW w:w="1290" w:type="dxa"/>
            <w:vAlign w:val="center"/>
          </w:tcPr>
          <w:p>
            <w:pPr>
              <w:spacing w:after="0" w:line="240" w:lineRule="auto"/>
              <w:jc w:val="left"/>
            </w:pPr>
            <w:r>
              <w:rPr>
                <w:b w:val="0"/>
                <w:sz w:val="15"/>
                <w:szCs w:val="15"/>
              </w:rPr>
              <w:t xml:space="preserve">6</w:t>
            </w:r>
          </w:p>
          <w:p>
            <w:pPr>
              <w:spacing w:after="0" w:line="240" w:lineRule="auto"/>
              <w:jc w:val="left"/>
            </w:pPr>
            <w:r>
              <w:rPr>
                <w:b w:val="0"/>
                <w:sz w:val="15"/>
                <w:szCs w:val="15"/>
              </w:rPr>
              <w:t xml:space="preserve">RA 11463 study</w:t>
            </w:r>
          </w:p>
        </w:tc>
        <w:tc>
          <w:tcPr>
            <w:tcW w:w="1290" w:type="dxa"/>
            <w:vAlign w:val="center"/>
          </w:tcPr>
          <w:p>
            <w:pPr>
              <w:spacing w:after="0" w:line="240" w:lineRule="auto"/>
              <w:jc w:val="left"/>
            </w:pPr>
            <w:r>
              <w:rPr>
                <w:b w:val="0"/>
                <w:sz w:val="15"/>
                <w:szCs w:val="15"/>
              </w:rPr>
              <w:t xml:space="preserve">7</w:t>
            </w:r>
          </w:p>
          <w:p>
            <w:pPr>
              <w:spacing w:after="0" w:line="240" w:lineRule="auto"/>
              <w:jc w:val="left"/>
            </w:pPr>
            <w:r>
              <w:rPr>
                <w:b w:val="0"/>
                <w:sz w:val="15"/>
                <w:szCs w:val="15"/>
              </w:rPr>
              <w:t xml:space="preserve">RA 11463 study</w:t>
            </w:r>
          </w:p>
        </w:tc>
        <w:tc>
          <w:tcPr>
            <w:tcW w:w="1290" w:type="dxa"/>
            <w:vAlign w:val="center"/>
          </w:tcPr>
          <w:p>
            <w:pPr>
              <w:spacing w:after="0" w:line="240" w:lineRule="auto"/>
              <w:jc w:val="left"/>
            </w:pPr>
            <w:r>
              <w:rPr>
                <w:b w:val="0"/>
                <w:sz w:val="15"/>
                <w:szCs w:val="15"/>
              </w:rPr>
              <w:t xml:space="preserve">8</w:t>
            </w:r>
          </w:p>
          <w:p>
            <w:pPr>
              <w:spacing w:after="0" w:line="240" w:lineRule="auto"/>
              <w:jc w:val="left"/>
            </w:pPr>
            <w:r>
              <w:rPr>
                <w:b w:val="0"/>
                <w:sz w:val="15"/>
                <w:szCs w:val="15"/>
              </w:rPr>
              <w:t xml:space="preserve">RA 11463 study</w:t>
            </w:r>
          </w:p>
        </w:tc>
        <w:tc>
          <w:tcPr>
            <w:tcW w:w="1290" w:type="dxa"/>
            <w:vAlign w:val="center"/>
          </w:tcPr>
          <w:p>
            <w:pPr>
              <w:spacing w:after="0" w:line="240" w:lineRule="auto"/>
              <w:jc w:val="left"/>
            </w:pPr>
            <w:r>
              <w:rPr>
                <w:b w:val="0"/>
                <w:sz w:val="15"/>
                <w:szCs w:val="15"/>
              </w:rPr>
              <w:t xml:space="preserve">9</w:t>
            </w:r>
          </w:p>
        </w:tc>
        <w:tc>
          <w:tcPr>
            <w:tcW w:w="1290" w:type="dxa"/>
            <w:vAlign w:val="center"/>
          </w:tcPr>
          <w:p>
            <w:pPr>
              <w:spacing w:after="0" w:line="240" w:lineRule="auto"/>
              <w:jc w:val="left"/>
            </w:pPr>
            <w:r>
              <w:rPr>
                <w:b w:val="0"/>
                <w:sz w:val="15"/>
                <w:szCs w:val="15"/>
              </w:rPr>
              <w:t xml:space="preserve">10</w:t>
            </w:r>
          </w:p>
        </w:tc>
        <w:tc>
          <w:tcPr>
            <w:tcW w:w="1290" w:type="dxa"/>
            <w:vAlign w:val="center"/>
          </w:tcPr>
          <w:p>
            <w:pPr>
              <w:spacing w:after="0" w:line="240" w:lineRule="auto"/>
              <w:jc w:val="center"/>
            </w:pPr>
            <w:r>
              <w:rPr>
                <w:b w:val="0"/>
                <w:sz w:val="15"/>
                <w:szCs w:val="15"/>
              </w:rPr>
              <w:t xml:space="preserve">11</w:t>
            </w:r>
          </w:p>
        </w:tc>
      </w:tr>
      <w:tr>
        <w:tc>
          <w:tcPr>
            <w:tcW w:w="1290" w:type="dxa"/>
            <w:vAlign w:val="center"/>
          </w:tcPr>
          <w:p>
            <w:pPr>
              <w:spacing w:after="0" w:line="240" w:lineRule="auto"/>
              <w:jc w:val="center"/>
            </w:pPr>
            <w:r>
              <w:rPr>
                <w:b w:val="0"/>
                <w:sz w:val="15"/>
                <w:szCs w:val="15"/>
              </w:rPr>
              <w:t xml:space="preserve">12</w:t>
            </w:r>
          </w:p>
        </w:tc>
        <w:tc>
          <w:tcPr>
            <w:tcW w:w="1290" w:type="dxa"/>
            <w:vAlign w:val="center"/>
          </w:tcPr>
          <w:p>
            <w:pPr>
              <w:spacing w:after="0" w:line="240" w:lineRule="auto"/>
              <w:jc w:val="left"/>
            </w:pPr>
            <w:r>
              <w:rPr>
                <w:b w:val="0"/>
                <w:sz w:val="15"/>
                <w:szCs w:val="15"/>
              </w:rPr>
              <w:t xml:space="preserve">13</w:t>
            </w:r>
          </w:p>
        </w:tc>
        <w:tc>
          <w:tcPr>
            <w:tcW w:w="1290" w:type="dxa"/>
            <w:vAlign w:val="center"/>
          </w:tcPr>
          <w:p>
            <w:pPr>
              <w:spacing w:after="0" w:line="240" w:lineRule="auto"/>
              <w:jc w:val="left"/>
            </w:pPr>
            <w:r>
              <w:rPr>
                <w:b w:val="0"/>
                <w:sz w:val="15"/>
                <w:szCs w:val="15"/>
              </w:rPr>
              <w:t xml:space="preserve">14</w:t>
            </w:r>
          </w:p>
        </w:tc>
        <w:tc>
          <w:tcPr>
            <w:tcW w:w="1290" w:type="dxa"/>
            <w:vAlign w:val="center"/>
          </w:tcPr>
          <w:p>
            <w:pPr>
              <w:spacing w:after="0" w:line="240" w:lineRule="auto"/>
              <w:jc w:val="left"/>
            </w:pPr>
            <w:r>
              <w:rPr>
                <w:b w:val="0"/>
                <w:sz w:val="15"/>
                <w:szCs w:val="15"/>
              </w:rPr>
              <w:t xml:space="preserve">15</w:t>
            </w:r>
          </w:p>
        </w:tc>
        <w:tc>
          <w:tcPr>
            <w:tcW w:w="1290" w:type="dxa"/>
            <w:vAlign w:val="center"/>
          </w:tcPr>
          <w:p>
            <w:pPr>
              <w:spacing w:after="0" w:line="240" w:lineRule="auto"/>
              <w:jc w:val="left"/>
            </w:pPr>
            <w:r>
              <w:rPr>
                <w:b w:val="0"/>
                <w:sz w:val="15"/>
                <w:szCs w:val="15"/>
              </w:rPr>
              <w:t xml:space="preserve">16</w:t>
            </w:r>
          </w:p>
        </w:tc>
        <w:tc>
          <w:tcPr>
            <w:tcW w:w="1290" w:type="dxa"/>
            <w:vAlign w:val="center"/>
          </w:tcPr>
          <w:p>
            <w:pPr>
              <w:spacing w:after="0" w:line="240" w:lineRule="auto"/>
              <w:jc w:val="left"/>
            </w:pPr>
            <w:r>
              <w:rPr>
                <w:b w:val="0"/>
                <w:sz w:val="15"/>
                <w:szCs w:val="15"/>
              </w:rPr>
              <w:t xml:space="preserve">17</w:t>
            </w:r>
          </w:p>
        </w:tc>
        <w:tc>
          <w:tcPr>
            <w:tcW w:w="1290" w:type="dxa"/>
            <w:vAlign w:val="center"/>
          </w:tcPr>
          <w:p>
            <w:pPr>
              <w:spacing w:after="0" w:line="240" w:lineRule="auto"/>
              <w:jc w:val="center"/>
            </w:pPr>
            <w:r>
              <w:rPr>
                <w:b w:val="0"/>
                <w:sz w:val="15"/>
                <w:szCs w:val="15"/>
              </w:rPr>
              <w:t xml:space="preserve">18</w:t>
            </w:r>
          </w:p>
        </w:tc>
      </w:tr>
      <w:tr>
        <w:tc>
          <w:tcPr>
            <w:tcW w:w="1290" w:type="dxa"/>
            <w:vAlign w:val="center"/>
          </w:tcPr>
          <w:p>
            <w:pPr>
              <w:spacing w:after="0" w:line="240" w:lineRule="auto"/>
              <w:jc w:val="center"/>
            </w:pPr>
            <w:r>
              <w:rPr>
                <w:b w:val="0"/>
                <w:sz w:val="15"/>
                <w:szCs w:val="15"/>
              </w:rPr>
              <w:t xml:space="preserve">19</w:t>
            </w:r>
          </w:p>
        </w:tc>
        <w:tc>
          <w:tcPr>
            <w:tcW w:w="1290" w:type="dxa"/>
            <w:vAlign w:val="center"/>
          </w:tcPr>
          <w:p>
            <w:pPr>
              <w:spacing w:after="0" w:line="240" w:lineRule="auto"/>
              <w:jc w:val="left"/>
            </w:pPr>
            <w:r>
              <w:rPr>
                <w:b w:val="0"/>
                <w:sz w:val="15"/>
                <w:szCs w:val="15"/>
              </w:rPr>
              <w:t xml:space="preserve">20</w:t>
            </w:r>
          </w:p>
          <w:p>
            <w:pPr>
              <w:spacing w:after="0" w:line="240" w:lineRule="auto"/>
              <w:jc w:val="left"/>
            </w:pPr>
            <w:r>
              <w:rPr>
                <w:b w:val="0"/>
                <w:sz w:val="15"/>
                <w:szCs w:val="15"/>
              </w:rPr>
              <w:t xml:space="preserve">Security sweep</w:t>
            </w:r>
          </w:p>
        </w:tc>
        <w:tc>
          <w:tcPr>
            <w:tcW w:w="1290" w:type="dxa"/>
            <w:vAlign w:val="center"/>
          </w:tcPr>
          <w:p>
            <w:pPr>
              <w:spacing w:after="0" w:line="240" w:lineRule="auto"/>
              <w:jc w:val="left"/>
            </w:pPr>
            <w:r>
              <w:rPr>
                <w:b w:val="0"/>
                <w:sz w:val="15"/>
                <w:szCs w:val="15"/>
              </w:rPr>
              <w:t xml:space="preserve">21</w:t>
            </w:r>
          </w:p>
          <w:p>
            <w:pPr>
              <w:spacing w:after="0" w:line="240" w:lineRule="auto"/>
              <w:jc w:val="left"/>
            </w:pPr>
            <w:r>
              <w:rPr>
                <w:b w:val="0"/>
                <w:sz w:val="15"/>
                <w:szCs w:val="15"/>
              </w:rPr>
              <w:t xml:space="preserve">Security sweep</w:t>
            </w:r>
          </w:p>
        </w:tc>
        <w:tc>
          <w:tcPr>
            <w:tcW w:w="1290" w:type="dxa"/>
            <w:vAlign w:val="center"/>
          </w:tcPr>
          <w:p>
            <w:pPr>
              <w:spacing w:after="0" w:line="240" w:lineRule="auto"/>
              <w:jc w:val="left"/>
            </w:pPr>
            <w:r>
              <w:rPr>
                <w:b w:val="0"/>
                <w:sz w:val="15"/>
                <w:szCs w:val="15"/>
              </w:rPr>
              <w:t xml:space="preserve">22</w:t>
            </w:r>
          </w:p>
          <w:p>
            <w:pPr>
              <w:spacing w:after="0" w:line="240" w:lineRule="auto"/>
              <w:jc w:val="left"/>
            </w:pPr>
            <w:r>
              <w:rPr>
                <w:b w:val="0"/>
                <w:sz w:val="15"/>
                <w:szCs w:val="15"/>
              </w:rPr>
              <w:t xml:space="preserve">Security sweep</w:t>
            </w:r>
          </w:p>
        </w:tc>
        <w:tc>
          <w:tcPr>
            <w:tcW w:w="1290" w:type="dxa"/>
            <w:vAlign w:val="center"/>
          </w:tcPr>
          <w:p>
            <w:pPr>
              <w:spacing w:after="0" w:line="240" w:lineRule="auto"/>
              <w:jc w:val="left"/>
            </w:pPr>
            <w:r>
              <w:rPr>
                <w:b w:val="0"/>
                <w:sz w:val="15"/>
                <w:szCs w:val="15"/>
              </w:rPr>
              <w:t xml:space="preserve">23</w:t>
            </w:r>
          </w:p>
          <w:p>
            <w:pPr>
              <w:spacing w:after="0" w:line="240" w:lineRule="auto"/>
              <w:jc w:val="left"/>
            </w:pPr>
            <w:r>
              <w:rPr>
                <w:b w:val="0"/>
                <w:sz w:val="15"/>
                <w:szCs w:val="15"/>
              </w:rPr>
              <w:t xml:space="preserve">Security sweep</w:t>
            </w:r>
          </w:p>
        </w:tc>
        <w:tc>
          <w:tcPr>
            <w:tcW w:w="1290" w:type="dxa"/>
            <w:vAlign w:val="center"/>
          </w:tcPr>
          <w:p>
            <w:pPr>
              <w:spacing w:after="0" w:line="240" w:lineRule="auto"/>
              <w:jc w:val="left"/>
            </w:pPr>
            <w:r>
              <w:rPr>
                <w:b w:val="0"/>
                <w:sz w:val="15"/>
                <w:szCs w:val="15"/>
              </w:rPr>
              <w:t xml:space="preserve">24</w:t>
            </w:r>
          </w:p>
          <w:p>
            <w:pPr>
              <w:spacing w:after="0" w:line="240" w:lineRule="auto"/>
              <w:jc w:val="left"/>
            </w:pPr>
            <w:r>
              <w:rPr>
                <w:b w:val="0"/>
                <w:sz w:val="15"/>
                <w:szCs w:val="15"/>
              </w:rPr>
              <w:t xml:space="preserve">Security sweep</w:t>
            </w:r>
          </w:p>
        </w:tc>
        <w:tc>
          <w:tcPr>
            <w:tcW w:w="1290" w:type="dxa"/>
            <w:vAlign w:val="center"/>
          </w:tcPr>
          <w:p>
            <w:pPr>
              <w:spacing w:after="0" w:line="240" w:lineRule="auto"/>
              <w:jc w:val="center"/>
            </w:pPr>
            <w:r>
              <w:rPr>
                <w:b w:val="0"/>
                <w:sz w:val="15"/>
                <w:szCs w:val="15"/>
              </w:rPr>
              <w:t xml:space="preserve">25</w:t>
            </w:r>
          </w:p>
        </w:tc>
      </w:tr>
      <w:tr>
        <w:tc>
          <w:tcPr>
            <w:tcW w:w="1290" w:type="dxa"/>
            <w:vAlign w:val="center"/>
          </w:tcPr>
          <w:p>
            <w:pPr>
              <w:spacing w:after="0" w:line="240" w:lineRule="auto"/>
              <w:jc w:val="center"/>
            </w:pPr>
            <w:r>
              <w:rPr>
                <w:b w:val="0"/>
                <w:sz w:val="15"/>
                <w:szCs w:val="15"/>
              </w:rPr>
              <w:t xml:space="preserve">26</w:t>
            </w:r>
          </w:p>
        </w:tc>
        <w:tc>
          <w:tcPr>
            <w:tcW w:w="1290" w:type="dxa"/>
            <w:vAlign w:val="center"/>
          </w:tcPr>
          <w:p>
            <w:pPr>
              <w:spacing w:after="0" w:line="240" w:lineRule="auto"/>
              <w:jc w:val="left"/>
            </w:pPr>
            <w:r>
              <w:rPr>
                <w:b w:val="0"/>
                <w:sz w:val="15"/>
                <w:szCs w:val="15"/>
              </w:rPr>
              <w:t xml:space="preserve">27</w:t>
            </w:r>
          </w:p>
        </w:tc>
        <w:tc>
          <w:tcPr>
            <w:tcW w:w="1290" w:type="dxa"/>
            <w:vAlign w:val="center"/>
          </w:tcPr>
          <w:p>
            <w:pPr>
              <w:spacing w:after="0" w:line="240" w:lineRule="auto"/>
              <w:jc w:val="left"/>
            </w:pPr>
            <w:r>
              <w:rPr>
                <w:b w:val="0"/>
                <w:sz w:val="15"/>
                <w:szCs w:val="15"/>
              </w:rPr>
              <w:t xml:space="preserve">28</w:t>
            </w:r>
          </w:p>
        </w:tc>
        <w:tc>
          <w:tcPr>
            <w:tcW w:w="1290" w:type="dxa"/>
            <w:vAlign w:val="center"/>
          </w:tcPr>
          <w:p>
            <w:pPr>
              <w:spacing w:after="0" w:line="240" w:lineRule="auto"/>
              <w:jc w:val="left"/>
            </w:pPr>
            <w:r>
              <w:rPr>
                <w:b w:val="0"/>
                <w:sz w:val="15"/>
                <w:szCs w:val="15"/>
              </w:rPr>
              <w:t xml:space="preserve">29</w:t>
            </w:r>
          </w:p>
        </w:tc>
        <w:tc>
          <w:tcPr>
            <w:tcW w:w="1290" w:type="dxa"/>
            <w:vAlign w:val="center"/>
          </w:tcPr>
          <w:p>
            <w:pPr>
              <w:spacing w:after="0" w:line="240" w:lineRule="auto"/>
              <w:jc w:val="left"/>
            </w:pPr>
            <w:r>
              <w:rPr>
                <w:b w:val="0"/>
                <w:sz w:val="15"/>
                <w:szCs w:val="15"/>
              </w:rPr>
              <w:t xml:space="preserve">30</w:t>
            </w:r>
          </w:p>
        </w:tc>
        <w:tc>
          <w:tcPr>
            <w:tcW w:w="1290" w:type="dxa"/>
            <w:vAlign w:val="center"/>
          </w:tcPr>
          <w:p>
            <w:pPr>
              <w:spacing w:after="0" w:line="240" w:lineRule="auto"/>
              <w:jc w:val="left"/>
            </w:pPr>
            <w:r>
              <w:rPr>
                <w:b w:val="0"/>
                <w:sz w:val="15"/>
                <w:szCs w:val="15"/>
              </w:rPr>
              <w:t xml:space="preserve">31</w:t>
            </w:r>
          </w:p>
        </w:tc>
        <w:tc>
          <w:tcPr>
            <w:tcW w:w="1290" w:type="dxa"/>
            <w:vAlign w:val="center"/>
          </w:tcPr>
          <w:p>
            <w:pPr>
              <w:spacing w:after="0" w:line="240" w:lineRule="auto"/>
              <w:jc w:val="center"/>
            </w:pPr>
            <w:r>
              <w:rPr>
                <w:b w:val="0"/>
              </w:rPr>
              <w:t xml:space="preserve"/>
            </w:r>
          </w:p>
        </w:tc>
      </w:tr>
    </w:tbl>
    <w:p>
      <w:pPr>
        <w:pStyle w:val="BodyofResearch"/>
        <w:spacing w:after="0" w:line="240" w:lineRule="auto"/>
      </w:pPr>
    </w:p>
    <w:p>
      <w:pPr>
        <w:pStyle w:val="BodyofResearch"/>
        <w:spacing w:after="0" w:line="360" w:lineRule="auto"/>
        <w:jc w:val="center"/>
      </w:pPr>
      <w:r>
        <w:rPr>
          <w:b w:val="0"/>
          <w:i/>
        </w:rPr>
        <w:t xml:space="preserve">Figure 10. Calendar of Activities - June to July 2026</w:t>
      </w:r>
    </w:p>
    <w:p>
      <w:r>
        <w:br w:type="page"/>
      </w:r>
    </w:p>
    <w:p>
      <w:pPr>
        <w:pStyle w:val="BodyofResearch"/>
        <w:spacing w:after="0" w:line="360" w:lineRule="auto"/>
        <w:jc w:val="center"/>
      </w:pPr>
      <w:r>
        <w:rPr>
          <w:b/>
          <w:sz w:val="24"/>
          <w:szCs w:val="24"/>
        </w:rPr>
        <w:t xml:space="preserve">AUGUST 2026</w:t>
      </w:r>
    </w:p>
    <w:tbl>
      <w:tblPr>
        <w:tblStyle w:val="TableGrid"/>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6" w:type="dxa"/>
          <w:bottom w:w="40" w:type="dxa"/>
          <w:right w:w="86" w:type="dxa"/>
        </w:tblCellMar>
        <w:tblLook w:val="04A0" w:firstRow="1" w:lastRow="0" w:firstColumn="1" w:lastColumn="0" w:noHBand="0" w:noVBand="1"/>
      </w:tblPr>
      <w:tblGrid>
        <w:gridCol w:w="1290"/>
        <w:gridCol w:w="1290"/>
        <w:gridCol w:w="1290"/>
        <w:gridCol w:w="1290"/>
        <w:gridCol w:w="1290"/>
        <w:gridCol w:w="1290"/>
        <w:gridCol w:w="1290"/>
      </w:tblGrid>
      <w:tr>
        <w:trPr>
          <w:tblHeader/>
          <w:cantSplit/>
        </w:trPr>
        <w:tc>
          <w:tcPr>
            <w:tcW w:w="1290" w:type="dxa"/>
            <w:vAlign w:val="center"/>
          </w:tcPr>
          <w:p>
            <w:pPr>
              <w:spacing w:after="0" w:line="240" w:lineRule="auto"/>
              <w:jc w:val="center"/>
            </w:pPr>
            <w:r>
              <w:rPr>
                <w:b/>
                <w:sz w:val="15"/>
                <w:szCs w:val="15"/>
              </w:rPr>
              <w:t xml:space="preserve">SUN</w:t>
            </w:r>
          </w:p>
        </w:tc>
        <w:tc>
          <w:tcPr>
            <w:tcW w:w="1290" w:type="dxa"/>
            <w:vAlign w:val="center"/>
          </w:tcPr>
          <w:p>
            <w:pPr>
              <w:spacing w:after="0" w:line="240" w:lineRule="auto"/>
              <w:jc w:val="center"/>
            </w:pPr>
            <w:r>
              <w:rPr>
                <w:b/>
                <w:sz w:val="15"/>
                <w:szCs w:val="15"/>
              </w:rPr>
              <w:t xml:space="preserve">MON</w:t>
            </w:r>
          </w:p>
        </w:tc>
        <w:tc>
          <w:tcPr>
            <w:tcW w:w="1290" w:type="dxa"/>
            <w:vAlign w:val="center"/>
          </w:tcPr>
          <w:p>
            <w:pPr>
              <w:spacing w:after="0" w:line="240" w:lineRule="auto"/>
              <w:jc w:val="center"/>
            </w:pPr>
            <w:r>
              <w:rPr>
                <w:b/>
                <w:sz w:val="15"/>
                <w:szCs w:val="15"/>
              </w:rPr>
              <w:t xml:space="preserve">TUE</w:t>
            </w:r>
          </w:p>
        </w:tc>
        <w:tc>
          <w:tcPr>
            <w:tcW w:w="1290" w:type="dxa"/>
            <w:vAlign w:val="center"/>
          </w:tcPr>
          <w:p>
            <w:pPr>
              <w:spacing w:after="0" w:line="240" w:lineRule="auto"/>
              <w:jc w:val="center"/>
            </w:pPr>
            <w:r>
              <w:rPr>
                <w:b/>
                <w:sz w:val="15"/>
                <w:szCs w:val="15"/>
              </w:rPr>
              <w:t xml:space="preserve">WED</w:t>
            </w:r>
          </w:p>
        </w:tc>
        <w:tc>
          <w:tcPr>
            <w:tcW w:w="1290" w:type="dxa"/>
            <w:vAlign w:val="center"/>
          </w:tcPr>
          <w:p>
            <w:pPr>
              <w:spacing w:after="0" w:line="240" w:lineRule="auto"/>
              <w:jc w:val="center"/>
            </w:pPr>
            <w:r>
              <w:rPr>
                <w:b/>
                <w:sz w:val="15"/>
                <w:szCs w:val="15"/>
              </w:rPr>
              <w:t xml:space="preserve">THU</w:t>
            </w:r>
          </w:p>
        </w:tc>
        <w:tc>
          <w:tcPr>
            <w:tcW w:w="1290" w:type="dxa"/>
            <w:vAlign w:val="center"/>
          </w:tcPr>
          <w:p>
            <w:pPr>
              <w:spacing w:after="0" w:line="240" w:lineRule="auto"/>
              <w:jc w:val="center"/>
            </w:pPr>
            <w:r>
              <w:rPr>
                <w:b/>
                <w:sz w:val="15"/>
                <w:szCs w:val="15"/>
              </w:rPr>
              <w:t xml:space="preserve">FRI</w:t>
            </w:r>
          </w:p>
        </w:tc>
        <w:tc>
          <w:tcPr>
            <w:tcW w:w="1290" w:type="dxa"/>
            <w:vAlign w:val="center"/>
          </w:tcPr>
          <w:p>
            <w:pPr>
              <w:spacing w:after="0" w:line="240" w:lineRule="auto"/>
              <w:jc w:val="center"/>
            </w:pPr>
            <w:r>
              <w:rPr>
                <w:b/>
                <w:sz w:val="15"/>
                <w:szCs w:val="15"/>
              </w:rPr>
              <w:t xml:space="preserve">SAT</w:t>
            </w:r>
          </w:p>
        </w:tc>
      </w:tr>
      <w:tr>
        <w:tc>
          <w:tcPr>
            <w:tcW w:w="1290" w:type="dxa"/>
            <w:vAlign w:val="center"/>
          </w:tcPr>
          <w:p>
            <w:pPr>
              <w:spacing w:after="0" w:line="240" w:lineRule="auto"/>
              <w:jc w:val="center"/>
            </w:pPr>
            <w:r>
              <w:rPr>
                <w:b w:val="0"/>
              </w:rPr>
              <w:t xml:space="preserve"/>
            </w:r>
          </w:p>
        </w:tc>
        <w:tc>
          <w:tcPr>
            <w:tcW w:w="1290" w:type="dxa"/>
            <w:vAlign w:val="center"/>
          </w:tcPr>
          <w:p>
            <w:pPr>
              <w:spacing w:after="0" w:line="240" w:lineRule="auto"/>
              <w:jc w:val="left"/>
            </w:pPr>
            <w:r>
              <w:rPr>
                <w:b w:val="0"/>
              </w:rPr>
              <w:t xml:space="preserve"/>
            </w:r>
          </w:p>
        </w:tc>
        <w:tc>
          <w:tcPr>
            <w:tcW w:w="1290" w:type="dxa"/>
            <w:vAlign w:val="center"/>
          </w:tcPr>
          <w:p>
            <w:pPr>
              <w:spacing w:after="0" w:line="240" w:lineRule="auto"/>
              <w:jc w:val="left"/>
            </w:pPr>
            <w:r>
              <w:rPr>
                <w:b w:val="0"/>
              </w:rPr>
              <w:t xml:space="preserve"/>
            </w:r>
          </w:p>
        </w:tc>
        <w:tc>
          <w:tcPr>
            <w:tcW w:w="1290" w:type="dxa"/>
            <w:vAlign w:val="center"/>
          </w:tcPr>
          <w:p>
            <w:pPr>
              <w:spacing w:after="0" w:line="240" w:lineRule="auto"/>
              <w:jc w:val="left"/>
            </w:pPr>
            <w:r>
              <w:rPr>
                <w:b w:val="0"/>
              </w:rPr>
              <w:t xml:space="preserve"/>
            </w:r>
          </w:p>
        </w:tc>
        <w:tc>
          <w:tcPr>
            <w:tcW w:w="1290" w:type="dxa"/>
            <w:vAlign w:val="center"/>
          </w:tcPr>
          <w:p>
            <w:pPr>
              <w:spacing w:after="0" w:line="240" w:lineRule="auto"/>
              <w:jc w:val="left"/>
            </w:pPr>
            <w:r>
              <w:rPr>
                <w:b w:val="0"/>
              </w:rPr>
              <w:t xml:space="preserve"/>
            </w:r>
          </w:p>
        </w:tc>
        <w:tc>
          <w:tcPr>
            <w:tcW w:w="1290" w:type="dxa"/>
            <w:vAlign w:val="center"/>
          </w:tcPr>
          <w:p>
            <w:pPr>
              <w:spacing w:after="0" w:line="240" w:lineRule="auto"/>
              <w:jc w:val="left"/>
            </w:pPr>
            <w:r>
              <w:rPr>
                <w:b w:val="0"/>
              </w:rPr>
              <w:t xml:space="preserve"/>
            </w:r>
          </w:p>
        </w:tc>
        <w:tc>
          <w:tcPr>
            <w:tcW w:w="1290" w:type="dxa"/>
            <w:vAlign w:val="center"/>
          </w:tcPr>
          <w:p>
            <w:pPr>
              <w:spacing w:after="0" w:line="240" w:lineRule="auto"/>
              <w:jc w:val="center"/>
            </w:pPr>
            <w:r>
              <w:rPr>
                <w:b w:val="0"/>
                <w:sz w:val="15"/>
                <w:szCs w:val="15"/>
              </w:rPr>
              <w:t xml:space="preserve">1</w:t>
            </w:r>
          </w:p>
        </w:tc>
      </w:tr>
      <w:tr>
        <w:tc>
          <w:tcPr>
            <w:tcW w:w="1290" w:type="dxa"/>
            <w:vAlign w:val="center"/>
          </w:tcPr>
          <w:p>
            <w:pPr>
              <w:spacing w:after="0" w:line="240" w:lineRule="auto"/>
              <w:jc w:val="center"/>
            </w:pPr>
            <w:r>
              <w:rPr>
                <w:b w:val="0"/>
                <w:sz w:val="15"/>
                <w:szCs w:val="15"/>
              </w:rPr>
              <w:t xml:space="preserve">2</w:t>
            </w:r>
          </w:p>
        </w:tc>
        <w:tc>
          <w:tcPr>
            <w:tcW w:w="1290" w:type="dxa"/>
            <w:vAlign w:val="center"/>
          </w:tcPr>
          <w:p>
            <w:pPr>
              <w:spacing w:after="0" w:line="240" w:lineRule="auto"/>
              <w:jc w:val="left"/>
            </w:pPr>
            <w:r>
              <w:rPr>
                <w:b w:val="0"/>
                <w:sz w:val="15"/>
                <w:szCs w:val="15"/>
              </w:rPr>
              <w:t xml:space="preserve">3</w:t>
            </w:r>
          </w:p>
          <w:p>
            <w:pPr>
              <w:spacing w:after="0" w:line="240" w:lineRule="auto"/>
              <w:jc w:val="left"/>
            </w:pPr>
            <w:r>
              <w:rPr>
                <w:b w:val="0"/>
                <w:sz w:val="15"/>
                <w:szCs w:val="15"/>
              </w:rPr>
              <w:t xml:space="preserve">Test suites + CI</w:t>
            </w:r>
          </w:p>
        </w:tc>
        <w:tc>
          <w:tcPr>
            <w:tcW w:w="1290" w:type="dxa"/>
            <w:vAlign w:val="center"/>
          </w:tcPr>
          <w:p>
            <w:pPr>
              <w:spacing w:after="0" w:line="240" w:lineRule="auto"/>
              <w:jc w:val="left"/>
            </w:pPr>
            <w:r>
              <w:rPr>
                <w:b w:val="0"/>
                <w:sz w:val="15"/>
                <w:szCs w:val="15"/>
              </w:rPr>
              <w:t xml:space="preserve">4</w:t>
            </w:r>
          </w:p>
          <w:p>
            <w:pPr>
              <w:spacing w:after="0" w:line="240" w:lineRule="auto"/>
              <w:jc w:val="left"/>
            </w:pPr>
            <w:r>
              <w:rPr>
                <w:b w:val="0"/>
                <w:sz w:val="15"/>
                <w:szCs w:val="15"/>
              </w:rPr>
              <w:t xml:space="preserve">Test suites + CI</w:t>
            </w:r>
          </w:p>
        </w:tc>
        <w:tc>
          <w:tcPr>
            <w:tcW w:w="1290" w:type="dxa"/>
            <w:vAlign w:val="center"/>
          </w:tcPr>
          <w:p>
            <w:pPr>
              <w:spacing w:after="0" w:line="240" w:lineRule="auto"/>
              <w:jc w:val="left"/>
            </w:pPr>
            <w:r>
              <w:rPr>
                <w:b w:val="0"/>
                <w:sz w:val="15"/>
                <w:szCs w:val="15"/>
              </w:rPr>
              <w:t xml:space="preserve">5</w:t>
            </w:r>
          </w:p>
          <w:p>
            <w:pPr>
              <w:spacing w:after="0" w:line="240" w:lineRule="auto"/>
              <w:jc w:val="left"/>
            </w:pPr>
            <w:r>
              <w:rPr>
                <w:b w:val="0"/>
                <w:sz w:val="15"/>
                <w:szCs w:val="15"/>
              </w:rPr>
              <w:t xml:space="preserve">Test suites + CI</w:t>
            </w:r>
          </w:p>
        </w:tc>
        <w:tc>
          <w:tcPr>
            <w:tcW w:w="1290" w:type="dxa"/>
            <w:vAlign w:val="center"/>
          </w:tcPr>
          <w:p>
            <w:pPr>
              <w:spacing w:after="0" w:line="240" w:lineRule="auto"/>
              <w:jc w:val="left"/>
            </w:pPr>
            <w:r>
              <w:rPr>
                <w:b w:val="0"/>
                <w:sz w:val="15"/>
                <w:szCs w:val="15"/>
              </w:rPr>
              <w:t xml:space="preserve">6</w:t>
            </w:r>
          </w:p>
          <w:p>
            <w:pPr>
              <w:spacing w:after="0" w:line="240" w:lineRule="auto"/>
              <w:jc w:val="left"/>
            </w:pPr>
            <w:r>
              <w:rPr>
                <w:b w:val="0"/>
                <w:sz w:val="15"/>
                <w:szCs w:val="15"/>
              </w:rPr>
              <w:t xml:space="preserve">Test suites + CI</w:t>
            </w:r>
          </w:p>
        </w:tc>
        <w:tc>
          <w:tcPr>
            <w:tcW w:w="1290" w:type="dxa"/>
            <w:vAlign w:val="center"/>
          </w:tcPr>
          <w:p>
            <w:pPr>
              <w:spacing w:after="0" w:line="240" w:lineRule="auto"/>
              <w:jc w:val="left"/>
            </w:pPr>
            <w:r>
              <w:rPr>
                <w:b w:val="0"/>
                <w:sz w:val="15"/>
                <w:szCs w:val="15"/>
              </w:rPr>
              <w:t xml:space="preserve">7</w:t>
            </w:r>
          </w:p>
          <w:p>
            <w:pPr>
              <w:spacing w:after="0" w:line="240" w:lineRule="auto"/>
              <w:jc w:val="left"/>
            </w:pPr>
            <w:r>
              <w:rPr>
                <w:b w:val="0"/>
                <w:sz w:val="15"/>
                <w:szCs w:val="15"/>
              </w:rPr>
              <w:t xml:space="preserve">Test suites + CI</w:t>
            </w:r>
          </w:p>
        </w:tc>
        <w:tc>
          <w:tcPr>
            <w:tcW w:w="1290" w:type="dxa"/>
            <w:vAlign w:val="center"/>
          </w:tcPr>
          <w:p>
            <w:pPr>
              <w:spacing w:after="0" w:line="240" w:lineRule="auto"/>
              <w:jc w:val="center"/>
            </w:pPr>
            <w:r>
              <w:rPr>
                <w:b w:val="0"/>
                <w:sz w:val="15"/>
                <w:szCs w:val="15"/>
              </w:rPr>
              <w:t xml:space="preserve">8</w:t>
            </w:r>
          </w:p>
        </w:tc>
      </w:tr>
      <w:tr>
        <w:tc>
          <w:tcPr>
            <w:tcW w:w="1290" w:type="dxa"/>
            <w:vAlign w:val="center"/>
          </w:tcPr>
          <w:p>
            <w:pPr>
              <w:spacing w:after="0" w:line="240" w:lineRule="auto"/>
              <w:jc w:val="center"/>
            </w:pPr>
            <w:r>
              <w:rPr>
                <w:b w:val="0"/>
                <w:sz w:val="15"/>
                <w:szCs w:val="15"/>
              </w:rPr>
              <w:t xml:space="preserve">9</w:t>
            </w:r>
          </w:p>
        </w:tc>
        <w:tc>
          <w:tcPr>
            <w:tcW w:w="1290" w:type="dxa"/>
            <w:vAlign w:val="center"/>
          </w:tcPr>
          <w:p>
            <w:pPr>
              <w:spacing w:after="0" w:line="240" w:lineRule="auto"/>
              <w:jc w:val="left"/>
            </w:pPr>
            <w:r>
              <w:rPr>
                <w:b w:val="0"/>
                <w:sz w:val="15"/>
                <w:szCs w:val="15"/>
              </w:rPr>
              <w:t xml:space="preserve">10</w:t>
            </w:r>
          </w:p>
        </w:tc>
        <w:tc>
          <w:tcPr>
            <w:tcW w:w="1290" w:type="dxa"/>
            <w:vAlign w:val="center"/>
          </w:tcPr>
          <w:p>
            <w:pPr>
              <w:spacing w:after="0" w:line="240" w:lineRule="auto"/>
              <w:jc w:val="left"/>
            </w:pPr>
            <w:r>
              <w:rPr>
                <w:b w:val="0"/>
                <w:sz w:val="15"/>
                <w:szCs w:val="15"/>
              </w:rPr>
              <w:t xml:space="preserve">11</w:t>
            </w:r>
          </w:p>
        </w:tc>
        <w:tc>
          <w:tcPr>
            <w:tcW w:w="1290" w:type="dxa"/>
            <w:vAlign w:val="center"/>
          </w:tcPr>
          <w:p>
            <w:pPr>
              <w:spacing w:after="0" w:line="240" w:lineRule="auto"/>
              <w:jc w:val="left"/>
            </w:pPr>
            <w:r>
              <w:rPr>
                <w:b w:val="0"/>
                <w:sz w:val="15"/>
                <w:szCs w:val="15"/>
              </w:rPr>
              <w:t xml:space="preserve">12</w:t>
            </w:r>
          </w:p>
        </w:tc>
        <w:tc>
          <w:tcPr>
            <w:tcW w:w="1290" w:type="dxa"/>
            <w:vAlign w:val="center"/>
          </w:tcPr>
          <w:p>
            <w:pPr>
              <w:spacing w:after="0" w:line="240" w:lineRule="auto"/>
              <w:jc w:val="left"/>
            </w:pPr>
            <w:r>
              <w:rPr>
                <w:b w:val="0"/>
                <w:sz w:val="15"/>
                <w:szCs w:val="15"/>
              </w:rPr>
              <w:t xml:space="preserve">13</w:t>
            </w:r>
          </w:p>
        </w:tc>
        <w:tc>
          <w:tcPr>
            <w:tcW w:w="1290" w:type="dxa"/>
            <w:vAlign w:val="center"/>
          </w:tcPr>
          <w:p>
            <w:pPr>
              <w:spacing w:after="0" w:line="240" w:lineRule="auto"/>
              <w:jc w:val="left"/>
            </w:pPr>
            <w:r>
              <w:rPr>
                <w:b w:val="0"/>
                <w:sz w:val="15"/>
                <w:szCs w:val="15"/>
              </w:rPr>
              <w:t xml:space="preserve">14</w:t>
            </w:r>
          </w:p>
        </w:tc>
        <w:tc>
          <w:tcPr>
            <w:tcW w:w="1290" w:type="dxa"/>
            <w:vAlign w:val="center"/>
          </w:tcPr>
          <w:p>
            <w:pPr>
              <w:spacing w:after="0" w:line="240" w:lineRule="auto"/>
              <w:jc w:val="center"/>
            </w:pPr>
            <w:r>
              <w:rPr>
                <w:b w:val="0"/>
                <w:sz w:val="15"/>
                <w:szCs w:val="15"/>
              </w:rPr>
              <w:t xml:space="preserve">15</w:t>
            </w:r>
          </w:p>
        </w:tc>
      </w:tr>
      <w:tr>
        <w:tc>
          <w:tcPr>
            <w:tcW w:w="1290" w:type="dxa"/>
            <w:vAlign w:val="center"/>
          </w:tcPr>
          <w:p>
            <w:pPr>
              <w:spacing w:after="0" w:line="240" w:lineRule="auto"/>
              <w:jc w:val="center"/>
            </w:pPr>
            <w:r>
              <w:rPr>
                <w:b w:val="0"/>
                <w:sz w:val="15"/>
                <w:szCs w:val="15"/>
              </w:rPr>
              <w:t xml:space="preserve">16</w:t>
            </w:r>
          </w:p>
        </w:tc>
        <w:tc>
          <w:tcPr>
            <w:tcW w:w="1290" w:type="dxa"/>
            <w:vAlign w:val="center"/>
          </w:tcPr>
          <w:p>
            <w:pPr>
              <w:spacing w:after="0" w:line="240" w:lineRule="auto"/>
              <w:jc w:val="left"/>
            </w:pPr>
            <w:r>
              <w:rPr>
                <w:b w:val="0"/>
                <w:sz w:val="15"/>
                <w:szCs w:val="15"/>
              </w:rPr>
              <w:t xml:space="preserve">17</w:t>
            </w:r>
          </w:p>
        </w:tc>
        <w:tc>
          <w:tcPr>
            <w:tcW w:w="1290" w:type="dxa"/>
            <w:vAlign w:val="center"/>
          </w:tcPr>
          <w:p>
            <w:pPr>
              <w:spacing w:after="0" w:line="240" w:lineRule="auto"/>
              <w:jc w:val="left"/>
            </w:pPr>
            <w:r>
              <w:rPr>
                <w:b w:val="0"/>
                <w:sz w:val="15"/>
                <w:szCs w:val="15"/>
              </w:rPr>
              <w:t xml:space="preserve">18</w:t>
            </w:r>
          </w:p>
        </w:tc>
        <w:tc>
          <w:tcPr>
            <w:tcW w:w="1290" w:type="dxa"/>
            <w:vAlign w:val="center"/>
          </w:tcPr>
          <w:p>
            <w:pPr>
              <w:spacing w:after="0" w:line="240" w:lineRule="auto"/>
              <w:jc w:val="left"/>
            </w:pPr>
            <w:r>
              <w:rPr>
                <w:b w:val="0"/>
                <w:sz w:val="15"/>
                <w:szCs w:val="15"/>
              </w:rPr>
              <w:t xml:space="preserve">19</w:t>
            </w:r>
          </w:p>
        </w:tc>
        <w:tc>
          <w:tcPr>
            <w:tcW w:w="1290" w:type="dxa"/>
            <w:vAlign w:val="center"/>
          </w:tcPr>
          <w:p>
            <w:pPr>
              <w:spacing w:after="0" w:line="240" w:lineRule="auto"/>
              <w:jc w:val="left"/>
            </w:pPr>
            <w:r>
              <w:rPr>
                <w:b w:val="0"/>
                <w:sz w:val="15"/>
                <w:szCs w:val="15"/>
              </w:rPr>
              <w:t xml:space="preserve">20</w:t>
            </w:r>
          </w:p>
        </w:tc>
        <w:tc>
          <w:tcPr>
            <w:tcW w:w="1290" w:type="dxa"/>
            <w:vAlign w:val="center"/>
          </w:tcPr>
          <w:p>
            <w:pPr>
              <w:spacing w:after="0" w:line="240" w:lineRule="auto"/>
              <w:jc w:val="left"/>
            </w:pPr>
            <w:r>
              <w:rPr>
                <w:b w:val="0"/>
                <w:sz w:val="15"/>
                <w:szCs w:val="15"/>
              </w:rPr>
              <w:t xml:space="preserve">21</w:t>
            </w:r>
          </w:p>
        </w:tc>
        <w:tc>
          <w:tcPr>
            <w:tcW w:w="1290" w:type="dxa"/>
            <w:vAlign w:val="center"/>
          </w:tcPr>
          <w:p>
            <w:pPr>
              <w:spacing w:after="0" w:line="240" w:lineRule="auto"/>
              <w:jc w:val="center"/>
            </w:pPr>
            <w:r>
              <w:rPr>
                <w:b w:val="0"/>
                <w:sz w:val="15"/>
                <w:szCs w:val="15"/>
              </w:rPr>
              <w:t xml:space="preserve">22</w:t>
            </w:r>
          </w:p>
        </w:tc>
      </w:tr>
      <w:tr>
        <w:tc>
          <w:tcPr>
            <w:tcW w:w="1290" w:type="dxa"/>
            <w:vAlign w:val="center"/>
          </w:tcPr>
          <w:p>
            <w:pPr>
              <w:spacing w:after="0" w:line="240" w:lineRule="auto"/>
              <w:jc w:val="center"/>
            </w:pPr>
            <w:r>
              <w:rPr>
                <w:b w:val="0"/>
                <w:sz w:val="15"/>
                <w:szCs w:val="15"/>
              </w:rPr>
              <w:t xml:space="preserve">23</w:t>
            </w:r>
          </w:p>
        </w:tc>
        <w:tc>
          <w:tcPr>
            <w:tcW w:w="1290" w:type="dxa"/>
            <w:vAlign w:val="center"/>
          </w:tcPr>
          <w:p>
            <w:pPr>
              <w:spacing w:after="0" w:line="240" w:lineRule="auto"/>
              <w:jc w:val="left"/>
            </w:pPr>
            <w:r>
              <w:rPr>
                <w:b w:val="0"/>
                <w:sz w:val="15"/>
                <w:szCs w:val="15"/>
              </w:rPr>
              <w:t xml:space="preserve">24</w:t>
            </w:r>
          </w:p>
          <w:p>
            <w:pPr>
              <w:spacing w:after="0" w:line="240" w:lineRule="auto"/>
              <w:jc w:val="left"/>
            </w:pPr>
            <w:r>
              <w:rPr>
                <w:b w:val="0"/>
                <w:sz w:val="15"/>
                <w:szCs w:val="15"/>
              </w:rPr>
              <w:t xml:space="preserve">Agency model</w:t>
            </w:r>
          </w:p>
        </w:tc>
        <w:tc>
          <w:tcPr>
            <w:tcW w:w="1290" w:type="dxa"/>
            <w:vAlign w:val="center"/>
          </w:tcPr>
          <w:p>
            <w:pPr>
              <w:spacing w:after="0" w:line="240" w:lineRule="auto"/>
              <w:jc w:val="left"/>
            </w:pPr>
            <w:r>
              <w:rPr>
                <w:b w:val="0"/>
                <w:sz w:val="15"/>
                <w:szCs w:val="15"/>
              </w:rPr>
              <w:t xml:space="preserve">25</w:t>
            </w:r>
          </w:p>
          <w:p>
            <w:pPr>
              <w:spacing w:after="0" w:line="240" w:lineRule="auto"/>
              <w:jc w:val="left"/>
            </w:pPr>
            <w:r>
              <w:rPr>
                <w:b w:val="0"/>
                <w:sz w:val="15"/>
                <w:szCs w:val="15"/>
              </w:rPr>
              <w:t xml:space="preserve">Agency model</w:t>
            </w:r>
          </w:p>
        </w:tc>
        <w:tc>
          <w:tcPr>
            <w:tcW w:w="1290" w:type="dxa"/>
            <w:vAlign w:val="center"/>
          </w:tcPr>
          <w:p>
            <w:pPr>
              <w:spacing w:after="0" w:line="240" w:lineRule="auto"/>
              <w:jc w:val="left"/>
            </w:pPr>
            <w:r>
              <w:rPr>
                <w:b w:val="0"/>
                <w:sz w:val="15"/>
                <w:szCs w:val="15"/>
              </w:rPr>
              <w:t xml:space="preserve">26</w:t>
            </w:r>
          </w:p>
          <w:p>
            <w:pPr>
              <w:spacing w:after="0" w:line="240" w:lineRule="auto"/>
              <w:jc w:val="left"/>
            </w:pPr>
            <w:r>
              <w:rPr>
                <w:b w:val="0"/>
                <w:sz w:val="15"/>
                <w:szCs w:val="15"/>
              </w:rPr>
              <w:t xml:space="preserve">Agency model</w:t>
            </w:r>
          </w:p>
        </w:tc>
        <w:tc>
          <w:tcPr>
            <w:tcW w:w="1290" w:type="dxa"/>
            <w:vAlign w:val="center"/>
          </w:tcPr>
          <w:p>
            <w:pPr>
              <w:spacing w:after="0" w:line="240" w:lineRule="auto"/>
              <w:jc w:val="left"/>
            </w:pPr>
            <w:r>
              <w:rPr>
                <w:b w:val="0"/>
                <w:sz w:val="15"/>
                <w:szCs w:val="15"/>
              </w:rPr>
              <w:t xml:space="preserve">27</w:t>
            </w:r>
          </w:p>
          <w:p>
            <w:pPr>
              <w:spacing w:after="0" w:line="240" w:lineRule="auto"/>
              <w:jc w:val="left"/>
            </w:pPr>
            <w:r>
              <w:rPr>
                <w:b w:val="0"/>
                <w:sz w:val="15"/>
                <w:szCs w:val="15"/>
              </w:rPr>
              <w:t xml:space="preserve">PhilHealth-first</w:t>
            </w:r>
          </w:p>
        </w:tc>
        <w:tc>
          <w:tcPr>
            <w:tcW w:w="1290" w:type="dxa"/>
            <w:vAlign w:val="center"/>
          </w:tcPr>
          <w:p>
            <w:pPr>
              <w:spacing w:after="0" w:line="240" w:lineRule="auto"/>
              <w:jc w:val="left"/>
            </w:pPr>
            <w:r>
              <w:rPr>
                <w:b w:val="0"/>
                <w:sz w:val="15"/>
                <w:szCs w:val="15"/>
              </w:rPr>
              <w:t xml:space="preserve">28</w:t>
            </w:r>
          </w:p>
          <w:p>
            <w:pPr>
              <w:spacing w:after="0" w:line="240" w:lineRule="auto"/>
              <w:jc w:val="left"/>
            </w:pPr>
            <w:r>
              <w:rPr>
                <w:b w:val="0"/>
                <w:sz w:val="15"/>
                <w:szCs w:val="15"/>
              </w:rPr>
              <w:t xml:space="preserve">PhilHealth-first</w:t>
            </w:r>
          </w:p>
        </w:tc>
        <w:tc>
          <w:tcPr>
            <w:tcW w:w="1290" w:type="dxa"/>
            <w:vAlign w:val="center"/>
          </w:tcPr>
          <w:p>
            <w:pPr>
              <w:spacing w:after="0" w:line="240" w:lineRule="auto"/>
              <w:jc w:val="center"/>
            </w:pPr>
            <w:r>
              <w:rPr>
                <w:b w:val="0"/>
                <w:sz w:val="15"/>
                <w:szCs w:val="15"/>
              </w:rPr>
              <w:t xml:space="preserve">29</w:t>
            </w:r>
          </w:p>
        </w:tc>
      </w:tr>
      <w:tr>
        <w:tc>
          <w:tcPr>
            <w:tcW w:w="1290" w:type="dxa"/>
            <w:vAlign w:val="center"/>
          </w:tcPr>
          <w:p>
            <w:pPr>
              <w:spacing w:after="0" w:line="240" w:lineRule="auto"/>
              <w:jc w:val="center"/>
            </w:pPr>
            <w:r>
              <w:rPr>
                <w:b w:val="0"/>
                <w:sz w:val="15"/>
                <w:szCs w:val="15"/>
              </w:rPr>
              <w:t xml:space="preserve">30</w:t>
            </w:r>
          </w:p>
        </w:tc>
        <w:tc>
          <w:tcPr>
            <w:tcW w:w="1290" w:type="dxa"/>
            <w:vAlign w:val="center"/>
          </w:tcPr>
          <w:p>
            <w:pPr>
              <w:spacing w:after="0" w:line="240" w:lineRule="auto"/>
              <w:jc w:val="left"/>
            </w:pPr>
            <w:r>
              <w:rPr>
                <w:b w:val="0"/>
                <w:sz w:val="15"/>
                <w:szCs w:val="15"/>
              </w:rPr>
              <w:t xml:space="preserve">31</w:t>
            </w:r>
          </w:p>
        </w:tc>
        <w:tc>
          <w:tcPr>
            <w:tcW w:w="1290" w:type="dxa"/>
            <w:vAlign w:val="center"/>
          </w:tcPr>
          <w:p>
            <w:pPr>
              <w:spacing w:after="0" w:line="240" w:lineRule="auto"/>
              <w:jc w:val="left"/>
            </w:pPr>
            <w:r>
              <w:rPr>
                <w:b w:val="0"/>
              </w:rPr>
              <w:t xml:space="preserve"/>
            </w:r>
          </w:p>
        </w:tc>
        <w:tc>
          <w:tcPr>
            <w:tcW w:w="1290" w:type="dxa"/>
            <w:vAlign w:val="center"/>
          </w:tcPr>
          <w:p>
            <w:pPr>
              <w:spacing w:after="0" w:line="240" w:lineRule="auto"/>
              <w:jc w:val="left"/>
            </w:pPr>
            <w:r>
              <w:rPr>
                <w:b w:val="0"/>
              </w:rPr>
              <w:t xml:space="preserve"/>
            </w:r>
          </w:p>
        </w:tc>
        <w:tc>
          <w:tcPr>
            <w:tcW w:w="1290" w:type="dxa"/>
            <w:vAlign w:val="center"/>
          </w:tcPr>
          <w:p>
            <w:pPr>
              <w:spacing w:after="0" w:line="240" w:lineRule="auto"/>
              <w:jc w:val="left"/>
            </w:pPr>
            <w:r>
              <w:rPr>
                <w:b w:val="0"/>
              </w:rPr>
              <w:t xml:space="preserve"/>
            </w:r>
          </w:p>
        </w:tc>
        <w:tc>
          <w:tcPr>
            <w:tcW w:w="1290" w:type="dxa"/>
            <w:vAlign w:val="center"/>
          </w:tcPr>
          <w:p>
            <w:pPr>
              <w:spacing w:after="0" w:line="240" w:lineRule="auto"/>
              <w:jc w:val="left"/>
            </w:pPr>
            <w:r>
              <w:rPr>
                <w:b w:val="0"/>
              </w:rPr>
              <w:t xml:space="preserve"/>
            </w:r>
          </w:p>
        </w:tc>
        <w:tc>
          <w:tcPr>
            <w:tcW w:w="1290" w:type="dxa"/>
            <w:vAlign w:val="center"/>
          </w:tcPr>
          <w:p>
            <w:pPr>
              <w:spacing w:after="0" w:line="240" w:lineRule="auto"/>
              <w:jc w:val="center"/>
            </w:pPr>
            <w:r>
              <w:rPr>
                <w:b w:val="0"/>
              </w:rPr>
              <w:t xml:space="preserve"/>
            </w:r>
          </w:p>
        </w:tc>
      </w:tr>
    </w:tbl>
    <w:p>
      <w:pPr>
        <w:pStyle w:val="BodyofResearch"/>
        <w:spacing w:after="0" w:line="240" w:lineRule="auto"/>
      </w:pPr>
    </w:p>
    <w:p>
      <w:pPr>
        <w:pStyle w:val="BodyofResearch"/>
        <w:spacing w:after="0" w:line="240" w:lineRule="auto"/>
      </w:pPr>
    </w:p>
    <w:p>
      <w:pPr>
        <w:pStyle w:val="BodyofResearch"/>
        <w:spacing w:after="0" w:line="360" w:lineRule="auto"/>
        <w:jc w:val="center"/>
      </w:pPr>
      <w:r>
        <w:rPr>
          <w:b/>
          <w:sz w:val="24"/>
          <w:szCs w:val="24"/>
        </w:rPr>
        <w:t xml:space="preserve">SEPTEMBER 2026</w:t>
      </w:r>
    </w:p>
    <w:tbl>
      <w:tblPr>
        <w:tblStyle w:val="TableGrid"/>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6" w:type="dxa"/>
          <w:bottom w:w="40" w:type="dxa"/>
          <w:right w:w="86" w:type="dxa"/>
        </w:tblCellMar>
        <w:tblLook w:val="04A0" w:firstRow="1" w:lastRow="0" w:firstColumn="1" w:lastColumn="0" w:noHBand="0" w:noVBand="1"/>
      </w:tblPr>
      <w:tblGrid>
        <w:gridCol w:w="1290"/>
        <w:gridCol w:w="1290"/>
        <w:gridCol w:w="1290"/>
        <w:gridCol w:w="1290"/>
        <w:gridCol w:w="1290"/>
        <w:gridCol w:w="1290"/>
        <w:gridCol w:w="1290"/>
      </w:tblGrid>
      <w:tr>
        <w:trPr>
          <w:tblHeader/>
          <w:cantSplit/>
        </w:trPr>
        <w:tc>
          <w:tcPr>
            <w:tcW w:w="1290" w:type="dxa"/>
            <w:vAlign w:val="center"/>
          </w:tcPr>
          <w:p>
            <w:pPr>
              <w:spacing w:after="0" w:line="240" w:lineRule="auto"/>
              <w:jc w:val="center"/>
            </w:pPr>
            <w:r>
              <w:rPr>
                <w:b/>
                <w:sz w:val="15"/>
                <w:szCs w:val="15"/>
              </w:rPr>
              <w:t xml:space="preserve">SUN</w:t>
            </w:r>
          </w:p>
        </w:tc>
        <w:tc>
          <w:tcPr>
            <w:tcW w:w="1290" w:type="dxa"/>
            <w:vAlign w:val="center"/>
          </w:tcPr>
          <w:p>
            <w:pPr>
              <w:spacing w:after="0" w:line="240" w:lineRule="auto"/>
              <w:jc w:val="center"/>
            </w:pPr>
            <w:r>
              <w:rPr>
                <w:b/>
                <w:sz w:val="15"/>
                <w:szCs w:val="15"/>
              </w:rPr>
              <w:t xml:space="preserve">MON</w:t>
            </w:r>
          </w:p>
        </w:tc>
        <w:tc>
          <w:tcPr>
            <w:tcW w:w="1290" w:type="dxa"/>
            <w:vAlign w:val="center"/>
          </w:tcPr>
          <w:p>
            <w:pPr>
              <w:spacing w:after="0" w:line="240" w:lineRule="auto"/>
              <w:jc w:val="center"/>
            </w:pPr>
            <w:r>
              <w:rPr>
                <w:b/>
                <w:sz w:val="15"/>
                <w:szCs w:val="15"/>
              </w:rPr>
              <w:t xml:space="preserve">TUE</w:t>
            </w:r>
          </w:p>
        </w:tc>
        <w:tc>
          <w:tcPr>
            <w:tcW w:w="1290" w:type="dxa"/>
            <w:vAlign w:val="center"/>
          </w:tcPr>
          <w:p>
            <w:pPr>
              <w:spacing w:after="0" w:line="240" w:lineRule="auto"/>
              <w:jc w:val="center"/>
            </w:pPr>
            <w:r>
              <w:rPr>
                <w:b/>
                <w:sz w:val="15"/>
                <w:szCs w:val="15"/>
              </w:rPr>
              <w:t xml:space="preserve">WED</w:t>
            </w:r>
          </w:p>
        </w:tc>
        <w:tc>
          <w:tcPr>
            <w:tcW w:w="1290" w:type="dxa"/>
            <w:vAlign w:val="center"/>
          </w:tcPr>
          <w:p>
            <w:pPr>
              <w:spacing w:after="0" w:line="240" w:lineRule="auto"/>
              <w:jc w:val="center"/>
            </w:pPr>
            <w:r>
              <w:rPr>
                <w:b/>
                <w:sz w:val="15"/>
                <w:szCs w:val="15"/>
              </w:rPr>
              <w:t xml:space="preserve">THU</w:t>
            </w:r>
          </w:p>
        </w:tc>
        <w:tc>
          <w:tcPr>
            <w:tcW w:w="1290" w:type="dxa"/>
            <w:vAlign w:val="center"/>
          </w:tcPr>
          <w:p>
            <w:pPr>
              <w:spacing w:after="0" w:line="240" w:lineRule="auto"/>
              <w:jc w:val="center"/>
            </w:pPr>
            <w:r>
              <w:rPr>
                <w:b/>
                <w:sz w:val="15"/>
                <w:szCs w:val="15"/>
              </w:rPr>
              <w:t xml:space="preserve">FRI</w:t>
            </w:r>
          </w:p>
        </w:tc>
        <w:tc>
          <w:tcPr>
            <w:tcW w:w="1290" w:type="dxa"/>
            <w:vAlign w:val="center"/>
          </w:tcPr>
          <w:p>
            <w:pPr>
              <w:spacing w:after="0" w:line="240" w:lineRule="auto"/>
              <w:jc w:val="center"/>
            </w:pPr>
            <w:r>
              <w:rPr>
                <w:b/>
                <w:sz w:val="15"/>
                <w:szCs w:val="15"/>
              </w:rPr>
              <w:t xml:space="preserve">SAT</w:t>
            </w:r>
          </w:p>
        </w:tc>
      </w:tr>
      <w:tr>
        <w:tc>
          <w:tcPr>
            <w:tcW w:w="1290" w:type="dxa"/>
            <w:vAlign w:val="center"/>
          </w:tcPr>
          <w:p>
            <w:pPr>
              <w:spacing w:after="0" w:line="240" w:lineRule="auto"/>
              <w:jc w:val="center"/>
            </w:pPr>
            <w:r>
              <w:rPr>
                <w:b w:val="0"/>
              </w:rPr>
              <w:t xml:space="preserve"/>
            </w:r>
          </w:p>
        </w:tc>
        <w:tc>
          <w:tcPr>
            <w:tcW w:w="1290" w:type="dxa"/>
            <w:vAlign w:val="center"/>
          </w:tcPr>
          <w:p>
            <w:pPr>
              <w:spacing w:after="0" w:line="240" w:lineRule="auto"/>
              <w:jc w:val="left"/>
            </w:pPr>
            <w:r>
              <w:rPr>
                <w:b w:val="0"/>
              </w:rPr>
              <w:t xml:space="preserve"/>
            </w:r>
          </w:p>
        </w:tc>
        <w:tc>
          <w:tcPr>
            <w:tcW w:w="1290" w:type="dxa"/>
            <w:vAlign w:val="center"/>
          </w:tcPr>
          <w:p>
            <w:pPr>
              <w:spacing w:after="0" w:line="240" w:lineRule="auto"/>
              <w:jc w:val="left"/>
            </w:pPr>
            <w:r>
              <w:rPr>
                <w:b w:val="0"/>
                <w:sz w:val="15"/>
                <w:szCs w:val="15"/>
              </w:rPr>
              <w:t xml:space="preserve">1</w:t>
            </w:r>
          </w:p>
          <w:p>
            <w:pPr>
              <w:spacing w:after="0" w:line="240" w:lineRule="auto"/>
              <w:jc w:val="left"/>
            </w:pPr>
            <w:r>
              <w:rPr>
                <w:b w:val="0"/>
                <w:sz w:val="15"/>
                <w:szCs w:val="15"/>
              </w:rPr>
              <w:t xml:space="preserve">Appointments</w:t>
            </w:r>
          </w:p>
        </w:tc>
        <w:tc>
          <w:tcPr>
            <w:tcW w:w="1290" w:type="dxa"/>
            <w:vAlign w:val="center"/>
          </w:tcPr>
          <w:p>
            <w:pPr>
              <w:spacing w:after="0" w:line="240" w:lineRule="auto"/>
              <w:jc w:val="left"/>
            </w:pPr>
            <w:r>
              <w:rPr>
                <w:b w:val="0"/>
                <w:sz w:val="15"/>
                <w:szCs w:val="15"/>
              </w:rPr>
              <w:t xml:space="preserve">2</w:t>
            </w:r>
          </w:p>
          <w:p>
            <w:pPr>
              <w:spacing w:after="0" w:line="240" w:lineRule="auto"/>
              <w:jc w:val="left"/>
            </w:pPr>
            <w:r>
              <w:rPr>
                <w:b w:val="0"/>
                <w:sz w:val="15"/>
                <w:szCs w:val="15"/>
              </w:rPr>
              <w:t xml:space="preserve">Appointments</w:t>
            </w:r>
          </w:p>
        </w:tc>
        <w:tc>
          <w:tcPr>
            <w:tcW w:w="1290" w:type="dxa"/>
            <w:vAlign w:val="center"/>
          </w:tcPr>
          <w:p>
            <w:pPr>
              <w:spacing w:after="0" w:line="240" w:lineRule="auto"/>
              <w:jc w:val="left"/>
            </w:pPr>
            <w:r>
              <w:rPr>
                <w:b w:val="0"/>
                <w:sz w:val="15"/>
                <w:szCs w:val="15"/>
              </w:rPr>
              <w:t xml:space="preserve">3</w:t>
            </w:r>
          </w:p>
          <w:p>
            <w:pPr>
              <w:spacing w:after="0" w:line="240" w:lineRule="auto"/>
              <w:jc w:val="left"/>
            </w:pPr>
            <w:r>
              <w:rPr>
                <w:b w:val="0"/>
                <w:sz w:val="15"/>
                <w:szCs w:val="15"/>
              </w:rPr>
              <w:t xml:space="preserve">Appointments</w:t>
            </w:r>
          </w:p>
        </w:tc>
        <w:tc>
          <w:tcPr>
            <w:tcW w:w="1290" w:type="dxa"/>
            <w:vAlign w:val="center"/>
          </w:tcPr>
          <w:p>
            <w:pPr>
              <w:spacing w:after="0" w:line="240" w:lineRule="auto"/>
              <w:jc w:val="left"/>
            </w:pPr>
            <w:r>
              <w:rPr>
                <w:b w:val="0"/>
                <w:sz w:val="15"/>
                <w:szCs w:val="15"/>
              </w:rPr>
              <w:t xml:space="preserve">4</w:t>
            </w:r>
          </w:p>
          <w:p>
            <w:pPr>
              <w:spacing w:after="0" w:line="240" w:lineRule="auto"/>
              <w:jc w:val="left"/>
            </w:pPr>
            <w:r>
              <w:rPr>
                <w:b w:val="0"/>
                <w:sz w:val="15"/>
                <w:szCs w:val="15"/>
              </w:rPr>
              <w:t xml:space="preserve">MFA + App Check</w:t>
            </w:r>
          </w:p>
        </w:tc>
        <w:tc>
          <w:tcPr>
            <w:tcW w:w="1290" w:type="dxa"/>
            <w:vAlign w:val="center"/>
          </w:tcPr>
          <w:p>
            <w:pPr>
              <w:spacing w:after="0" w:line="240" w:lineRule="auto"/>
              <w:jc w:val="center"/>
            </w:pPr>
            <w:r>
              <w:rPr>
                <w:b w:val="0"/>
                <w:sz w:val="15"/>
                <w:szCs w:val="15"/>
              </w:rPr>
              <w:t xml:space="preserve">5</w:t>
            </w:r>
          </w:p>
        </w:tc>
      </w:tr>
      <w:tr>
        <w:tc>
          <w:tcPr>
            <w:tcW w:w="1290" w:type="dxa"/>
            <w:vAlign w:val="center"/>
          </w:tcPr>
          <w:p>
            <w:pPr>
              <w:spacing w:after="0" w:line="240" w:lineRule="auto"/>
              <w:jc w:val="center"/>
            </w:pPr>
            <w:r>
              <w:rPr>
                <w:b w:val="0"/>
                <w:sz w:val="15"/>
                <w:szCs w:val="15"/>
              </w:rPr>
              <w:t xml:space="preserve">6</w:t>
            </w:r>
          </w:p>
        </w:tc>
        <w:tc>
          <w:tcPr>
            <w:tcW w:w="1290" w:type="dxa"/>
            <w:vAlign w:val="center"/>
          </w:tcPr>
          <w:p>
            <w:pPr>
              <w:spacing w:after="0" w:line="240" w:lineRule="auto"/>
              <w:jc w:val="left"/>
            </w:pPr>
            <w:r>
              <w:rPr>
                <w:b w:val="0"/>
                <w:sz w:val="15"/>
                <w:szCs w:val="15"/>
              </w:rPr>
              <w:t xml:space="preserve">7</w:t>
            </w:r>
          </w:p>
          <w:p>
            <w:pPr>
              <w:spacing w:after="0" w:line="240" w:lineRule="auto"/>
              <w:jc w:val="left"/>
            </w:pPr>
            <w:r>
              <w:rPr>
                <w:b w:val="0"/>
                <w:sz w:val="15"/>
                <w:szCs w:val="15"/>
              </w:rPr>
              <w:t xml:space="preserve">Manuscript</w:t>
            </w:r>
          </w:p>
        </w:tc>
        <w:tc>
          <w:tcPr>
            <w:tcW w:w="1290" w:type="dxa"/>
            <w:vAlign w:val="center"/>
          </w:tcPr>
          <w:p>
            <w:pPr>
              <w:spacing w:after="0" w:line="240" w:lineRule="auto"/>
              <w:jc w:val="left"/>
            </w:pPr>
            <w:r>
              <w:rPr>
                <w:b w:val="0"/>
                <w:sz w:val="15"/>
                <w:szCs w:val="15"/>
              </w:rPr>
              <w:t xml:space="preserve">8</w:t>
            </w:r>
          </w:p>
          <w:p>
            <w:pPr>
              <w:spacing w:after="0" w:line="240" w:lineRule="auto"/>
              <w:jc w:val="left"/>
            </w:pPr>
            <w:r>
              <w:rPr>
                <w:b w:val="0"/>
                <w:sz w:val="15"/>
                <w:szCs w:val="15"/>
              </w:rPr>
              <w:t xml:space="preserve">Manuscript</w:t>
            </w:r>
          </w:p>
        </w:tc>
        <w:tc>
          <w:tcPr>
            <w:tcW w:w="1290" w:type="dxa"/>
            <w:vAlign w:val="center"/>
          </w:tcPr>
          <w:p>
            <w:pPr>
              <w:spacing w:after="0" w:line="240" w:lineRule="auto"/>
              <w:jc w:val="left"/>
            </w:pPr>
            <w:r>
              <w:rPr>
                <w:b w:val="0"/>
                <w:sz w:val="15"/>
                <w:szCs w:val="15"/>
              </w:rPr>
              <w:t xml:space="preserve">9</w:t>
            </w:r>
          </w:p>
          <w:p>
            <w:pPr>
              <w:spacing w:after="0" w:line="240" w:lineRule="auto"/>
              <w:jc w:val="left"/>
            </w:pPr>
            <w:r>
              <w:rPr>
                <w:b w:val="0"/>
                <w:sz w:val="15"/>
                <w:szCs w:val="15"/>
              </w:rPr>
              <w:t xml:space="preserve">Manuscript</w:t>
            </w:r>
          </w:p>
        </w:tc>
        <w:tc>
          <w:tcPr>
            <w:tcW w:w="1290" w:type="dxa"/>
            <w:vAlign w:val="center"/>
          </w:tcPr>
          <w:p>
            <w:pPr>
              <w:spacing w:after="0" w:line="240" w:lineRule="auto"/>
              <w:jc w:val="left"/>
            </w:pPr>
            <w:r>
              <w:rPr>
                <w:b w:val="0"/>
                <w:sz w:val="15"/>
                <w:szCs w:val="15"/>
              </w:rPr>
              <w:t xml:space="preserve">10</w:t>
            </w:r>
          </w:p>
          <w:p>
            <w:pPr>
              <w:spacing w:after="0" w:line="240" w:lineRule="auto"/>
              <w:jc w:val="left"/>
            </w:pPr>
            <w:r>
              <w:rPr>
                <w:b w:val="0"/>
                <w:sz w:val="15"/>
                <w:szCs w:val="15"/>
              </w:rPr>
              <w:t xml:space="preserve">Manuscript</w:t>
            </w:r>
          </w:p>
        </w:tc>
        <w:tc>
          <w:tcPr>
            <w:tcW w:w="1290" w:type="dxa"/>
            <w:vAlign w:val="center"/>
          </w:tcPr>
          <w:p>
            <w:pPr>
              <w:spacing w:after="0" w:line="240" w:lineRule="auto"/>
              <w:jc w:val="left"/>
            </w:pPr>
            <w:r>
              <w:rPr>
                <w:b w:val="0"/>
                <w:sz w:val="15"/>
                <w:szCs w:val="15"/>
              </w:rPr>
              <w:t xml:space="preserve">11</w:t>
            </w:r>
          </w:p>
          <w:p>
            <w:pPr>
              <w:spacing w:after="0" w:line="240" w:lineRule="auto"/>
              <w:jc w:val="left"/>
            </w:pPr>
            <w:r>
              <w:rPr>
                <w:b w:val="0"/>
                <w:sz w:val="15"/>
                <w:szCs w:val="15"/>
              </w:rPr>
              <w:t xml:space="preserve">Submission</w:t>
            </w:r>
          </w:p>
        </w:tc>
        <w:tc>
          <w:tcPr>
            <w:tcW w:w="1290" w:type="dxa"/>
            <w:vAlign w:val="center"/>
          </w:tcPr>
          <w:p>
            <w:pPr>
              <w:spacing w:after="0" w:line="240" w:lineRule="auto"/>
              <w:jc w:val="center"/>
            </w:pPr>
            <w:r>
              <w:rPr>
                <w:b w:val="0"/>
                <w:sz w:val="15"/>
                <w:szCs w:val="15"/>
              </w:rPr>
              <w:t xml:space="preserve">12</w:t>
            </w:r>
          </w:p>
        </w:tc>
      </w:tr>
      <w:tr>
        <w:tc>
          <w:tcPr>
            <w:tcW w:w="1290" w:type="dxa"/>
            <w:vAlign w:val="center"/>
          </w:tcPr>
          <w:p>
            <w:pPr>
              <w:spacing w:after="0" w:line="240" w:lineRule="auto"/>
              <w:jc w:val="center"/>
            </w:pPr>
            <w:r>
              <w:rPr>
                <w:b w:val="0"/>
                <w:sz w:val="15"/>
                <w:szCs w:val="15"/>
              </w:rPr>
              <w:t xml:space="preserve">13</w:t>
            </w:r>
          </w:p>
        </w:tc>
        <w:tc>
          <w:tcPr>
            <w:tcW w:w="1290" w:type="dxa"/>
            <w:vAlign w:val="center"/>
          </w:tcPr>
          <w:p>
            <w:pPr>
              <w:spacing w:after="0" w:line="240" w:lineRule="auto"/>
              <w:jc w:val="left"/>
            </w:pPr>
            <w:r>
              <w:rPr>
                <w:b w:val="0"/>
                <w:sz w:val="15"/>
                <w:szCs w:val="15"/>
              </w:rPr>
              <w:t xml:space="preserve">14</w:t>
            </w:r>
          </w:p>
        </w:tc>
        <w:tc>
          <w:tcPr>
            <w:tcW w:w="1290" w:type="dxa"/>
            <w:vAlign w:val="center"/>
          </w:tcPr>
          <w:p>
            <w:pPr>
              <w:spacing w:after="0" w:line="240" w:lineRule="auto"/>
              <w:jc w:val="left"/>
            </w:pPr>
            <w:r>
              <w:rPr>
                <w:b w:val="0"/>
                <w:sz w:val="15"/>
                <w:szCs w:val="15"/>
              </w:rPr>
              <w:t xml:space="preserve">15</w:t>
            </w:r>
          </w:p>
        </w:tc>
        <w:tc>
          <w:tcPr>
            <w:tcW w:w="1290" w:type="dxa"/>
            <w:vAlign w:val="center"/>
          </w:tcPr>
          <w:p>
            <w:pPr>
              <w:spacing w:after="0" w:line="240" w:lineRule="auto"/>
              <w:jc w:val="left"/>
            </w:pPr>
            <w:r>
              <w:rPr>
                <w:b w:val="0"/>
                <w:sz w:val="15"/>
                <w:szCs w:val="15"/>
              </w:rPr>
              <w:t xml:space="preserve">16</w:t>
            </w:r>
          </w:p>
        </w:tc>
        <w:tc>
          <w:tcPr>
            <w:tcW w:w="1290" w:type="dxa"/>
            <w:vAlign w:val="center"/>
          </w:tcPr>
          <w:p>
            <w:pPr>
              <w:spacing w:after="0" w:line="240" w:lineRule="auto"/>
              <w:jc w:val="left"/>
            </w:pPr>
            <w:r>
              <w:rPr>
                <w:b w:val="0"/>
                <w:sz w:val="15"/>
                <w:szCs w:val="15"/>
              </w:rPr>
              <w:t xml:space="preserve">17</w:t>
            </w:r>
          </w:p>
        </w:tc>
        <w:tc>
          <w:tcPr>
            <w:tcW w:w="1290" w:type="dxa"/>
            <w:vAlign w:val="center"/>
          </w:tcPr>
          <w:p>
            <w:pPr>
              <w:spacing w:after="0" w:line="240" w:lineRule="auto"/>
              <w:jc w:val="left"/>
            </w:pPr>
            <w:r>
              <w:rPr>
                <w:b w:val="0"/>
                <w:sz w:val="15"/>
                <w:szCs w:val="15"/>
              </w:rPr>
              <w:t xml:space="preserve">18</w:t>
            </w:r>
          </w:p>
        </w:tc>
        <w:tc>
          <w:tcPr>
            <w:tcW w:w="1290" w:type="dxa"/>
            <w:vAlign w:val="center"/>
          </w:tcPr>
          <w:p>
            <w:pPr>
              <w:spacing w:after="0" w:line="240" w:lineRule="auto"/>
              <w:jc w:val="center"/>
            </w:pPr>
            <w:r>
              <w:rPr>
                <w:b w:val="0"/>
                <w:sz w:val="15"/>
                <w:szCs w:val="15"/>
              </w:rPr>
              <w:t xml:space="preserve">19</w:t>
            </w:r>
          </w:p>
        </w:tc>
      </w:tr>
      <w:tr>
        <w:tc>
          <w:tcPr>
            <w:tcW w:w="1290" w:type="dxa"/>
            <w:vAlign w:val="center"/>
          </w:tcPr>
          <w:p>
            <w:pPr>
              <w:spacing w:after="0" w:line="240" w:lineRule="auto"/>
              <w:jc w:val="center"/>
            </w:pPr>
            <w:r>
              <w:rPr>
                <w:b w:val="0"/>
                <w:sz w:val="15"/>
                <w:szCs w:val="15"/>
              </w:rPr>
              <w:t xml:space="preserve">20</w:t>
            </w:r>
          </w:p>
        </w:tc>
        <w:tc>
          <w:tcPr>
            <w:tcW w:w="1290" w:type="dxa"/>
            <w:vAlign w:val="center"/>
          </w:tcPr>
          <w:p>
            <w:pPr>
              <w:spacing w:after="0" w:line="240" w:lineRule="auto"/>
              <w:jc w:val="left"/>
            </w:pPr>
            <w:r>
              <w:rPr>
                <w:b w:val="0"/>
                <w:sz w:val="15"/>
                <w:szCs w:val="15"/>
              </w:rPr>
              <w:t xml:space="preserve">21</w:t>
            </w:r>
          </w:p>
        </w:tc>
        <w:tc>
          <w:tcPr>
            <w:tcW w:w="1290" w:type="dxa"/>
            <w:vAlign w:val="center"/>
          </w:tcPr>
          <w:p>
            <w:pPr>
              <w:spacing w:after="0" w:line="240" w:lineRule="auto"/>
              <w:jc w:val="left"/>
            </w:pPr>
            <w:r>
              <w:rPr>
                <w:b w:val="0"/>
                <w:sz w:val="15"/>
                <w:szCs w:val="15"/>
              </w:rPr>
              <w:t xml:space="preserve">22</w:t>
            </w:r>
          </w:p>
        </w:tc>
        <w:tc>
          <w:tcPr>
            <w:tcW w:w="1290" w:type="dxa"/>
            <w:vAlign w:val="center"/>
          </w:tcPr>
          <w:p>
            <w:pPr>
              <w:spacing w:after="0" w:line="240" w:lineRule="auto"/>
              <w:jc w:val="left"/>
            </w:pPr>
            <w:r>
              <w:rPr>
                <w:b w:val="0"/>
                <w:sz w:val="15"/>
                <w:szCs w:val="15"/>
              </w:rPr>
              <w:t xml:space="preserve">23</w:t>
            </w:r>
          </w:p>
        </w:tc>
        <w:tc>
          <w:tcPr>
            <w:tcW w:w="1290" w:type="dxa"/>
            <w:vAlign w:val="center"/>
          </w:tcPr>
          <w:p>
            <w:pPr>
              <w:spacing w:after="0" w:line="240" w:lineRule="auto"/>
              <w:jc w:val="left"/>
            </w:pPr>
            <w:r>
              <w:rPr>
                <w:b w:val="0"/>
                <w:sz w:val="15"/>
                <w:szCs w:val="15"/>
              </w:rPr>
              <w:t xml:space="preserve">24</w:t>
            </w:r>
          </w:p>
        </w:tc>
        <w:tc>
          <w:tcPr>
            <w:tcW w:w="1290" w:type="dxa"/>
            <w:vAlign w:val="center"/>
          </w:tcPr>
          <w:p>
            <w:pPr>
              <w:spacing w:after="0" w:line="240" w:lineRule="auto"/>
              <w:jc w:val="left"/>
            </w:pPr>
            <w:r>
              <w:rPr>
                <w:b w:val="0"/>
                <w:sz w:val="15"/>
                <w:szCs w:val="15"/>
              </w:rPr>
              <w:t xml:space="preserve">25</w:t>
            </w:r>
          </w:p>
        </w:tc>
        <w:tc>
          <w:tcPr>
            <w:tcW w:w="1290" w:type="dxa"/>
            <w:vAlign w:val="center"/>
          </w:tcPr>
          <w:p>
            <w:pPr>
              <w:spacing w:after="0" w:line="240" w:lineRule="auto"/>
              <w:jc w:val="center"/>
            </w:pPr>
            <w:r>
              <w:rPr>
                <w:b w:val="0"/>
                <w:sz w:val="15"/>
                <w:szCs w:val="15"/>
              </w:rPr>
              <w:t xml:space="preserve">26</w:t>
            </w:r>
          </w:p>
        </w:tc>
      </w:tr>
      <w:tr>
        <w:tc>
          <w:tcPr>
            <w:tcW w:w="1290" w:type="dxa"/>
            <w:vAlign w:val="center"/>
          </w:tcPr>
          <w:p>
            <w:pPr>
              <w:spacing w:after="0" w:line="240" w:lineRule="auto"/>
              <w:jc w:val="center"/>
            </w:pPr>
            <w:r>
              <w:rPr>
                <w:b w:val="0"/>
                <w:sz w:val="15"/>
                <w:szCs w:val="15"/>
              </w:rPr>
              <w:t xml:space="preserve">27</w:t>
            </w:r>
          </w:p>
        </w:tc>
        <w:tc>
          <w:tcPr>
            <w:tcW w:w="1290" w:type="dxa"/>
            <w:vAlign w:val="center"/>
          </w:tcPr>
          <w:p>
            <w:pPr>
              <w:spacing w:after="0" w:line="240" w:lineRule="auto"/>
              <w:jc w:val="left"/>
            </w:pPr>
            <w:r>
              <w:rPr>
                <w:b w:val="0"/>
                <w:sz w:val="15"/>
                <w:szCs w:val="15"/>
              </w:rPr>
              <w:t xml:space="preserve">28</w:t>
            </w:r>
          </w:p>
        </w:tc>
        <w:tc>
          <w:tcPr>
            <w:tcW w:w="1290" w:type="dxa"/>
            <w:vAlign w:val="center"/>
          </w:tcPr>
          <w:p>
            <w:pPr>
              <w:spacing w:after="0" w:line="240" w:lineRule="auto"/>
              <w:jc w:val="left"/>
            </w:pPr>
            <w:r>
              <w:rPr>
                <w:b w:val="0"/>
                <w:sz w:val="15"/>
                <w:szCs w:val="15"/>
              </w:rPr>
              <w:t xml:space="preserve">29</w:t>
            </w:r>
          </w:p>
        </w:tc>
        <w:tc>
          <w:tcPr>
            <w:tcW w:w="1290" w:type="dxa"/>
            <w:vAlign w:val="center"/>
          </w:tcPr>
          <w:p>
            <w:pPr>
              <w:spacing w:after="0" w:line="240" w:lineRule="auto"/>
              <w:jc w:val="left"/>
            </w:pPr>
            <w:r>
              <w:rPr>
                <w:b w:val="0"/>
                <w:sz w:val="15"/>
                <w:szCs w:val="15"/>
              </w:rPr>
              <w:t xml:space="preserve">30</w:t>
            </w:r>
          </w:p>
        </w:tc>
        <w:tc>
          <w:tcPr>
            <w:tcW w:w="1290" w:type="dxa"/>
            <w:vAlign w:val="center"/>
          </w:tcPr>
          <w:p>
            <w:pPr>
              <w:spacing w:after="0" w:line="240" w:lineRule="auto"/>
              <w:jc w:val="left"/>
            </w:pPr>
            <w:r>
              <w:rPr>
                <w:b w:val="0"/>
              </w:rPr>
              <w:t xml:space="preserve"/>
            </w:r>
          </w:p>
        </w:tc>
        <w:tc>
          <w:tcPr>
            <w:tcW w:w="1290" w:type="dxa"/>
            <w:vAlign w:val="center"/>
          </w:tcPr>
          <w:p>
            <w:pPr>
              <w:spacing w:after="0" w:line="240" w:lineRule="auto"/>
              <w:jc w:val="left"/>
            </w:pPr>
            <w:r>
              <w:rPr>
                <w:b w:val="0"/>
              </w:rPr>
              <w:t xml:space="preserve"/>
            </w:r>
          </w:p>
        </w:tc>
        <w:tc>
          <w:tcPr>
            <w:tcW w:w="1290" w:type="dxa"/>
            <w:vAlign w:val="center"/>
          </w:tcPr>
          <w:p>
            <w:pPr>
              <w:spacing w:after="0" w:line="240" w:lineRule="auto"/>
              <w:jc w:val="center"/>
            </w:pPr>
            <w:r>
              <w:rPr>
                <w:b w:val="0"/>
              </w:rPr>
              <w:t xml:space="preserve"/>
            </w:r>
          </w:p>
        </w:tc>
      </w:tr>
    </w:tbl>
    <w:p>
      <w:pPr>
        <w:pStyle w:val="BodyofResearch"/>
        <w:spacing w:after="0" w:line="240" w:lineRule="auto"/>
      </w:pPr>
    </w:p>
    <w:p>
      <w:pPr>
        <w:pStyle w:val="BodyofResearch"/>
        <w:spacing w:after="0" w:line="360" w:lineRule="auto"/>
        <w:jc w:val="center"/>
      </w:pPr>
      <w:r>
        <w:rPr>
          <w:b w:val="0"/>
          <w:i/>
        </w:rPr>
        <w:t xml:space="preserve">Figure 11. Calendar of Activities - August to September 2026</w:t>
      </w:r>
    </w:p>
    <w:p>
      <w:r>
        <w:br w:type="page"/>
      </w:r>
    </w:p>
    <w:p>
      <w:pPr>
        <w:pStyle w:val="BodyofResearch"/>
        <w:keepNext/>
        <w:keepLines/>
        <w:spacing w:before="180" w:after="120"/>
        <w:jc w:val="left"/>
      </w:pPr>
      <w:r>
        <w:rPr>
          <w:b/>
        </w:rPr>
        <w:t xml:space="preserve">Resources</w:t>
      </w:r>
    </w:p>
    <w:p>
      <w:pPr>
        <w:pStyle w:val="BodyofResearch"/>
        <w:jc w:val="both"/>
      </w:pPr>
      <w:r>
        <w:rPr>
          <w:b/>
        </w:rPr>
        <w:t xml:space="preserve">Hardware:</w:t>
      </w:r>
    </w:p>
    <w:p>
      <w:pPr>
        <w:pStyle w:val="BodyofResearch"/>
        <w:numPr>
          <w:ilvl w:val="0"/>
          <w:numId w:val="3"/>
        </w:numPr>
        <w:spacing w:after="120"/>
        <w:ind w:left="1080" w:hanging="360"/>
        <w:jc w:val="both"/>
      </w:pPr>
      <w:r>
        <w:rPr>
          <w:b/>
        </w:rPr>
        <w:t xml:space="preserve">Personal Computer (PC)</w:t>
      </w:r>
      <w:r>
        <w:rPr>
          <w:b w:val="0"/>
        </w:rPr>
        <w:t xml:space="preserve"> — used for system development, coding, testing, and documentation throughout all phases of the project.</w:t>
      </w:r>
    </w:p>
    <w:p>
      <w:pPr>
        <w:pStyle w:val="BodyofResearch"/>
        <w:numPr>
          <w:ilvl w:val="0"/>
          <w:numId w:val="3"/>
        </w:numPr>
        <w:spacing w:after="120"/>
        <w:ind w:left="1080" w:hanging="360"/>
        <w:jc w:val="both"/>
      </w:pPr>
      <w:r>
        <w:rPr>
          <w:b/>
        </w:rPr>
        <w:t xml:space="preserve">Smartphone (Android and iOS)</w:t>
      </w:r>
      <w:r>
        <w:rPr>
          <w:b w:val="0"/>
        </w:rPr>
        <w:t xml:space="preserve"> — used for mobile responsiveness testing and for verifying the Progressive Web Application install flow on real hardware across different mobile browsers and operating systems.</w:t>
      </w:r>
    </w:p>
    <w:p>
      <w:pPr>
        <w:pStyle w:val="BodyofResearch"/>
        <w:jc w:val="both"/>
      </w:pPr>
      <w:r>
        <w:rPr>
          <w:b/>
        </w:rPr>
        <w:t xml:space="preserve">Software:</w:t>
      </w:r>
    </w:p>
    <w:p>
      <w:pPr>
        <w:pStyle w:val="BodyofResearch"/>
        <w:numPr>
          <w:ilvl w:val="0"/>
          <w:numId w:val="3"/>
        </w:numPr>
        <w:spacing w:after="120"/>
        <w:ind w:left="1080" w:hanging="360"/>
        <w:jc w:val="both"/>
      </w:pPr>
      <w:r>
        <w:rPr>
          <w:b/>
        </w:rPr>
        <w:t xml:space="preserve">Windows 11</w:t>
      </w:r>
      <w:r>
        <w:rPr>
          <w:b w:val="0"/>
        </w:rPr>
        <w:t xml:space="preserve"> — operating system used as the primary development and testing environment.</w:t>
      </w:r>
    </w:p>
    <w:p>
      <w:pPr>
        <w:pStyle w:val="BodyofResearch"/>
        <w:numPr>
          <w:ilvl w:val="0"/>
          <w:numId w:val="3"/>
        </w:numPr>
        <w:spacing w:after="120"/>
        <w:ind w:left="1080" w:hanging="360"/>
        <w:jc w:val="both"/>
      </w:pPr>
      <w:r>
        <w:rPr>
          <w:b/>
        </w:rPr>
        <w:t xml:space="preserve">Visual Studio Code</w:t>
      </w:r>
      <w:r>
        <w:rPr>
          <w:b w:val="0"/>
        </w:rPr>
        <w:t xml:space="preserve"> — primary source-code editor for writing and managing the application codebase.</w:t>
      </w:r>
    </w:p>
    <w:p>
      <w:pPr>
        <w:pStyle w:val="BodyofResearch"/>
        <w:numPr>
          <w:ilvl w:val="0"/>
          <w:numId w:val="3"/>
        </w:numPr>
        <w:spacing w:after="120"/>
        <w:ind w:left="1080" w:hanging="360"/>
        <w:jc w:val="both"/>
      </w:pPr>
      <w:r>
        <w:rPr>
          <w:b/>
        </w:rPr>
        <w:t xml:space="preserve">Node.js</w:t>
      </w:r>
      <w:r>
        <w:rPr>
          <w:b w:val="0"/>
        </w:rPr>
        <w:t xml:space="preserve"> — JavaScript runtime required locally to run the Vite development server and execute build and test scripts; not part of the deployed production system.</w:t>
      </w:r>
    </w:p>
    <w:p>
      <w:pPr>
        <w:pStyle w:val="BodyofResearch"/>
        <w:numPr>
          <w:ilvl w:val="0"/>
          <w:numId w:val="3"/>
        </w:numPr>
        <w:spacing w:after="120"/>
        <w:ind w:left="1080" w:hanging="360"/>
        <w:jc w:val="both"/>
      </w:pPr>
      <w:r>
        <w:rPr>
          <w:b/>
        </w:rPr>
        <w:t xml:space="preserve">npm</w:t>
      </w:r>
      <w:r>
        <w:rPr>
          <w:b w:val="0"/>
        </w:rPr>
        <w:t xml:space="preserve"> — package manager used for installing and managing all project dependencies.</w:t>
      </w:r>
    </w:p>
    <w:p>
      <w:pPr>
        <w:pStyle w:val="BodyofResearch"/>
        <w:numPr>
          <w:ilvl w:val="0"/>
          <w:numId w:val="3"/>
        </w:numPr>
        <w:spacing w:after="120"/>
        <w:ind w:left="1080" w:hanging="360"/>
        <w:jc w:val="both"/>
      </w:pPr>
      <w:r>
        <w:rPr>
          <w:b/>
        </w:rPr>
        <w:t xml:space="preserve">Firebase</w:t>
      </w:r>
      <w:r>
        <w:rPr>
          <w:b w:val="0"/>
        </w:rPr>
        <w:t xml:space="preserve"> — Google's backend platform used for authentication (Firebase Authentication with Identity Platform multi-factor authentication), the real-time database (Cloud Firestore) with server-side security rules, Cloud Functions for server-authoritative logic, App Check for application attestation, and Cloud Storage.</w:t>
      </w:r>
    </w:p>
    <w:p>
      <w:pPr>
        <w:pStyle w:val="BodyofResearch"/>
        <w:numPr>
          <w:ilvl w:val="0"/>
          <w:numId w:val="3"/>
        </w:numPr>
        <w:spacing w:after="120"/>
        <w:ind w:left="1080" w:hanging="360"/>
        <w:jc w:val="both"/>
      </w:pPr>
      <w:r>
        <w:rPr>
          <w:b/>
        </w:rPr>
        <w:t xml:space="preserve">Firebase Local Emulator Suite</w:t>
      </w:r>
      <w:r>
        <w:rPr>
          <w:b w:val="0"/>
        </w:rPr>
        <w:t xml:space="preserve"> — used to run the Firestore emulator locally for the automated security-rules test suite.</w:t>
      </w:r>
    </w:p>
    <w:p>
      <w:pPr>
        <w:pStyle w:val="BodyofResearch"/>
        <w:numPr>
          <w:ilvl w:val="0"/>
          <w:numId w:val="3"/>
        </w:numPr>
        <w:spacing w:after="120"/>
        <w:ind w:left="1080" w:hanging="360"/>
        <w:jc w:val="both"/>
      </w:pPr>
      <w:r>
        <w:rPr>
          <w:b/>
        </w:rPr>
        <w:t xml:space="preserve">Vercel</w:t>
      </w:r>
      <w:r>
        <w:rPr>
          <w:b w:val="0"/>
        </w:rPr>
        <w:t xml:space="preserve"> — cloud deployment platform used to host the static React frontend via CDN and the /api/send-email and /api/send-sms serverless functions.</w:t>
      </w:r>
    </w:p>
    <w:p>
      <w:pPr>
        <w:pStyle w:val="BodyofResearch"/>
        <w:numPr>
          <w:ilvl w:val="0"/>
          <w:numId w:val="3"/>
        </w:numPr>
        <w:spacing w:after="120"/>
        <w:ind w:left="1080" w:hanging="360"/>
        <w:jc w:val="both"/>
      </w:pPr>
      <w:r>
        <w:rPr>
          <w:b/>
        </w:rPr>
        <w:t xml:space="preserve">GitHub</w:t>
      </w:r>
      <w:r>
        <w:rPr>
          <w:b w:val="0"/>
        </w:rPr>
        <w:t xml:space="preserve"> — source control platform hosting the project repository; GitHub Actions runs the continuous integration pipeline and Vercel auto-deploys on every push to the main branch.</w:t>
      </w:r>
    </w:p>
    <w:p>
      <w:pPr>
        <w:pStyle w:val="BodyofResearch"/>
        <w:numPr>
          <w:ilvl w:val="0"/>
          <w:numId w:val="3"/>
        </w:numPr>
        <w:spacing w:after="120"/>
        <w:ind w:left="1080" w:hanging="360"/>
        <w:jc w:val="both"/>
      </w:pPr>
      <w:r>
        <w:rPr>
          <w:b/>
        </w:rPr>
        <w:t xml:space="preserve">Vitest, React Testing Library, and Playwright</w:t>
      </w:r>
      <w:r>
        <w:rPr>
          <w:b w:val="0"/>
        </w:rPr>
        <w:t xml:space="preserve"> — testing frameworks used for the unit, component, Cloud Function, and end-to-end browser test suites.</w:t>
      </w:r>
    </w:p>
    <w:p>
      <w:pPr>
        <w:pStyle w:val="BodyofResearch"/>
        <w:numPr>
          <w:ilvl w:val="0"/>
          <w:numId w:val="3"/>
        </w:numPr>
        <w:spacing w:after="120"/>
        <w:ind w:left="1080" w:hanging="360"/>
        <w:jc w:val="both"/>
      </w:pPr>
      <w:r>
        <w:rPr>
          <w:b/>
        </w:rPr>
        <w:t xml:space="preserve">Google Meet</w:t>
      </w:r>
      <w:r>
        <w:rPr>
          <w:b w:val="0"/>
        </w:rPr>
        <w:t xml:space="preserve"> — external video conferencing platform used for the online fallback mode of the assessment interview.</w:t>
      </w:r>
    </w:p>
    <w:p>
      <w:pPr>
        <w:pStyle w:val="BodyofResearch"/>
        <w:numPr>
          <w:ilvl w:val="0"/>
          <w:numId w:val="3"/>
        </w:numPr>
        <w:spacing w:after="120"/>
        <w:ind w:left="1080" w:hanging="360"/>
        <w:jc w:val="both"/>
      </w:pPr>
      <w:r>
        <w:rPr>
          <w:b/>
        </w:rPr>
        <w:t xml:space="preserve">Semaphore</w:t>
      </w:r>
      <w:r>
        <w:rPr>
          <w:b w:val="0"/>
        </w:rPr>
        <w:t xml:space="preserve"> — Philippine-local SMS gateway integrated as an opt-in channel for high-value notifications.</w:t>
      </w:r>
    </w:p>
    <w:p>
      <w:pPr>
        <w:pStyle w:val="BodyofResearch"/>
        <w:numPr>
          <w:ilvl w:val="0"/>
          <w:numId w:val="3"/>
        </w:numPr>
        <w:spacing w:after="120"/>
        <w:ind w:left="1080" w:hanging="360"/>
        <w:jc w:val="both"/>
      </w:pPr>
      <w:r>
        <w:rPr>
          <w:b/>
        </w:rPr>
        <w:t xml:space="preserve">Modern Web Browser (Google Chrome / Microsoft Edge / Safari)</w:t>
      </w:r>
      <w:r>
        <w:rPr>
          <w:b w:val="0"/>
        </w:rPr>
        <w:t xml:space="preserve"> — used for accessing, testing, and demonstrating the web application during development.</w:t>
      </w:r>
    </w:p>
    <w:p>
      <w:r>
        <w:br w:type="page"/>
      </w:r>
    </w:p>
    <w:p>
      <w:pPr>
        <w:pStyle w:val="Heading2"/>
        <w:keepNext/>
        <w:keepLines/>
        <w:spacing w:before="240" w:after="240"/>
        <w:jc w:val="left"/>
      </w:pPr>
      <w:r>
        <w:rPr>
          <w:b/>
        </w:rPr>
        <w:t xml:space="preserve">Requirement Analysis</w:t>
      </w:r>
    </w:p>
    <w:p>
      <w:pPr>
        <w:pStyle w:val="BodyofResearch"/>
        <w:ind w:firstLine="720"/>
        <w:jc w:val="both"/>
      </w:pPr>
      <w:r>
        <w:rPr>
          <w:b w:val="0"/>
        </w:rPr>
        <w:t xml:space="preserve">MAPA is developed to address the absence of a unified digital platform for accessing medical financial assistance at Cotabato Regional and Medical Center (CRMC) in Cotabato City. The system targets patients admitted to CRMC, their authorized family members or representatives, the personnel of the medical assistance agencies operating within the hospital, and the CRMC administrators who operate the intake gateway. It is designed for use within the CRMC setting where multiple assistance programs exist but operate independently without any shared digital infrastructure, making it difficult for patients to access and navigate available programs efficiently. By consolidating intake into a single CRMC-operated gateway and coordinating the partner agencies that co-fund each bill, the system improves accessibility, coordination, and communication between patients, agencies, and administrators throughout the entire assistance process.</w:t>
      </w:r>
    </w:p>
    <w:p>
      <w:pPr>
        <w:pStyle w:val="BodyofResearch"/>
        <w:keepNext/>
        <w:keepLines/>
        <w:spacing w:before="180" w:after="120"/>
        <w:jc w:val="left"/>
      </w:pPr>
      <w:r>
        <w:rPr>
          <w:b/>
        </w:rPr>
        <w:t xml:space="preserve">Target Users</w:t>
      </w:r>
    </w:p>
    <w:p>
      <w:pPr>
        <w:pStyle w:val="BodyofResearch"/>
        <w:ind w:firstLine="720"/>
        <w:jc w:val="both"/>
      </w:pPr>
      <w:r>
        <w:rPr>
          <w:b w:val="0"/>
        </w:rPr>
        <w:t xml:space="preserve">The application is designed for three primary groups of users. The first group consists of patients admitted to CRMC and their authorized family members or representatives who are seeking medical financial assistance. These users typically rely on smartphones and prefer a convenient way to file a single request, upload documents once, reserve and attend one assessment interview, monitor their request and each agency slice, and receive Guarantee Letters without traveling repeatedly to agency offices. Patients must register using a verified CRMC-issued Patient Access Code before accessing the platform.</w:t>
      </w:r>
    </w:p>
    <w:p>
      <w:pPr>
        <w:pStyle w:val="BodyofResearch"/>
        <w:jc w:val="both"/>
      </w:pPr>
      <w:r>
        <w:rPr>
          <w:b w:val="0"/>
        </w:rPr>
        <w:t xml:space="preserve">The second group consists of agency personnel — coordinators and administrators — of registered medical assistance agencies at CRMC. Because CRMC owns intake, verification, and assessment under the gateway model, agency personnel concentrate on the funding decision for the slices endorsed to their agency: reviewing CRMC-verified documents and the completed assessment, viewing the co-funding picture, approving a share and issuing a Guarantee Letter, requesting more information, or rejecting. Administrators additionally manage their agency's budget allocation, per-applicant cap, coordinator accounts, and audit log. Each agency operates within a dedicated and data-isolated workspace.</w:t>
      </w:r>
    </w:p>
    <w:p>
      <w:pPr>
        <w:pStyle w:val="BodyofResearch"/>
        <w:jc w:val="both"/>
      </w:pPr>
      <w:r>
        <w:rPr>
          <w:b w:val="0"/>
        </w:rPr>
        <w:t xml:space="preserve">The third group consists of CRMC system administrators — staff and super administrators — who operate the intake gateway and oversee the platform. Staff administrators verify documents, publish interview slots, conduct the assessment interview, record PhilHealth first-charge coverage, complete the Unified Intake Sheet, endorse requests to partner agencies, respond to patient messages, issue and manage Patient Access Codes, maintain the document and assistance type catalogs, and post system-wide announcements. Super administrators additionally manage agency accounts, administrator accounts, permanent erasure of patient data, and the platform-wide audit log.</w:t>
      </w:r>
    </w:p>
    <w:p>
      <w:pPr>
        <w:pStyle w:val="BodyofResearch"/>
        <w:keepNext/>
        <w:keepLines/>
        <w:spacing w:before="180" w:after="120"/>
        <w:jc w:val="left"/>
      </w:pPr>
      <w:r>
        <w:rPr>
          <w:b/>
        </w:rPr>
        <w:t xml:space="preserve">Objectives and Features</w:t>
      </w:r>
    </w:p>
    <w:p>
      <w:pPr>
        <w:pStyle w:val="BodyofResearch"/>
        <w:numPr>
          <w:ilvl w:val="0"/>
          <w:numId w:val="3"/>
        </w:numPr>
        <w:spacing w:after="120"/>
        <w:ind w:left="1080" w:hanging="360"/>
        <w:jc w:val="both"/>
      </w:pPr>
      <w:r>
        <w:rPr>
          <w:b w:val="0"/>
        </w:rPr>
        <w:t xml:space="preserve">Allow patients to check real-time slot availability per agency and to browse a centralized directory of all assistance agencies, including their services, eligibility summaries, and documentary requirements.</w:t>
      </w:r>
    </w:p>
    <w:p>
      <w:pPr>
        <w:pStyle w:val="BodyofResearch"/>
        <w:numPr>
          <w:ilvl w:val="0"/>
          <w:numId w:val="3"/>
        </w:numPr>
        <w:spacing w:after="120"/>
        <w:ind w:left="1080" w:hanging="360"/>
        <w:jc w:val="both"/>
      </w:pPr>
      <w:r>
        <w:rPr>
          <w:b w:val="0"/>
        </w:rPr>
        <w:t xml:space="preserve">Guide patients in identifying assistance programs they may qualify for through a pre-assessment screening flow with match scores and missing-document indicators.</w:t>
      </w:r>
    </w:p>
    <w:p>
      <w:pPr>
        <w:pStyle w:val="BodyofResearch"/>
        <w:numPr>
          <w:ilvl w:val="0"/>
          <w:numId w:val="3"/>
        </w:numPr>
        <w:spacing w:after="120"/>
        <w:ind w:left="1080" w:hanging="360"/>
        <w:jc w:val="both"/>
      </w:pPr>
      <w:r>
        <w:rPr>
          <w:b w:val="0"/>
        </w:rPr>
        <w:t xml:space="preserve">Allow patients to upload and manage supporting documents in a personal document library, with reusable verified documents (such as a Valid ID) carried over without re-upload.</w:t>
      </w:r>
    </w:p>
    <w:p>
      <w:pPr>
        <w:pStyle w:val="BodyofResearch"/>
        <w:numPr>
          <w:ilvl w:val="0"/>
          <w:numId w:val="3"/>
        </w:numPr>
        <w:spacing w:after="120"/>
        <w:ind w:left="1080" w:hanging="360"/>
        <w:jc w:val="both"/>
      </w:pPr>
      <w:r>
        <w:rPr>
          <w:b w:val="0"/>
        </w:rPr>
        <w:t xml:space="preserve">Allow patients to file a single assistance request stating the bill and amount needed, with a live selfie and Data Privacy consent under Republic Act No. 10173, and to complete a guided household intake questionnaire.</w:t>
      </w:r>
    </w:p>
    <w:p>
      <w:pPr>
        <w:pStyle w:val="BodyofResearch"/>
        <w:numPr>
          <w:ilvl w:val="0"/>
          <w:numId w:val="3"/>
        </w:numPr>
        <w:spacing w:after="120"/>
        <w:ind w:left="1080" w:hanging="360"/>
        <w:jc w:val="both"/>
      </w:pPr>
      <w:r>
        <w:rPr>
          <w:b w:val="0"/>
        </w:rPr>
        <w:t xml:space="preserve">Allow patients to reserve the CRMC assessment interview from published, capacity-limited slots — in person by default with an online fallback — receiving an in-person queue number or a Google Meet link, together with automated reminders 24 hours and 1 hour before the appointment.</w:t>
      </w:r>
    </w:p>
    <w:p>
      <w:pPr>
        <w:pStyle w:val="BodyofResearch"/>
        <w:numPr>
          <w:ilvl w:val="0"/>
          <w:numId w:val="3"/>
        </w:numPr>
        <w:spacing w:after="120"/>
        <w:ind w:left="1080" w:hanging="360"/>
        <w:jc w:val="both"/>
      </w:pPr>
      <w:r>
        <w:rPr>
          <w:b w:val="0"/>
        </w:rPr>
        <w:t xml:space="preserve">Enable CRMC staff administrators to verify documents, publish and manage interview slots, conduct the assessment interview, record the PhilHealth coverage already applied to the bill, complete the structured Unified Intake Sheet, issue and manage Patient Access Codes, maintain the document and assistance type catalogs, and post system-wide announcements.</w:t>
      </w:r>
    </w:p>
    <w:p>
      <w:pPr>
        <w:pStyle w:val="BodyofResearch"/>
        <w:numPr>
          <w:ilvl w:val="0"/>
          <w:numId w:val="3"/>
        </w:numPr>
        <w:spacing w:after="120"/>
        <w:ind w:left="1080" w:hanging="360"/>
        <w:jc w:val="both"/>
      </w:pPr>
      <w:r>
        <w:rPr>
          <w:b w:val="0"/>
        </w:rPr>
        <w:t xml:space="preserve">Enable CRMC administrators to endorse the residual balance of a verified, assessed request to one or more partner agencies as funding slices, decrementing each agency's daily slot atomically and notifying the patient.</w:t>
      </w:r>
    </w:p>
    <w:p>
      <w:pPr>
        <w:pStyle w:val="BodyofResearch"/>
        <w:numPr>
          <w:ilvl w:val="0"/>
          <w:numId w:val="3"/>
        </w:numPr>
        <w:spacing w:after="120"/>
        <w:ind w:left="1080" w:hanging="360"/>
        <w:jc w:val="both"/>
      </w:pPr>
      <w:r>
        <w:rPr>
          <w:b w:val="0"/>
        </w:rPr>
        <w:t xml:space="preserve">Allow patients to review and confirm the coverage plan, advancing every endorsed slice into agency review in a single atomic action, and to monitor both the overall request lifecycle and each agency slice lifecycle in real time.</w:t>
      </w:r>
    </w:p>
    <w:p>
      <w:pPr>
        <w:pStyle w:val="BodyofResearch"/>
        <w:numPr>
          <w:ilvl w:val="0"/>
          <w:numId w:val="3"/>
        </w:numPr>
        <w:spacing w:after="120"/>
        <w:ind w:left="1080" w:hanging="360"/>
        <w:jc w:val="both"/>
      </w:pPr>
      <w:r>
        <w:rPr>
          <w:b w:val="0"/>
        </w:rPr>
        <w:t xml:space="preserve">Enable agency personnel to make independent funding decisions on endorsed slices — approving an amount with one or more purposes and a payable-to provider, requesting more information, or rejecting with a reason.</w:t>
      </w:r>
    </w:p>
    <w:p>
      <w:pPr>
        <w:pStyle w:val="BodyofResearch"/>
        <w:numPr>
          <w:ilvl w:val="0"/>
          <w:numId w:val="3"/>
        </w:numPr>
        <w:spacing w:after="120"/>
        <w:ind w:left="1080" w:hanging="360"/>
        <w:jc w:val="both"/>
      </w:pPr>
      <w:r>
        <w:rPr>
          <w:b w:val="0"/>
        </w:rPr>
        <w:t xml:space="preserve">Allow agency personnel to issue Guarantee Letters, print and wet-sign them, upload the signed scan for patient download, and manage the Guarantee Letter lifecycle (issue, redeem, expire, reverse).</w:t>
      </w:r>
    </w:p>
    <w:p>
      <w:pPr>
        <w:pStyle w:val="BodyofResearch"/>
        <w:numPr>
          <w:ilvl w:val="0"/>
          <w:numId w:val="3"/>
        </w:numPr>
        <w:spacing w:after="120"/>
        <w:ind w:left="1080" w:hanging="360"/>
        <w:jc w:val="both"/>
      </w:pPr>
      <w:r>
        <w:rPr>
          <w:b w:val="0"/>
        </w:rPr>
        <w:t xml:space="preserve">Provide cross-agency coordination without removing agency autonomy, through a shared case timeline, notifications when a sibling agency approves or rejects, a live over-commitment guard in the approve flow, and structured referral suggestions back to CRMC.</w:t>
      </w:r>
    </w:p>
    <w:p>
      <w:pPr>
        <w:pStyle w:val="BodyofResearch"/>
        <w:numPr>
          <w:ilvl w:val="0"/>
          <w:numId w:val="3"/>
        </w:numPr>
        <w:spacing w:after="120"/>
        <w:ind w:left="1080" w:hanging="360"/>
        <w:jc w:val="both"/>
      </w:pPr>
      <w:r>
        <w:rPr>
          <w:b w:val="0"/>
        </w:rPr>
        <w:t xml:space="preserve">Enforce a 30-day cooldown tied to each patient's Hospital ID upon approval, with an explicit exception for sibling slices of the same co-funding request.</w:t>
      </w:r>
    </w:p>
    <w:p>
      <w:pPr>
        <w:pStyle w:val="BodyofResearch"/>
        <w:numPr>
          <w:ilvl w:val="0"/>
          <w:numId w:val="3"/>
        </w:numPr>
        <w:spacing w:after="120"/>
        <w:ind w:left="1080" w:hanging="360"/>
        <w:jc w:val="both"/>
      </w:pPr>
      <w:r>
        <w:rPr>
          <w:b w:val="0"/>
        </w:rPr>
        <w:t xml:space="preserve">Allow agency administrators to manage their agency's budget allocation, per-applicant cap, coordinator accounts, and agency-level audit log.</w:t>
      </w:r>
    </w:p>
    <w:p>
      <w:pPr>
        <w:pStyle w:val="BodyofResearch"/>
        <w:numPr>
          <w:ilvl w:val="0"/>
          <w:numId w:val="3"/>
        </w:numPr>
        <w:spacing w:after="120"/>
        <w:ind w:left="1080" w:hanging="360"/>
        <w:jc w:val="both"/>
      </w:pPr>
      <w:r>
        <w:rPr>
          <w:b w:val="0"/>
        </w:rPr>
        <w:t xml:space="preserve">Allow CRMC super administrators to additionally manage administrator accounts, agency accounts, and the platform-wide audit log.</w:t>
      </w:r>
    </w:p>
    <w:p>
      <w:pPr>
        <w:pStyle w:val="BodyofResearch"/>
        <w:numPr>
          <w:ilvl w:val="0"/>
          <w:numId w:val="3"/>
        </w:numPr>
        <w:spacing w:after="120"/>
        <w:ind w:left="1080" w:hanging="360"/>
        <w:jc w:val="both"/>
      </w:pPr>
      <w:r>
        <w:rPr>
          <w:b w:val="0"/>
        </w:rPr>
        <w:t xml:space="preserve">Provide patients with a direct digital communication channel for reaching CRMC administrators and any agency endorsed on their request.</w:t>
      </w:r>
    </w:p>
    <w:p>
      <w:pPr>
        <w:pStyle w:val="BodyofResearch"/>
        <w:numPr>
          <w:ilvl w:val="0"/>
          <w:numId w:val="3"/>
        </w:numPr>
        <w:spacing w:after="120"/>
        <w:ind w:left="1080" w:hanging="360"/>
        <w:jc w:val="both"/>
      </w:pPr>
      <w:r>
        <w:rPr>
          <w:b w:val="0"/>
        </w:rPr>
        <w:t xml:space="preserve">Provide patients with a record of who has accessed their data, a machine-readable export of everything the system holds about them, and a path to permanent erasure, in compliance with Republic Act No. 10173.</w:t>
      </w:r>
    </w:p>
    <w:p>
      <w:pPr>
        <w:pStyle w:val="BodyofResearch"/>
        <w:numPr>
          <w:ilvl w:val="0"/>
          <w:numId w:val="3"/>
        </w:numPr>
        <w:spacing w:after="120"/>
        <w:ind w:left="1080" w:hanging="360"/>
        <w:jc w:val="both"/>
      </w:pPr>
      <w:r>
        <w:rPr>
          <w:b w:val="0"/>
        </w:rPr>
        <w:t xml:space="preserve">Deliver the patient-facing experience as an installable, bilingual Progressive Web Application from the same codebase that serves the web portal.</w:t>
      </w:r>
    </w:p>
    <w:p>
      <w:r>
        <w:br w:type="page"/>
      </w:r>
    </w:p>
    <w:p>
      <w:pPr>
        <w:pStyle w:val="BodyofResearch"/>
        <w:keepNext/>
        <w:keepLines/>
        <w:spacing w:before="180" w:after="120"/>
        <w:jc w:val="left"/>
      </w:pPr>
      <w:r>
        <w:rPr>
          <w:b/>
        </w:rPr>
        <w:t xml:space="preserve">Context of Use</w:t>
      </w:r>
    </w:p>
    <w:p>
      <w:pPr>
        <w:pStyle w:val="BodyofResearch"/>
        <w:keepNext/>
        <w:keepLines/>
        <w:spacing w:before="160" w:after="120"/>
        <w:jc w:val="left"/>
      </w:pPr>
      <w:r>
        <w:rPr>
          <w:b/>
          <w:i/>
        </w:rPr>
        <w:t xml:space="preserve">Web-Based Application Environment</w:t>
      </w:r>
    </w:p>
    <w:p>
      <w:pPr>
        <w:pStyle w:val="BodyofResearch"/>
        <w:jc w:val="both"/>
      </w:pPr>
      <w:r>
        <w:rPr>
          <w:b w:val="0"/>
        </w:rPr>
        <w:t xml:space="preserve">MAPA is built as a single Progressive Web Application from one codebase, accessible through any modern browser on a desktop, laptop, or smartphone. It is deployed on Vercel and served through a global content delivery network, requiring no additional software installation to access through a browser. Patients may additionally install the application to their smartphone home screen using the standard Add-to-Home-Screen flow, where it presents a mobile-optimized, app-like experience intended for the Patient role. Agency personnel and administrators access all functions through the web portal on a desktop or laptop browser. When opened in installed PWA mode, the system redirects automatically to the role's dashboard or login screen, bypassing the public landing page.</w:t>
      </w:r>
    </w:p>
    <w:p>
      <w:pPr>
        <w:pStyle w:val="BodyofResearch"/>
        <w:keepNext/>
        <w:keepLines/>
        <w:spacing w:before="160" w:after="120"/>
        <w:jc w:val="left"/>
      </w:pPr>
      <w:r>
        <w:rPr>
          <w:b/>
          <w:i/>
        </w:rPr>
        <w:t xml:space="preserve">Internet Connectivity</w:t>
      </w:r>
    </w:p>
    <w:p>
      <w:pPr>
        <w:pStyle w:val="BodyofResearch"/>
        <w:jc w:val="both"/>
      </w:pPr>
      <w:r>
        <w:rPr>
          <w:b w:val="0"/>
        </w:rPr>
        <w:t xml:space="preserve">The platform requires a stable internet connection to access all features, including real-time slot availability, document submission, interview booking, and Guarantee Letter download. While the installed application shell loads when the device is offline and read-only access to already-loaded data remains available through Firestore's built-in offline persistence, all data retrieval and submission require an active connection, which may limit accessibility for patients in areas with poor or unstable network coverage.</w:t>
      </w:r>
    </w:p>
    <w:p>
      <w:pPr>
        <w:pStyle w:val="BodyofResearch"/>
        <w:keepNext/>
        <w:keepLines/>
        <w:spacing w:before="160" w:after="120"/>
        <w:jc w:val="left"/>
      </w:pPr>
      <w:r>
        <w:rPr>
          <w:b/>
          <w:i/>
        </w:rPr>
        <w:t xml:space="preserve">Hospital Setting</w:t>
      </w:r>
    </w:p>
    <w:p>
      <w:pPr>
        <w:pStyle w:val="BodyofResearch"/>
        <w:jc w:val="both"/>
      </w:pPr>
      <w:r>
        <w:rPr>
          <w:b w:val="0"/>
        </w:rPr>
        <w:t xml:space="preserve">The system is designed specifically for use within Cotabato Regional and Medical Center (CRMC), Cotabato City. All registered agencies, patient accounts, Patient Access Codes, and assistance programs are managed within this institutional setting. Patients must obtain a CRMC-issued Patient Access Code in the format CRMC-YYYY-NNNNN from the CRMC Medical Social Services office before registering; the code is issued both in printed form and as a scannable QR code that opens the portal with the code pre-filled. This offline issuance step anchors the digital system to CRMC's existing patient intake process and ensures that only verified CRMC patients can access the platform. In-person assessment interviews are conducted at the CRMC Medical Social Service office, where the queue number assigned at booking orders arrivals against the day's interview capacity.</w:t>
      </w:r>
    </w:p>
    <w:p>
      <w:r>
        <w:br w:type="page"/>
      </w:r>
    </w:p>
    <w:p>
      <w:pPr>
        <w:pStyle w:val="BodyofResearch"/>
        <w:keepNext/>
        <w:keepLines/>
        <w:spacing w:before="180" w:after="120"/>
        <w:jc w:val="left"/>
      </w:pPr>
      <w:r>
        <w:rPr>
          <w:b/>
        </w:rPr>
        <w:t xml:space="preserve">Use Case Diagrams</w:t>
      </w:r>
    </w:p>
    <w:p>
      <w:pPr>
        <w:pStyle w:val="BodyofResearch"/>
        <w:ind w:firstLine="720"/>
        <w:jc w:val="both"/>
      </w:pPr>
      <w:r>
        <w:rPr>
          <w:b w:val="0"/>
        </w:rPr>
        <w:t xml:space="preserve">The following use case diagrams present the actors of the MAPA system and the functions each may perform, organized by user group to keep the relationships readable. Figure 12 presents the patient, Figure 13 the agency personnel, and Figure 14 the CRMC administrators. In Figures 13 and 14, the hollow-triangle arrow denotes generalization: the higher-privileged actor inherits every use case of the role the arrow points to and adds its own.</w:t>
      </w:r>
    </w:p>
    <w:p>
      <w:pPr>
        <w:pStyle w:val="BodyofResearch"/>
        <w:spacing w:before="120" w:after="60"/>
        <w:jc w:val="center"/>
      </w:pPr>
      <w:r>
        <w:drawing>
          <wp:inline distT="0" distB="0" distL="0" distR="0">
            <wp:extent cx="4754880" cy="53216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Img8"/>
                    <a:stretch>
                      <a:fillRect/>
                    </a:stretch>
                  </pic:blipFill>
                  <pic:spPr>
                    <a:xfrm>
                      <a:off x="0" y="0"/>
                      <a:ext cx="4754880" cy="5321686"/>
                    </a:xfrm>
                    <a:prstGeom prst="rect">
                      <a:avLst/>
                    </a:prstGeom>
                  </pic:spPr>
                </pic:pic>
              </a:graphicData>
            </a:graphic>
          </wp:inline>
        </w:drawing>
      </w:r>
    </w:p>
    <w:p>
      <w:pPr>
        <w:pStyle w:val="BodyofResearch"/>
        <w:spacing w:after="240" w:line="240" w:lineRule="auto"/>
        <w:jc w:val="center"/>
      </w:pPr>
      <w:r>
        <w:rPr>
          <w:b w:val="0"/>
          <w:i/>
        </w:rPr>
        <w:t xml:space="preserve">Figure 12. Patient Use Case Diagram</w:t>
      </w:r>
    </w:p>
    <w:p>
      <w:r>
        <w:br w:type="page"/>
      </w:r>
    </w:p>
    <w:p>
      <w:pPr>
        <w:pStyle w:val="BodyofResearch"/>
        <w:spacing w:before="120" w:after="60"/>
        <w:jc w:val="center"/>
      </w:pPr>
      <w:r>
        <w:drawing>
          <wp:inline distT="0" distB="0" distL="0" distR="0">
            <wp:extent cx="4754880" cy="56460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Img9"/>
                    <a:stretch>
                      <a:fillRect/>
                    </a:stretch>
                  </pic:blipFill>
                  <pic:spPr>
                    <a:xfrm>
                      <a:off x="0" y="0"/>
                      <a:ext cx="4754880" cy="5646026"/>
                    </a:xfrm>
                    <a:prstGeom prst="rect">
                      <a:avLst/>
                    </a:prstGeom>
                  </pic:spPr>
                </pic:pic>
              </a:graphicData>
            </a:graphic>
          </wp:inline>
        </w:drawing>
      </w:r>
    </w:p>
    <w:p>
      <w:pPr>
        <w:pStyle w:val="BodyofResearch"/>
        <w:spacing w:after="240" w:line="240" w:lineRule="auto"/>
        <w:jc w:val="center"/>
      </w:pPr>
      <w:r>
        <w:rPr>
          <w:b w:val="0"/>
          <w:i/>
        </w:rPr>
        <w:t xml:space="preserve">Figure 13. Agency Personnel Use Case Diagram</w:t>
      </w:r>
    </w:p>
    <w:p>
      <w:r>
        <w:br w:type="page"/>
      </w:r>
    </w:p>
    <w:p>
      <w:pPr>
        <w:pStyle w:val="BodyofResearch"/>
        <w:spacing w:before="120" w:after="60"/>
        <w:jc w:val="center"/>
      </w:pPr>
      <w:r>
        <w:drawing>
          <wp:inline distT="0" distB="0" distL="0" distR="0">
            <wp:extent cx="4754880" cy="59735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Img10"/>
                    <a:stretch>
                      <a:fillRect/>
                    </a:stretch>
                  </pic:blipFill>
                  <pic:spPr>
                    <a:xfrm>
                      <a:off x="0" y="0"/>
                      <a:ext cx="4754880" cy="5973514"/>
                    </a:xfrm>
                    <a:prstGeom prst="rect">
                      <a:avLst/>
                    </a:prstGeom>
                  </pic:spPr>
                </pic:pic>
              </a:graphicData>
            </a:graphic>
          </wp:inline>
        </w:drawing>
      </w:r>
    </w:p>
    <w:p>
      <w:pPr>
        <w:pStyle w:val="BodyofResearch"/>
        <w:spacing w:after="240" w:line="240" w:lineRule="auto"/>
        <w:jc w:val="center"/>
      </w:pPr>
      <w:r>
        <w:rPr>
          <w:b w:val="0"/>
          <w:i/>
        </w:rPr>
        <w:t xml:space="preserve">Figure 14. CRMC Administrator Use Case Diagram</w:t>
      </w:r>
    </w:p>
    <w:p>
      <w:r>
        <w:br w:type="page"/>
      </w:r>
    </w:p>
    <w:p>
      <w:pPr>
        <w:pStyle w:val="Heading2"/>
        <w:keepNext/>
        <w:keepLines/>
        <w:spacing w:before="240" w:after="240"/>
        <w:jc w:val="left"/>
      </w:pPr>
      <w:r>
        <w:rPr>
          <w:b/>
        </w:rPr>
        <w:t xml:space="preserve">Requirements Documentation</w:t>
      </w:r>
    </w:p>
    <w:p>
      <w:pPr>
        <w:pStyle w:val="BodyofResearch"/>
        <w:ind w:firstLine="720"/>
        <w:jc w:val="both"/>
      </w:pPr>
      <w:r>
        <w:rPr>
          <w:b w:val="0"/>
        </w:rPr>
        <w:t xml:space="preserve">The functional and non-functional requirements of the MAPA platform are presented in this section. These requirements were identified through the analysis of operational challenges at CRMC, the review of existing literature and related systems, the structured interview-questionnaire administered to CRMC stakeholders, and consultation with the project's target user groups. Requirements are organized by user role and presented with their corresponding priority level using MoSCoW notation: M (Must Have), S (Should Have), and C (Could Have).</w:t>
      </w:r>
    </w:p>
    <w:p>
      <w:pPr>
        <w:pStyle w:val="BodyofResearch"/>
        <w:keepNext/>
        <w:keepLines/>
        <w:spacing w:before="180" w:after="120"/>
        <w:jc w:val="left"/>
      </w:pPr>
      <w:r>
        <w:rPr>
          <w:b/>
        </w:rPr>
        <w:t xml:space="preserve">Functional Requirements</w:t>
      </w:r>
    </w:p>
    <w:p>
      <w:pPr>
        <w:pStyle w:val="BodyofResearch"/>
        <w:keepNext/>
        <w:keepLines/>
        <w:spacing w:before="180" w:after="60"/>
        <w:jc w:val="left"/>
      </w:pPr>
      <w:r>
        <w:rPr>
          <w:b w:val="0"/>
          <w:i/>
        </w:rPr>
        <w:t xml:space="preserve">Table 1. Patient Functional Requirements</w:t>
      </w:r>
    </w:p>
    <w:tbl>
      <w:tblPr>
        <w:tblStyle w:val="TableGrid"/>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6" w:type="dxa"/>
          <w:bottom w:w="40" w:type="dxa"/>
          <w:right w:w="86" w:type="dxa"/>
        </w:tblCellMar>
        <w:tblLook w:val="04A0" w:firstRow="1" w:lastRow="0" w:firstColumn="1" w:lastColumn="0" w:noHBand="0" w:noVBand="1"/>
      </w:tblPr>
      <w:tblGrid>
        <w:gridCol w:w="1120"/>
        <w:gridCol w:w="7100"/>
        <w:gridCol w:w="1180"/>
      </w:tblGrid>
      <w:tr>
        <w:trPr>
          <w:tblHeader/>
          <w:cantSplit/>
        </w:trPr>
        <w:tc>
          <w:tcPr>
            <w:tcW w:w="1120" w:type="dxa"/>
            <w:vAlign w:val="center"/>
          </w:tcPr>
          <w:p>
            <w:pPr>
              <w:spacing w:after="0" w:line="240" w:lineRule="auto"/>
              <w:jc w:val="center"/>
            </w:pPr>
            <w:r>
              <w:rPr>
                <w:b/>
                <w:sz w:val="20"/>
                <w:szCs w:val="20"/>
              </w:rPr>
              <w:t xml:space="preserve">ID</w:t>
            </w:r>
          </w:p>
        </w:tc>
        <w:tc>
          <w:tcPr>
            <w:tcW w:w="7100" w:type="dxa"/>
            <w:vAlign w:val="center"/>
          </w:tcPr>
          <w:p>
            <w:pPr>
              <w:spacing w:after="0" w:line="240" w:lineRule="auto"/>
              <w:jc w:val="center"/>
            </w:pPr>
            <w:r>
              <w:rPr>
                <w:b/>
                <w:sz w:val="20"/>
                <w:szCs w:val="20"/>
              </w:rPr>
              <w:t xml:space="preserve">Description</w:t>
            </w:r>
          </w:p>
        </w:tc>
        <w:tc>
          <w:tcPr>
            <w:tcW w:w="1180" w:type="dxa"/>
            <w:vAlign w:val="center"/>
          </w:tcPr>
          <w:p>
            <w:pPr>
              <w:spacing w:after="0" w:line="240" w:lineRule="auto"/>
              <w:jc w:val="center"/>
            </w:pPr>
            <w:r>
              <w:rPr>
                <w:b/>
                <w:sz w:val="20"/>
                <w:szCs w:val="20"/>
              </w:rPr>
              <w:t xml:space="preserve">Priority</w:t>
            </w:r>
          </w:p>
        </w:tc>
      </w:tr>
      <w:tr>
        <w:tc>
          <w:tcPr>
            <w:tcW w:w="1120" w:type="dxa"/>
            <w:vAlign w:val="center"/>
          </w:tcPr>
          <w:p>
            <w:pPr>
              <w:spacing w:after="0" w:line="240" w:lineRule="auto"/>
              <w:jc w:val="center"/>
            </w:pPr>
            <w:r>
              <w:rPr>
                <w:b w:val="0"/>
                <w:sz w:val="20"/>
                <w:szCs w:val="20"/>
              </w:rPr>
              <w:t xml:space="preserve">FR-P-01</w:t>
            </w:r>
          </w:p>
        </w:tc>
        <w:tc>
          <w:tcPr>
            <w:tcW w:w="7100" w:type="dxa"/>
            <w:vAlign w:val="center"/>
          </w:tcPr>
          <w:p>
            <w:pPr>
              <w:spacing w:after="0" w:line="240" w:lineRule="auto"/>
              <w:jc w:val="left"/>
            </w:pPr>
            <w:r>
              <w:rPr>
                <w:b w:val="0"/>
                <w:sz w:val="20"/>
                <w:szCs w:val="20"/>
              </w:rPr>
              <w:t xml:space="preserve">Registration. A patient shall self-register using a Patient Access Code (format CRMC-YYYY-NNNNN) issued by CRMC Medical Social Services, providing full name, contact number, complete address, and credentials. The code may be entered manually or supplied by scanning the QR form of the code, and is verified in real time through a server-side throttled check before the account is created.</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FR-P-02</w:t>
            </w:r>
          </w:p>
        </w:tc>
        <w:tc>
          <w:tcPr>
            <w:tcW w:w="7100" w:type="dxa"/>
            <w:vAlign w:val="center"/>
          </w:tcPr>
          <w:p>
            <w:pPr>
              <w:spacing w:after="0" w:line="240" w:lineRule="auto"/>
              <w:jc w:val="left"/>
            </w:pPr>
            <w:r>
              <w:rPr>
                <w:b w:val="0"/>
                <w:sz w:val="20"/>
                <w:szCs w:val="20"/>
              </w:rPr>
              <w:t xml:space="preserve">Single Request Submission. A patient shall file one assistance request at a time via a 4-step guided wizard, stating the assistance type, the bill amount needed, an optional description, and uploading the required documents. Reusable verified documents carry over without re-upload.</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FR-P-03</w:t>
            </w:r>
          </w:p>
        </w:tc>
        <w:tc>
          <w:tcPr>
            <w:tcW w:w="7100" w:type="dxa"/>
            <w:vAlign w:val="center"/>
          </w:tcPr>
          <w:p>
            <w:pPr>
              <w:spacing w:after="0" w:line="240" w:lineRule="auto"/>
              <w:jc w:val="left"/>
            </w:pPr>
            <w:r>
              <w:rPr>
                <w:b w:val="0"/>
                <w:sz w:val="20"/>
                <w:szCs w:val="20"/>
              </w:rPr>
              <w:t xml:space="preserve">Identity Capture. For ID documents, an on-device OCR pass shall surface an advisory name cross-check, and a live selfie shall be captured via the device camera for the CRMC social worker to match against the uploaded ID.</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FR-P-04</w:t>
            </w:r>
          </w:p>
        </w:tc>
        <w:tc>
          <w:tcPr>
            <w:tcW w:w="7100" w:type="dxa"/>
            <w:vAlign w:val="center"/>
          </w:tcPr>
          <w:p>
            <w:pPr>
              <w:spacing w:after="0" w:line="240" w:lineRule="auto"/>
              <w:jc w:val="left"/>
            </w:pPr>
            <w:r>
              <w:rPr>
                <w:b w:val="0"/>
                <w:sz w:val="20"/>
                <w:szCs w:val="20"/>
              </w:rPr>
              <w:t xml:space="preserve">Representative Filing. A patient unable to file directly shall designate a representative who provides their own ID, live selfie, name, and relationship; the patient remains the primary account holder.</w:t>
            </w:r>
          </w:p>
        </w:tc>
        <w:tc>
          <w:tcPr>
            <w:tcW w:w="1180" w:type="dxa"/>
            <w:vAlign w:val="center"/>
          </w:tcPr>
          <w:p>
            <w:pPr>
              <w:spacing w:after="0" w:line="240" w:lineRule="auto"/>
              <w:jc w:val="center"/>
            </w:pPr>
            <w:r>
              <w:rPr>
                <w:b w:val="0"/>
                <w:sz w:val="20"/>
                <w:szCs w:val="20"/>
              </w:rPr>
              <w:t xml:space="preserve">S</w:t>
            </w:r>
          </w:p>
        </w:tc>
      </w:tr>
      <w:tr>
        <w:tc>
          <w:tcPr>
            <w:tcW w:w="1120" w:type="dxa"/>
            <w:vAlign w:val="center"/>
          </w:tcPr>
          <w:p>
            <w:pPr>
              <w:spacing w:after="0" w:line="240" w:lineRule="auto"/>
              <w:jc w:val="center"/>
            </w:pPr>
            <w:r>
              <w:rPr>
                <w:b w:val="0"/>
                <w:sz w:val="20"/>
                <w:szCs w:val="20"/>
              </w:rPr>
              <w:t xml:space="preserve">FR-P-05</w:t>
            </w:r>
          </w:p>
        </w:tc>
        <w:tc>
          <w:tcPr>
            <w:tcW w:w="7100" w:type="dxa"/>
            <w:vAlign w:val="center"/>
          </w:tcPr>
          <w:p>
            <w:pPr>
              <w:spacing w:after="0" w:line="240" w:lineRule="auto"/>
              <w:jc w:val="left"/>
            </w:pPr>
            <w:r>
              <w:rPr>
                <w:b w:val="0"/>
                <w:sz w:val="20"/>
                <w:szCs w:val="20"/>
              </w:rPr>
              <w:t xml:space="preserve">Household Intake Wizard. A patient shall complete the factual portion of the Unified Intake Sheet through a guided, bilingual 5-step wizard (household, income, expenses, medical, review) that auto-saves and highlights any missing required field.</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FR-P-06</w:t>
            </w:r>
          </w:p>
        </w:tc>
        <w:tc>
          <w:tcPr>
            <w:tcW w:w="7100" w:type="dxa"/>
            <w:vAlign w:val="center"/>
          </w:tcPr>
          <w:p>
            <w:pPr>
              <w:spacing w:after="0" w:line="240" w:lineRule="auto"/>
              <w:jc w:val="left"/>
            </w:pPr>
            <w:r>
              <w:rPr>
                <w:b w:val="0"/>
                <w:sz w:val="20"/>
                <w:szCs w:val="20"/>
              </w:rPr>
              <w:t xml:space="preserve">Interview Booking. A patient shall reserve the single CRMC assessment interview from published, capacity-limited slots, shall see the mode of each slot (in person or online), and shall be able to cancel and rebook while the booking window remains open. A lost race for the same slot shall be refused rather than double-booked.</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FR-P-07</w:t>
            </w:r>
          </w:p>
        </w:tc>
        <w:tc>
          <w:tcPr>
            <w:tcW w:w="7100" w:type="dxa"/>
            <w:vAlign w:val="center"/>
          </w:tcPr>
          <w:p>
            <w:pPr>
              <w:spacing w:after="0" w:line="240" w:lineRule="auto"/>
              <w:jc w:val="left"/>
            </w:pPr>
            <w:r>
              <w:rPr>
                <w:b w:val="0"/>
                <w:sz w:val="20"/>
                <w:szCs w:val="20"/>
              </w:rPr>
              <w:t xml:space="preserve">Interview Attendance. A patient shall receive the date, time, and location of the interview — an in-person queue number for the CRMC Medical Social Service office, or a Google Meet link for the online fallback — and shall be reminded 24 hours and 1 hour before the appointment.</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FR-P-08</w:t>
            </w:r>
          </w:p>
        </w:tc>
        <w:tc>
          <w:tcPr>
            <w:tcW w:w="7100" w:type="dxa"/>
            <w:vAlign w:val="center"/>
          </w:tcPr>
          <w:p>
            <w:pPr>
              <w:spacing w:after="0" w:line="240" w:lineRule="auto"/>
              <w:jc w:val="left"/>
            </w:pPr>
            <w:r>
              <w:rPr>
                <w:b w:val="0"/>
                <w:sz w:val="20"/>
                <w:szCs w:val="20"/>
              </w:rPr>
              <w:t xml:space="preserve">Coverage Plan Review and Proceed. Once CRMC endorses the request, the patient shall see a coverage plan listing each endorsed agency and its requirements, together with the PhilHealth coverage already applied to the bill and the residual balance, and shall confirm via a single Proceed action that advances every endorsed slice into agency review atomically.</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FR-P-09</w:t>
            </w:r>
          </w:p>
        </w:tc>
        <w:tc>
          <w:tcPr>
            <w:tcW w:w="7100" w:type="dxa"/>
            <w:vAlign w:val="center"/>
          </w:tcPr>
          <w:p>
            <w:pPr>
              <w:spacing w:after="0" w:line="240" w:lineRule="auto"/>
              <w:jc w:val="left"/>
            </w:pPr>
            <w:r>
              <w:rPr>
                <w:b w:val="0"/>
                <w:sz w:val="20"/>
                <w:szCs w:val="20"/>
              </w:rPr>
              <w:t xml:space="preserve">Per-Slice Compliance. For each endorsed slice, the patient shall see the agency's requirements as a checklist of compliant versus missing items, with a direct upload affordance to satisfy any missing requirement.</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FR-P-10</w:t>
            </w:r>
          </w:p>
        </w:tc>
        <w:tc>
          <w:tcPr>
            <w:tcW w:w="7100" w:type="dxa"/>
            <w:vAlign w:val="center"/>
          </w:tcPr>
          <w:p>
            <w:pPr>
              <w:spacing w:after="0" w:line="240" w:lineRule="auto"/>
              <w:jc w:val="left"/>
            </w:pPr>
            <w:r>
              <w:rPr>
                <w:b w:val="0"/>
                <w:sz w:val="20"/>
                <w:szCs w:val="20"/>
              </w:rPr>
              <w:t xml:space="preserve">Request and Slice Tracking. A patient shall view the request lifecycle (Submitted, Under Review, Assessment, Endorsed, Partially or Fully Funded) and a per-slice lifecycle (Endorsed, For Funding, Approved, GL Issued), with real-time updates and no page refresh.</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FR-P-11</w:t>
            </w:r>
          </w:p>
        </w:tc>
        <w:tc>
          <w:tcPr>
            <w:tcW w:w="7100" w:type="dxa"/>
            <w:vAlign w:val="center"/>
          </w:tcPr>
          <w:p>
            <w:pPr>
              <w:spacing w:after="0" w:line="240" w:lineRule="auto"/>
              <w:jc w:val="left"/>
            </w:pPr>
            <w:r>
              <w:rPr>
                <w:b w:val="0"/>
                <w:sz w:val="20"/>
                <w:szCs w:val="20"/>
              </w:rPr>
              <w:t xml:space="preserve">Withdrawal. A patient shall withdraw their own request while it is in a pre-endorsement state and no slices exist yet; withdrawal marks the request closed and notifies CRMC.</w:t>
            </w:r>
          </w:p>
        </w:tc>
        <w:tc>
          <w:tcPr>
            <w:tcW w:w="1180" w:type="dxa"/>
            <w:vAlign w:val="center"/>
          </w:tcPr>
          <w:p>
            <w:pPr>
              <w:spacing w:after="0" w:line="240" w:lineRule="auto"/>
              <w:jc w:val="center"/>
            </w:pPr>
            <w:r>
              <w:rPr>
                <w:b w:val="0"/>
                <w:sz w:val="20"/>
                <w:szCs w:val="20"/>
              </w:rPr>
              <w:t xml:space="preserve">S</w:t>
            </w:r>
          </w:p>
        </w:tc>
      </w:tr>
      <w:tr>
        <w:tc>
          <w:tcPr>
            <w:tcW w:w="1120" w:type="dxa"/>
            <w:vAlign w:val="center"/>
          </w:tcPr>
          <w:p>
            <w:pPr>
              <w:spacing w:after="0" w:line="240" w:lineRule="auto"/>
              <w:jc w:val="center"/>
            </w:pPr>
            <w:r>
              <w:rPr>
                <w:b w:val="0"/>
                <w:sz w:val="20"/>
                <w:szCs w:val="20"/>
              </w:rPr>
              <w:t xml:space="preserve">FR-P-12</w:t>
            </w:r>
          </w:p>
        </w:tc>
        <w:tc>
          <w:tcPr>
            <w:tcW w:w="7100" w:type="dxa"/>
            <w:vAlign w:val="center"/>
          </w:tcPr>
          <w:p>
            <w:pPr>
              <w:spacing w:after="0" w:line="240" w:lineRule="auto"/>
              <w:jc w:val="left"/>
            </w:pPr>
            <w:r>
              <w:rPr>
                <w:b w:val="0"/>
                <w:sz w:val="20"/>
                <w:szCs w:val="20"/>
              </w:rPr>
              <w:t xml:space="preserve">Guarantee Letter Receipt. A patient shall download each signed Guarantee Letter once the approving agency uploads the wet-signed scan. Each Guarantee Letter is valid for 30 days from issuance.</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FR-P-13</w:t>
            </w:r>
          </w:p>
        </w:tc>
        <w:tc>
          <w:tcPr>
            <w:tcW w:w="7100" w:type="dxa"/>
            <w:vAlign w:val="center"/>
          </w:tcPr>
          <w:p>
            <w:pPr>
              <w:spacing w:after="0" w:line="240" w:lineRule="auto"/>
              <w:jc w:val="left"/>
            </w:pPr>
            <w:r>
              <w:rPr>
                <w:b w:val="0"/>
                <w:sz w:val="20"/>
                <w:szCs w:val="20"/>
              </w:rPr>
              <w:t xml:space="preserve">Bilingual Interface. All patient-facing pages and UI elements shall be available in Filipino and English, with a language toggle accessible at any time without losing state.</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FR-P-14</w:t>
            </w:r>
          </w:p>
        </w:tc>
        <w:tc>
          <w:tcPr>
            <w:tcW w:w="7100" w:type="dxa"/>
            <w:vAlign w:val="center"/>
          </w:tcPr>
          <w:p>
            <w:pPr>
              <w:spacing w:after="0" w:line="240" w:lineRule="auto"/>
              <w:jc w:val="left"/>
            </w:pPr>
            <w:r>
              <w:rPr>
                <w:b w:val="0"/>
                <w:sz w:val="20"/>
                <w:szCs w:val="20"/>
              </w:rPr>
              <w:t xml:space="preserve">Messaging. A patient shall message CRMC administrators and any agency endorsed on their request but shall not be able to message other patients.</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FR-P-15</w:t>
            </w:r>
          </w:p>
        </w:tc>
        <w:tc>
          <w:tcPr>
            <w:tcW w:w="7100" w:type="dxa"/>
            <w:vAlign w:val="center"/>
          </w:tcPr>
          <w:p>
            <w:pPr>
              <w:spacing w:after="0" w:line="240" w:lineRule="auto"/>
              <w:jc w:val="left"/>
            </w:pPr>
            <w:r>
              <w:rPr>
                <w:b w:val="0"/>
                <w:sz w:val="20"/>
                <w:szCs w:val="20"/>
              </w:rPr>
              <w:t xml:space="preserve">Data Access Log. A patient shall view a record of which staff accounts have accessed their request and documents, in support of the right to information under Republic Act No. 10173.</w:t>
            </w:r>
          </w:p>
        </w:tc>
        <w:tc>
          <w:tcPr>
            <w:tcW w:w="1180" w:type="dxa"/>
            <w:vAlign w:val="center"/>
          </w:tcPr>
          <w:p>
            <w:pPr>
              <w:spacing w:after="0" w:line="240" w:lineRule="auto"/>
              <w:jc w:val="center"/>
            </w:pPr>
            <w:r>
              <w:rPr>
                <w:b w:val="0"/>
                <w:sz w:val="20"/>
                <w:szCs w:val="20"/>
              </w:rPr>
              <w:t xml:space="preserve">S</w:t>
            </w:r>
          </w:p>
        </w:tc>
      </w:tr>
      <w:tr>
        <w:tc>
          <w:tcPr>
            <w:tcW w:w="1120" w:type="dxa"/>
            <w:vAlign w:val="center"/>
          </w:tcPr>
          <w:p>
            <w:pPr>
              <w:spacing w:after="0" w:line="240" w:lineRule="auto"/>
              <w:jc w:val="center"/>
            </w:pPr>
            <w:r>
              <w:rPr>
                <w:b w:val="0"/>
                <w:sz w:val="20"/>
                <w:szCs w:val="20"/>
              </w:rPr>
              <w:t xml:space="preserve">FR-P-16</w:t>
            </w:r>
          </w:p>
        </w:tc>
        <w:tc>
          <w:tcPr>
            <w:tcW w:w="7100" w:type="dxa"/>
            <w:vAlign w:val="center"/>
          </w:tcPr>
          <w:p>
            <w:pPr>
              <w:spacing w:after="0" w:line="240" w:lineRule="auto"/>
              <w:jc w:val="left"/>
            </w:pPr>
            <w:r>
              <w:rPr>
                <w:b w:val="0"/>
                <w:sz w:val="20"/>
                <w:szCs w:val="20"/>
              </w:rPr>
              <w:t xml:space="preserve">Data Export and Erasure. A patient shall download a machine-readable copy of every record the system holds about them, and shall be able to request permanent erasure of their account and data.</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FR-P-17</w:t>
            </w:r>
          </w:p>
        </w:tc>
        <w:tc>
          <w:tcPr>
            <w:tcW w:w="7100" w:type="dxa"/>
            <w:vAlign w:val="center"/>
          </w:tcPr>
          <w:p>
            <w:pPr>
              <w:spacing w:after="0" w:line="240" w:lineRule="auto"/>
              <w:jc w:val="left"/>
            </w:pPr>
            <w:r>
              <w:rPr>
                <w:b w:val="0"/>
                <w:sz w:val="20"/>
                <w:szCs w:val="20"/>
              </w:rPr>
              <w:t xml:space="preserve">Accessibility. All patient-facing interactive elements shall meet a 44-pixel minimum tappable size, and text shall meet WCAG AA contrast on the patient journey.</w:t>
            </w:r>
          </w:p>
        </w:tc>
        <w:tc>
          <w:tcPr>
            <w:tcW w:w="1180" w:type="dxa"/>
            <w:vAlign w:val="center"/>
          </w:tcPr>
          <w:p>
            <w:pPr>
              <w:spacing w:after="0" w:line="240" w:lineRule="auto"/>
              <w:jc w:val="center"/>
            </w:pPr>
            <w:r>
              <w:rPr>
                <w:b w:val="0"/>
                <w:sz w:val="20"/>
                <w:szCs w:val="20"/>
              </w:rPr>
              <w:t xml:space="preserve">S</w:t>
            </w:r>
          </w:p>
        </w:tc>
      </w:tr>
    </w:tbl>
    <w:p>
      <w:pPr>
        <w:pStyle w:val="BodyofResearch"/>
        <w:spacing w:after="0" w:line="240" w:lineRule="auto"/>
      </w:pPr>
    </w:p>
    <w:p>
      <w:pPr>
        <w:pStyle w:val="BodyofResearch"/>
        <w:keepNext/>
        <w:keepLines/>
        <w:spacing w:before="180" w:after="60"/>
        <w:jc w:val="left"/>
      </w:pPr>
      <w:r>
        <w:rPr>
          <w:b w:val="0"/>
          <w:i/>
        </w:rPr>
        <w:t xml:space="preserve">Table 2. Agency Coordinator Functional Requirements</w:t>
      </w:r>
    </w:p>
    <w:tbl>
      <w:tblPr>
        <w:tblStyle w:val="TableGrid"/>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6" w:type="dxa"/>
          <w:bottom w:w="40" w:type="dxa"/>
          <w:right w:w="86" w:type="dxa"/>
        </w:tblCellMar>
        <w:tblLook w:val="04A0" w:firstRow="1" w:lastRow="0" w:firstColumn="1" w:lastColumn="0" w:noHBand="0" w:noVBand="1"/>
      </w:tblPr>
      <w:tblGrid>
        <w:gridCol w:w="1120"/>
        <w:gridCol w:w="7100"/>
        <w:gridCol w:w="1180"/>
      </w:tblGrid>
      <w:tr>
        <w:trPr>
          <w:tblHeader/>
          <w:cantSplit/>
        </w:trPr>
        <w:tc>
          <w:tcPr>
            <w:tcW w:w="1120" w:type="dxa"/>
            <w:vAlign w:val="center"/>
          </w:tcPr>
          <w:p>
            <w:pPr>
              <w:spacing w:after="0" w:line="240" w:lineRule="auto"/>
              <w:jc w:val="center"/>
            </w:pPr>
            <w:r>
              <w:rPr>
                <w:b/>
                <w:sz w:val="20"/>
                <w:szCs w:val="20"/>
              </w:rPr>
              <w:t xml:space="preserve">ID</w:t>
            </w:r>
          </w:p>
        </w:tc>
        <w:tc>
          <w:tcPr>
            <w:tcW w:w="7100" w:type="dxa"/>
            <w:vAlign w:val="center"/>
          </w:tcPr>
          <w:p>
            <w:pPr>
              <w:spacing w:after="0" w:line="240" w:lineRule="auto"/>
              <w:jc w:val="center"/>
            </w:pPr>
            <w:r>
              <w:rPr>
                <w:b/>
                <w:sz w:val="20"/>
                <w:szCs w:val="20"/>
              </w:rPr>
              <w:t xml:space="preserve">Description</w:t>
            </w:r>
          </w:p>
        </w:tc>
        <w:tc>
          <w:tcPr>
            <w:tcW w:w="1180" w:type="dxa"/>
            <w:vAlign w:val="center"/>
          </w:tcPr>
          <w:p>
            <w:pPr>
              <w:spacing w:after="0" w:line="240" w:lineRule="auto"/>
              <w:jc w:val="center"/>
            </w:pPr>
            <w:r>
              <w:rPr>
                <w:b/>
                <w:sz w:val="20"/>
                <w:szCs w:val="20"/>
              </w:rPr>
              <w:t xml:space="preserve">Priority</w:t>
            </w:r>
          </w:p>
        </w:tc>
      </w:tr>
      <w:tr>
        <w:tc>
          <w:tcPr>
            <w:tcW w:w="1120" w:type="dxa"/>
            <w:vAlign w:val="center"/>
          </w:tcPr>
          <w:p>
            <w:pPr>
              <w:spacing w:after="0" w:line="240" w:lineRule="auto"/>
              <w:jc w:val="center"/>
            </w:pPr>
            <w:r>
              <w:rPr>
                <w:b w:val="0"/>
                <w:sz w:val="20"/>
                <w:szCs w:val="20"/>
              </w:rPr>
              <w:t xml:space="preserve">FR-A-01</w:t>
            </w:r>
          </w:p>
        </w:tc>
        <w:tc>
          <w:tcPr>
            <w:tcW w:w="7100" w:type="dxa"/>
            <w:vAlign w:val="center"/>
          </w:tcPr>
          <w:p>
            <w:pPr>
              <w:spacing w:after="0" w:line="240" w:lineRule="auto"/>
              <w:jc w:val="left"/>
            </w:pPr>
            <w:r>
              <w:rPr>
                <w:b w:val="0"/>
                <w:sz w:val="20"/>
                <w:szCs w:val="20"/>
              </w:rPr>
              <w:t xml:space="preserve">Funding Inbox. A coordinator shall view all slices endorsed to their agency, filtered by status; slices in the pre-Proceed endorsed state are excluded until the patient confirms the coverage plan.</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FR-A-02</w:t>
            </w:r>
          </w:p>
        </w:tc>
        <w:tc>
          <w:tcPr>
            <w:tcW w:w="7100" w:type="dxa"/>
            <w:vAlign w:val="center"/>
          </w:tcPr>
          <w:p>
            <w:pPr>
              <w:spacing w:after="0" w:line="240" w:lineRule="auto"/>
              <w:jc w:val="left"/>
            </w:pPr>
            <w:r>
              <w:rPr>
                <w:b w:val="0"/>
                <w:sz w:val="20"/>
                <w:szCs w:val="20"/>
              </w:rPr>
              <w:t xml:space="preserve">Document Review (read-only). A coordinator shall view all CRMC-verified documents attached to the parent request, without re-verifying them, since CRMC owns document verification as the single intake gateway.</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FR-A-03</w:t>
            </w:r>
          </w:p>
        </w:tc>
        <w:tc>
          <w:tcPr>
            <w:tcW w:w="7100" w:type="dxa"/>
            <w:vAlign w:val="center"/>
          </w:tcPr>
          <w:p>
            <w:pPr>
              <w:spacing w:after="0" w:line="240" w:lineRule="auto"/>
              <w:jc w:val="left"/>
            </w:pPr>
            <w:r>
              <w:rPr>
                <w:b w:val="0"/>
                <w:sz w:val="20"/>
                <w:szCs w:val="20"/>
              </w:rPr>
              <w:t xml:space="preserve">Assessment View (read-only). A coordinator shall view the Unified Intake Sheet completed by the patient and CRMC, together with the interview outcome and notes, without editing the assessment.</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FR-A-04</w:t>
            </w:r>
          </w:p>
        </w:tc>
        <w:tc>
          <w:tcPr>
            <w:tcW w:w="7100" w:type="dxa"/>
            <w:vAlign w:val="center"/>
          </w:tcPr>
          <w:p>
            <w:pPr>
              <w:spacing w:after="0" w:line="240" w:lineRule="auto"/>
              <w:jc w:val="left"/>
            </w:pPr>
            <w:r>
              <w:rPr>
                <w:b w:val="0"/>
                <w:sz w:val="20"/>
                <w:szCs w:val="20"/>
              </w:rPr>
              <w:t xml:space="preserve">Co-funding Picture. A coordinator shall see the full co-funding breakdown for the request — total bill, PhilHealth coverage applied, residual endorsed, committed across all sibling slices, in-review amount, and still-open balance — to inform the funding decision.</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FR-A-05</w:t>
            </w:r>
          </w:p>
        </w:tc>
        <w:tc>
          <w:tcPr>
            <w:tcW w:w="7100" w:type="dxa"/>
            <w:vAlign w:val="center"/>
          </w:tcPr>
          <w:p>
            <w:pPr>
              <w:spacing w:after="0" w:line="240" w:lineRule="auto"/>
              <w:jc w:val="left"/>
            </w:pPr>
            <w:r>
              <w:rPr>
                <w:b w:val="0"/>
                <w:sz w:val="20"/>
                <w:szCs w:val="20"/>
              </w:rPr>
              <w:t xml:space="preserve">Approval and GL Issuance. A coordinator shall approve a slice by entering the approved amount in PHP, one or more purposes, and the payable-to provider. Approval is transactional: the agency's committed budget is incremented, the parent request's committed amount advances, and a Guarantee Letter is issued.</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FR-A-06</w:t>
            </w:r>
          </w:p>
        </w:tc>
        <w:tc>
          <w:tcPr>
            <w:tcW w:w="7100" w:type="dxa"/>
            <w:vAlign w:val="center"/>
          </w:tcPr>
          <w:p>
            <w:pPr>
              <w:spacing w:after="0" w:line="240" w:lineRule="auto"/>
              <w:jc w:val="left"/>
            </w:pPr>
            <w:r>
              <w:rPr>
                <w:b w:val="0"/>
                <w:sz w:val="20"/>
                <w:szCs w:val="20"/>
              </w:rPr>
              <w:t xml:space="preserve">Over-Commitment Guard. While the coordinator types an amount, the system shall display the running co-funding total against the residual balance and warn before the combined commitments of all sibling slices would exceed the bill.</w:t>
            </w:r>
          </w:p>
        </w:tc>
        <w:tc>
          <w:tcPr>
            <w:tcW w:w="1180" w:type="dxa"/>
            <w:vAlign w:val="center"/>
          </w:tcPr>
          <w:p>
            <w:pPr>
              <w:spacing w:after="0" w:line="240" w:lineRule="auto"/>
              <w:jc w:val="center"/>
            </w:pPr>
            <w:r>
              <w:rPr>
                <w:b w:val="0"/>
                <w:sz w:val="20"/>
                <w:szCs w:val="20"/>
              </w:rPr>
              <w:t xml:space="preserve">S</w:t>
            </w:r>
          </w:p>
        </w:tc>
      </w:tr>
      <w:tr>
        <w:tc>
          <w:tcPr>
            <w:tcW w:w="1120" w:type="dxa"/>
            <w:vAlign w:val="center"/>
          </w:tcPr>
          <w:p>
            <w:pPr>
              <w:spacing w:after="0" w:line="240" w:lineRule="auto"/>
              <w:jc w:val="center"/>
            </w:pPr>
            <w:r>
              <w:rPr>
                <w:b w:val="0"/>
                <w:sz w:val="20"/>
                <w:szCs w:val="20"/>
              </w:rPr>
              <w:t xml:space="preserve">FR-A-07</w:t>
            </w:r>
          </w:p>
        </w:tc>
        <w:tc>
          <w:tcPr>
            <w:tcW w:w="7100" w:type="dxa"/>
            <w:vAlign w:val="center"/>
          </w:tcPr>
          <w:p>
            <w:pPr>
              <w:spacing w:after="0" w:line="240" w:lineRule="auto"/>
              <w:jc w:val="left"/>
            </w:pPr>
            <w:r>
              <w:rPr>
                <w:b w:val="0"/>
                <w:sz w:val="20"/>
                <w:szCs w:val="20"/>
              </w:rPr>
              <w:t xml:space="preserve">Cooldown Enforcement. The system shall prevent approval of a patient whose Hospital ID was approved by any agency within the past 30 days, with an explicit exception for sibling slices of the same co-funding request.</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FR-A-08</w:t>
            </w:r>
          </w:p>
        </w:tc>
        <w:tc>
          <w:tcPr>
            <w:tcW w:w="7100" w:type="dxa"/>
            <w:vAlign w:val="center"/>
          </w:tcPr>
          <w:p>
            <w:pPr>
              <w:spacing w:after="0" w:line="240" w:lineRule="auto"/>
              <w:jc w:val="left"/>
            </w:pPr>
            <w:r>
              <w:rPr>
                <w:b w:val="0"/>
                <w:sz w:val="20"/>
                <w:szCs w:val="20"/>
              </w:rPr>
              <w:t xml:space="preserve">Request More Info. A coordinator shall request additional information from the patient; the slice moves to an awaiting-info state and is removed from the urgent queue until the patient responds.</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FR-A-09</w:t>
            </w:r>
          </w:p>
        </w:tc>
        <w:tc>
          <w:tcPr>
            <w:tcW w:w="7100" w:type="dxa"/>
            <w:vAlign w:val="center"/>
          </w:tcPr>
          <w:p>
            <w:pPr>
              <w:spacing w:after="0" w:line="240" w:lineRule="auto"/>
              <w:jc w:val="left"/>
            </w:pPr>
            <w:r>
              <w:rPr>
                <w:b w:val="0"/>
                <w:sz w:val="20"/>
                <w:szCs w:val="20"/>
              </w:rPr>
              <w:t xml:space="preserve">Rejection. A coordinator shall reject a slice with a written reason; the patient is notified and CRMC may re-endorse the balance to another agency.</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FR-A-10</w:t>
            </w:r>
          </w:p>
        </w:tc>
        <w:tc>
          <w:tcPr>
            <w:tcW w:w="7100" w:type="dxa"/>
            <w:vAlign w:val="center"/>
          </w:tcPr>
          <w:p>
            <w:pPr>
              <w:spacing w:after="0" w:line="240" w:lineRule="auto"/>
              <w:jc w:val="left"/>
            </w:pPr>
            <w:r>
              <w:rPr>
                <w:b w:val="0"/>
                <w:sz w:val="20"/>
                <w:szCs w:val="20"/>
              </w:rPr>
              <w:t xml:space="preserve">Referral Suggestion. A coordinator shall suggest to CRMC another agency better suited to fund a case, as a structured referral rather than an informal message.</w:t>
            </w:r>
          </w:p>
        </w:tc>
        <w:tc>
          <w:tcPr>
            <w:tcW w:w="1180" w:type="dxa"/>
            <w:vAlign w:val="center"/>
          </w:tcPr>
          <w:p>
            <w:pPr>
              <w:spacing w:after="0" w:line="240" w:lineRule="auto"/>
              <w:jc w:val="center"/>
            </w:pPr>
            <w:r>
              <w:rPr>
                <w:b w:val="0"/>
                <w:sz w:val="20"/>
                <w:szCs w:val="20"/>
              </w:rPr>
              <w:t xml:space="preserve">C</w:t>
            </w:r>
          </w:p>
        </w:tc>
      </w:tr>
      <w:tr>
        <w:tc>
          <w:tcPr>
            <w:tcW w:w="1120" w:type="dxa"/>
            <w:vAlign w:val="center"/>
          </w:tcPr>
          <w:p>
            <w:pPr>
              <w:spacing w:after="0" w:line="240" w:lineRule="auto"/>
              <w:jc w:val="center"/>
            </w:pPr>
            <w:r>
              <w:rPr>
                <w:b w:val="0"/>
                <w:sz w:val="20"/>
                <w:szCs w:val="20"/>
              </w:rPr>
              <w:t xml:space="preserve">FR-A-11</w:t>
            </w:r>
          </w:p>
        </w:tc>
        <w:tc>
          <w:tcPr>
            <w:tcW w:w="7100" w:type="dxa"/>
            <w:vAlign w:val="center"/>
          </w:tcPr>
          <w:p>
            <w:pPr>
              <w:spacing w:after="0" w:line="240" w:lineRule="auto"/>
              <w:jc w:val="left"/>
            </w:pPr>
            <w:r>
              <w:rPr>
                <w:b w:val="0"/>
                <w:sz w:val="20"/>
                <w:szCs w:val="20"/>
              </w:rPr>
              <w:t xml:space="preserve">Slot Management. A coordinator shall set the agency's daily slot capacity; slots are decremented at CRMC endorsement and reset daily by a scheduled server process.</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FR-A-12</w:t>
            </w:r>
          </w:p>
        </w:tc>
        <w:tc>
          <w:tcPr>
            <w:tcW w:w="7100" w:type="dxa"/>
            <w:vAlign w:val="center"/>
          </w:tcPr>
          <w:p>
            <w:pPr>
              <w:spacing w:after="0" w:line="240" w:lineRule="auto"/>
              <w:jc w:val="left"/>
            </w:pPr>
            <w:r>
              <w:rPr>
                <w:b w:val="0"/>
                <w:sz w:val="20"/>
                <w:szCs w:val="20"/>
              </w:rPr>
              <w:t xml:space="preserve">GL Print and Upload. A coordinator shall print or save the unsigned Guarantee Letter as PDF, wet-sign it, and upload the signed scan for the patient to download.</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FR-A-13</w:t>
            </w:r>
          </w:p>
        </w:tc>
        <w:tc>
          <w:tcPr>
            <w:tcW w:w="7100" w:type="dxa"/>
            <w:vAlign w:val="center"/>
          </w:tcPr>
          <w:p>
            <w:pPr>
              <w:spacing w:after="0" w:line="240" w:lineRule="auto"/>
              <w:jc w:val="left"/>
            </w:pPr>
            <w:r>
              <w:rPr>
                <w:b w:val="0"/>
                <w:sz w:val="20"/>
                <w:szCs w:val="20"/>
              </w:rPr>
              <w:t xml:space="preserve">GL Lifecycle. A coordinator shall mark a Guarantee Letter as Redeemed or Expired, or reverse an approval to correct mistakes; reversal preserves the patient's cooldown but releases the agency's committed budget.</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FR-A-14</w:t>
            </w:r>
          </w:p>
        </w:tc>
        <w:tc>
          <w:tcPr>
            <w:tcW w:w="7100" w:type="dxa"/>
            <w:vAlign w:val="center"/>
          </w:tcPr>
          <w:p>
            <w:pPr>
              <w:spacing w:after="0" w:line="240" w:lineRule="auto"/>
              <w:jc w:val="left"/>
            </w:pPr>
            <w:r>
              <w:rPr>
                <w:b w:val="0"/>
                <w:sz w:val="20"/>
                <w:szCs w:val="20"/>
              </w:rPr>
              <w:t xml:space="preserve">Case Timeline. A coordinator shall view a chronological cross-agency event feed for the case, showing what CRMC and sibling agencies have done and when.</w:t>
            </w:r>
          </w:p>
        </w:tc>
        <w:tc>
          <w:tcPr>
            <w:tcW w:w="1180" w:type="dxa"/>
            <w:vAlign w:val="center"/>
          </w:tcPr>
          <w:p>
            <w:pPr>
              <w:spacing w:after="0" w:line="240" w:lineRule="auto"/>
              <w:jc w:val="center"/>
            </w:pPr>
            <w:r>
              <w:rPr>
                <w:b w:val="0"/>
                <w:sz w:val="20"/>
                <w:szCs w:val="20"/>
              </w:rPr>
              <w:t xml:space="preserve">S</w:t>
            </w:r>
          </w:p>
        </w:tc>
      </w:tr>
      <w:tr>
        <w:tc>
          <w:tcPr>
            <w:tcW w:w="1120" w:type="dxa"/>
            <w:vAlign w:val="center"/>
          </w:tcPr>
          <w:p>
            <w:pPr>
              <w:spacing w:after="0" w:line="240" w:lineRule="auto"/>
              <w:jc w:val="center"/>
            </w:pPr>
            <w:r>
              <w:rPr>
                <w:b w:val="0"/>
                <w:sz w:val="20"/>
                <w:szCs w:val="20"/>
              </w:rPr>
              <w:t xml:space="preserve">FR-A-15</w:t>
            </w:r>
          </w:p>
        </w:tc>
        <w:tc>
          <w:tcPr>
            <w:tcW w:w="7100" w:type="dxa"/>
            <w:vAlign w:val="center"/>
          </w:tcPr>
          <w:p>
            <w:pPr>
              <w:spacing w:after="0" w:line="240" w:lineRule="auto"/>
              <w:jc w:val="left"/>
            </w:pPr>
            <w:r>
              <w:rPr>
                <w:b w:val="0"/>
                <w:sz w:val="20"/>
                <w:szCs w:val="20"/>
              </w:rPr>
              <w:t xml:space="preserve">Coordination Messaging. A coordinator shall message both the patient and the CRMC social worker who endorsed the slice via shortcut buttons.</w:t>
            </w:r>
          </w:p>
        </w:tc>
        <w:tc>
          <w:tcPr>
            <w:tcW w:w="1180" w:type="dxa"/>
            <w:vAlign w:val="center"/>
          </w:tcPr>
          <w:p>
            <w:pPr>
              <w:spacing w:after="0" w:line="240" w:lineRule="auto"/>
              <w:jc w:val="center"/>
            </w:pPr>
            <w:r>
              <w:rPr>
                <w:b w:val="0"/>
                <w:sz w:val="20"/>
                <w:szCs w:val="20"/>
              </w:rPr>
              <w:t xml:space="preserve">S</w:t>
            </w:r>
          </w:p>
        </w:tc>
      </w:tr>
    </w:tbl>
    <w:p>
      <w:pPr>
        <w:pStyle w:val="BodyofResearch"/>
        <w:spacing w:after="0" w:line="240" w:lineRule="auto"/>
      </w:pPr>
    </w:p>
    <w:p>
      <w:pPr>
        <w:pStyle w:val="BodyofResearch"/>
        <w:keepNext/>
        <w:keepLines/>
        <w:spacing w:before="180" w:after="60"/>
        <w:jc w:val="left"/>
      </w:pPr>
      <w:r>
        <w:rPr>
          <w:b w:val="0"/>
          <w:i/>
        </w:rPr>
        <w:t xml:space="preserve">Table 3. Agency Administrator Functional Requirements</w:t>
      </w:r>
    </w:p>
    <w:tbl>
      <w:tblPr>
        <w:tblStyle w:val="TableGrid"/>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6" w:type="dxa"/>
          <w:bottom w:w="40" w:type="dxa"/>
          <w:right w:w="86" w:type="dxa"/>
        </w:tblCellMar>
        <w:tblLook w:val="04A0" w:firstRow="1" w:lastRow="0" w:firstColumn="1" w:lastColumn="0" w:noHBand="0" w:noVBand="1"/>
      </w:tblPr>
      <w:tblGrid>
        <w:gridCol w:w="1120"/>
        <w:gridCol w:w="7100"/>
        <w:gridCol w:w="1180"/>
      </w:tblGrid>
      <w:tr>
        <w:trPr>
          <w:tblHeader/>
          <w:cantSplit/>
        </w:trPr>
        <w:tc>
          <w:tcPr>
            <w:tcW w:w="1120" w:type="dxa"/>
            <w:vAlign w:val="center"/>
          </w:tcPr>
          <w:p>
            <w:pPr>
              <w:spacing w:after="0" w:line="240" w:lineRule="auto"/>
              <w:jc w:val="center"/>
            </w:pPr>
            <w:r>
              <w:rPr>
                <w:b/>
                <w:sz w:val="20"/>
                <w:szCs w:val="20"/>
              </w:rPr>
              <w:t xml:space="preserve">ID</w:t>
            </w:r>
          </w:p>
        </w:tc>
        <w:tc>
          <w:tcPr>
            <w:tcW w:w="7100" w:type="dxa"/>
            <w:vAlign w:val="center"/>
          </w:tcPr>
          <w:p>
            <w:pPr>
              <w:spacing w:after="0" w:line="240" w:lineRule="auto"/>
              <w:jc w:val="center"/>
            </w:pPr>
            <w:r>
              <w:rPr>
                <w:b/>
                <w:sz w:val="20"/>
                <w:szCs w:val="20"/>
              </w:rPr>
              <w:t xml:space="preserve">Description</w:t>
            </w:r>
          </w:p>
        </w:tc>
        <w:tc>
          <w:tcPr>
            <w:tcW w:w="1180" w:type="dxa"/>
            <w:vAlign w:val="center"/>
          </w:tcPr>
          <w:p>
            <w:pPr>
              <w:spacing w:after="0" w:line="240" w:lineRule="auto"/>
              <w:jc w:val="center"/>
            </w:pPr>
            <w:r>
              <w:rPr>
                <w:b/>
                <w:sz w:val="20"/>
                <w:szCs w:val="20"/>
              </w:rPr>
              <w:t xml:space="preserve">Priority</w:t>
            </w:r>
          </w:p>
        </w:tc>
      </w:tr>
      <w:tr>
        <w:tc>
          <w:tcPr>
            <w:tcW w:w="1120" w:type="dxa"/>
            <w:vAlign w:val="center"/>
          </w:tcPr>
          <w:p>
            <w:pPr>
              <w:spacing w:after="0" w:line="240" w:lineRule="auto"/>
              <w:jc w:val="center"/>
            </w:pPr>
            <w:r>
              <w:rPr>
                <w:b w:val="0"/>
                <w:sz w:val="20"/>
                <w:szCs w:val="20"/>
              </w:rPr>
              <w:t xml:space="preserve">FR-AA-01</w:t>
            </w:r>
          </w:p>
        </w:tc>
        <w:tc>
          <w:tcPr>
            <w:tcW w:w="7100" w:type="dxa"/>
            <w:vAlign w:val="center"/>
          </w:tcPr>
          <w:p>
            <w:pPr>
              <w:spacing w:after="0" w:line="240" w:lineRule="auto"/>
              <w:jc w:val="left"/>
            </w:pPr>
            <w:r>
              <w:rPr>
                <w:b w:val="0"/>
                <w:sz w:val="20"/>
                <w:szCs w:val="20"/>
              </w:rPr>
              <w:t xml:space="preserve">Budget Allocation. An agency administrator shall set the total budget for a fiscal period (monthly, quarterly, or yearly) and the fund source for audit defense, and start new periods, which resets committed and disbursed counters while preserving the allocation record.</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FR-AA-02</w:t>
            </w:r>
          </w:p>
        </w:tc>
        <w:tc>
          <w:tcPr>
            <w:tcW w:w="7100" w:type="dxa"/>
            <w:vAlign w:val="center"/>
          </w:tcPr>
          <w:p>
            <w:pPr>
              <w:spacing w:after="0" w:line="240" w:lineRule="auto"/>
              <w:jc w:val="left"/>
            </w:pPr>
            <w:r>
              <w:rPr>
                <w:b w:val="0"/>
                <w:sz w:val="20"/>
                <w:szCs w:val="20"/>
              </w:rPr>
              <w:t xml:space="preserve">Per-Applicant Cap. An agency administrator shall configure an optional per-applicant policy ceiling; CRMC sees a soft warning at endorsement and the Approve modal hard-blocks any approval above this cap.</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FR-AA-03</w:t>
            </w:r>
          </w:p>
        </w:tc>
        <w:tc>
          <w:tcPr>
            <w:tcW w:w="7100" w:type="dxa"/>
            <w:vAlign w:val="center"/>
          </w:tcPr>
          <w:p>
            <w:pPr>
              <w:spacing w:after="0" w:line="240" w:lineRule="auto"/>
              <w:jc w:val="left"/>
            </w:pPr>
            <w:r>
              <w:rPr>
                <w:b w:val="0"/>
                <w:sz w:val="20"/>
                <w:szCs w:val="20"/>
              </w:rPr>
              <w:t xml:space="preserve">Team Management. An agency administrator shall create, edit, deactivate, and delete coordinator accounts, and promote or demote between coordinator and administrator, with guards preventing self-demotion and demotion of the last administrator.</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FR-AA-04</w:t>
            </w:r>
          </w:p>
        </w:tc>
        <w:tc>
          <w:tcPr>
            <w:tcW w:w="7100" w:type="dxa"/>
            <w:vAlign w:val="center"/>
          </w:tcPr>
          <w:p>
            <w:pPr>
              <w:spacing w:after="0" w:line="240" w:lineRule="auto"/>
              <w:jc w:val="left"/>
            </w:pPr>
            <w:r>
              <w:rPr>
                <w:b w:val="0"/>
                <w:sz w:val="20"/>
                <w:szCs w:val="20"/>
              </w:rPr>
              <w:t xml:space="preserve">Agency Audit Log. An agency administrator shall view a log of all administrative actions within their agency, including action type, actor, timestamp, and target.</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FR-AA-05</w:t>
            </w:r>
          </w:p>
        </w:tc>
        <w:tc>
          <w:tcPr>
            <w:tcW w:w="7100" w:type="dxa"/>
            <w:vAlign w:val="center"/>
          </w:tcPr>
          <w:p>
            <w:pPr>
              <w:spacing w:after="0" w:line="240" w:lineRule="auto"/>
              <w:jc w:val="left"/>
            </w:pPr>
            <w:r>
              <w:rPr>
                <w:b w:val="0"/>
                <w:sz w:val="20"/>
                <w:szCs w:val="20"/>
              </w:rPr>
              <w:t xml:space="preserve">Coordinator Functions. All coordinator functional requirements (FR-A-01 through FR-A-15) shall also be available to agency administrators.</w:t>
            </w:r>
          </w:p>
        </w:tc>
        <w:tc>
          <w:tcPr>
            <w:tcW w:w="1180" w:type="dxa"/>
            <w:vAlign w:val="center"/>
          </w:tcPr>
          <w:p>
            <w:pPr>
              <w:spacing w:after="0" w:line="240" w:lineRule="auto"/>
              <w:jc w:val="center"/>
            </w:pPr>
            <w:r>
              <w:rPr>
                <w:b w:val="0"/>
                <w:sz w:val="20"/>
                <w:szCs w:val="20"/>
              </w:rPr>
              <w:t xml:space="preserve">M</w:t>
            </w:r>
          </w:p>
        </w:tc>
      </w:tr>
    </w:tbl>
    <w:p>
      <w:pPr>
        <w:pStyle w:val="BodyofResearch"/>
        <w:spacing w:after="0" w:line="240" w:lineRule="auto"/>
      </w:pPr>
    </w:p>
    <w:p>
      <w:pPr>
        <w:pStyle w:val="BodyofResearch"/>
        <w:keepNext/>
        <w:keepLines/>
        <w:spacing w:before="180" w:after="60"/>
        <w:jc w:val="left"/>
      </w:pPr>
      <w:r>
        <w:rPr>
          <w:b w:val="0"/>
          <w:i/>
        </w:rPr>
        <w:t xml:space="preserve">Table 4. CRMC Administrator Functional Requirements</w:t>
      </w:r>
    </w:p>
    <w:tbl>
      <w:tblPr>
        <w:tblStyle w:val="TableGrid"/>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6" w:type="dxa"/>
          <w:bottom w:w="40" w:type="dxa"/>
          <w:right w:w="86" w:type="dxa"/>
        </w:tblCellMar>
        <w:tblLook w:val="04A0" w:firstRow="1" w:lastRow="0" w:firstColumn="1" w:lastColumn="0" w:noHBand="0" w:noVBand="1"/>
      </w:tblPr>
      <w:tblGrid>
        <w:gridCol w:w="1120"/>
        <w:gridCol w:w="7100"/>
        <w:gridCol w:w="1180"/>
      </w:tblGrid>
      <w:tr>
        <w:trPr>
          <w:tblHeader/>
          <w:cantSplit/>
        </w:trPr>
        <w:tc>
          <w:tcPr>
            <w:tcW w:w="1120" w:type="dxa"/>
            <w:vAlign w:val="center"/>
          </w:tcPr>
          <w:p>
            <w:pPr>
              <w:spacing w:after="0" w:line="240" w:lineRule="auto"/>
              <w:jc w:val="center"/>
            </w:pPr>
            <w:r>
              <w:rPr>
                <w:b/>
                <w:sz w:val="20"/>
                <w:szCs w:val="20"/>
              </w:rPr>
              <w:t xml:space="preserve">ID</w:t>
            </w:r>
          </w:p>
        </w:tc>
        <w:tc>
          <w:tcPr>
            <w:tcW w:w="7100" w:type="dxa"/>
            <w:vAlign w:val="center"/>
          </w:tcPr>
          <w:p>
            <w:pPr>
              <w:spacing w:after="0" w:line="240" w:lineRule="auto"/>
              <w:jc w:val="center"/>
            </w:pPr>
            <w:r>
              <w:rPr>
                <w:b/>
                <w:sz w:val="20"/>
                <w:szCs w:val="20"/>
              </w:rPr>
              <w:t xml:space="preserve">Description</w:t>
            </w:r>
          </w:p>
        </w:tc>
        <w:tc>
          <w:tcPr>
            <w:tcW w:w="1180" w:type="dxa"/>
            <w:vAlign w:val="center"/>
          </w:tcPr>
          <w:p>
            <w:pPr>
              <w:spacing w:after="0" w:line="240" w:lineRule="auto"/>
              <w:jc w:val="center"/>
            </w:pPr>
            <w:r>
              <w:rPr>
                <w:b/>
                <w:sz w:val="20"/>
                <w:szCs w:val="20"/>
              </w:rPr>
              <w:t xml:space="preserve">Priority</w:t>
            </w:r>
          </w:p>
        </w:tc>
      </w:tr>
      <w:tr>
        <w:tc>
          <w:tcPr>
            <w:tcW w:w="1120" w:type="dxa"/>
            <w:vAlign w:val="center"/>
          </w:tcPr>
          <w:p>
            <w:pPr>
              <w:spacing w:after="0" w:line="240" w:lineRule="auto"/>
              <w:jc w:val="center"/>
            </w:pPr>
            <w:r>
              <w:rPr>
                <w:b w:val="0"/>
                <w:sz w:val="20"/>
                <w:szCs w:val="20"/>
              </w:rPr>
              <w:t xml:space="preserve">FR-CRMC-01</w:t>
            </w:r>
          </w:p>
        </w:tc>
        <w:tc>
          <w:tcPr>
            <w:tcW w:w="7100" w:type="dxa"/>
            <w:vAlign w:val="center"/>
          </w:tcPr>
          <w:p>
            <w:pPr>
              <w:spacing w:after="0" w:line="240" w:lineRule="auto"/>
              <w:jc w:val="left"/>
            </w:pPr>
            <w:r>
              <w:rPr>
                <w:b w:val="0"/>
                <w:sz w:val="20"/>
                <w:szCs w:val="20"/>
              </w:rPr>
              <w:t xml:space="preserve">Requests Workspace. A CRMC administrator shall view all submitted requests with filters and search, working each through a guided stepper: verify documents, book or confirm the interview, conduct the interview and complete the intake, then endorse to one or more agencies. Cross-slice coverage warnings flag CRMC action items.</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FR-CRMC-02</w:t>
            </w:r>
          </w:p>
        </w:tc>
        <w:tc>
          <w:tcPr>
            <w:tcW w:w="7100" w:type="dxa"/>
            <w:vAlign w:val="center"/>
          </w:tcPr>
          <w:p>
            <w:pPr>
              <w:spacing w:after="0" w:line="240" w:lineRule="auto"/>
              <w:jc w:val="left"/>
            </w:pPr>
            <w:r>
              <w:rPr>
                <w:b w:val="0"/>
                <w:sz w:val="20"/>
                <w:szCs w:val="20"/>
              </w:rPr>
              <w:t xml:space="preserve">Document Verification. A CRMC administrator shall mark each patient document as verified, rejected (with a reason that flows to the patient), or reset to pending, with the OCR advisory surfaced for ID documents and the reviewer trail shown inline.</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FR-CRMC-03</w:t>
            </w:r>
          </w:p>
        </w:tc>
        <w:tc>
          <w:tcPr>
            <w:tcW w:w="7100" w:type="dxa"/>
            <w:vAlign w:val="center"/>
          </w:tcPr>
          <w:p>
            <w:pPr>
              <w:spacing w:after="0" w:line="240" w:lineRule="auto"/>
              <w:jc w:val="left"/>
            </w:pPr>
            <w:r>
              <w:rPr>
                <w:b w:val="0"/>
                <w:sz w:val="20"/>
                <w:szCs w:val="20"/>
              </w:rPr>
              <w:t xml:space="preserve">Interview Slot Publishing. A CRMC administrator shall publish assessment-interview slots with a date, time, duration, and mode (in person or online), shall open or close booking per request, and shall reschedule or delete slots. Only administrators may create or remove slots.</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FR-CRMC-04</w:t>
            </w:r>
          </w:p>
        </w:tc>
        <w:tc>
          <w:tcPr>
            <w:tcW w:w="7100" w:type="dxa"/>
            <w:vAlign w:val="center"/>
          </w:tcPr>
          <w:p>
            <w:pPr>
              <w:spacing w:after="0" w:line="240" w:lineRule="auto"/>
              <w:jc w:val="left"/>
            </w:pPr>
            <w:r>
              <w:rPr>
                <w:b w:val="0"/>
                <w:sz w:val="20"/>
                <w:szCs w:val="20"/>
              </w:rPr>
              <w:t xml:space="preserve">Assessment. A CRMC administrator shall conduct the single assessment interview and complete the structured Unified Intake Sheet, including family composition, income and expenses, medical details, social case study, recommendation, and means-test classification, and shall record the interview outcome (Completed, No-show, or Reschedule).</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FR-CRMC-05</w:t>
            </w:r>
          </w:p>
        </w:tc>
        <w:tc>
          <w:tcPr>
            <w:tcW w:w="7100" w:type="dxa"/>
            <w:vAlign w:val="center"/>
          </w:tcPr>
          <w:p>
            <w:pPr>
              <w:spacing w:after="0" w:line="240" w:lineRule="auto"/>
              <w:jc w:val="left"/>
            </w:pPr>
            <w:r>
              <w:rPr>
                <w:b w:val="0"/>
                <w:sz w:val="20"/>
                <w:szCs w:val="20"/>
              </w:rPr>
              <w:t xml:space="preserve">PhilHealth First-Charge Coverage. A CRMC administrator shall record the PhilHealth benefit already applied to the hospital bill, together with any other coverage, so that the system computes the residual amount needed as bill less PhilHealth less other coverage. Only the residual is endorsable.</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FR-CRMC-06</w:t>
            </w:r>
          </w:p>
        </w:tc>
        <w:tc>
          <w:tcPr>
            <w:tcW w:w="7100" w:type="dxa"/>
            <w:vAlign w:val="center"/>
          </w:tcPr>
          <w:p>
            <w:pPr>
              <w:spacing w:after="0" w:line="240" w:lineRule="auto"/>
              <w:jc w:val="left"/>
            </w:pPr>
            <w:r>
              <w:rPr>
                <w:b w:val="0"/>
                <w:sz w:val="20"/>
                <w:szCs w:val="20"/>
              </w:rPr>
              <w:t xml:space="preserve">Endorsement (pure selection). A CRMC administrator shall endorse a verified, assessed request to one or more partner agencies by selecting which agencies should fund it; the amount is decided by each agency, not by CRMC. Endorsement creates one slice per agency, decrements each slot, and notifies the patient.</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FR-CRMC-07</w:t>
            </w:r>
          </w:p>
        </w:tc>
        <w:tc>
          <w:tcPr>
            <w:tcW w:w="7100" w:type="dxa"/>
            <w:vAlign w:val="center"/>
          </w:tcPr>
          <w:p>
            <w:pPr>
              <w:spacing w:after="0" w:line="240" w:lineRule="auto"/>
              <w:jc w:val="left"/>
            </w:pPr>
            <w:r>
              <w:rPr>
                <w:b w:val="0"/>
                <w:sz w:val="20"/>
                <w:szCs w:val="20"/>
              </w:rPr>
              <w:t xml:space="preserve">Re-Endorsement. A CRMC administrator shall re-endorse a request to another agency when a slice is rejected or stalls, with the prior endorsement preserved in the audit trail.</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FR-CRMC-08</w:t>
            </w:r>
          </w:p>
        </w:tc>
        <w:tc>
          <w:tcPr>
            <w:tcW w:w="7100" w:type="dxa"/>
            <w:vAlign w:val="center"/>
          </w:tcPr>
          <w:p>
            <w:pPr>
              <w:spacing w:after="0" w:line="240" w:lineRule="auto"/>
              <w:jc w:val="left"/>
            </w:pPr>
            <w:r>
              <w:rPr>
                <w:b w:val="0"/>
                <w:sz w:val="20"/>
                <w:szCs w:val="20"/>
              </w:rPr>
              <w:t xml:space="preserve">Document and Assistance Type Management. A CRMC administrator shall define the document types (including required and reusable flags) and the assistance categories accepted by the system.</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FR-CRMC-09</w:t>
            </w:r>
          </w:p>
        </w:tc>
        <w:tc>
          <w:tcPr>
            <w:tcW w:w="7100" w:type="dxa"/>
            <w:vAlign w:val="center"/>
          </w:tcPr>
          <w:p>
            <w:pPr>
              <w:spacing w:after="0" w:line="240" w:lineRule="auto"/>
              <w:jc w:val="left"/>
            </w:pPr>
            <w:r>
              <w:rPr>
                <w:b w:val="0"/>
                <w:sz w:val="20"/>
                <w:szCs w:val="20"/>
              </w:rPr>
              <w:t xml:space="preserve">Hospital ID Issuance. A CRMC administrator shall generate and manage the pool of Patient Access Codes, with collision-safe bulk creation, QR issuance, and atomic revoke and delete operations.</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FR-CRMC-10</w:t>
            </w:r>
          </w:p>
        </w:tc>
        <w:tc>
          <w:tcPr>
            <w:tcW w:w="7100" w:type="dxa"/>
            <w:vAlign w:val="center"/>
          </w:tcPr>
          <w:p>
            <w:pPr>
              <w:spacing w:after="0" w:line="240" w:lineRule="auto"/>
              <w:jc w:val="left"/>
            </w:pPr>
            <w:r>
              <w:rPr>
                <w:b w:val="0"/>
                <w:sz w:val="20"/>
                <w:szCs w:val="20"/>
              </w:rPr>
              <w:t xml:space="preserve">Patient Records. A CRMC administrator shall view all registered patients and their request and application histories, without modifying patient personal details.</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FR-CRMC-11</w:t>
            </w:r>
          </w:p>
        </w:tc>
        <w:tc>
          <w:tcPr>
            <w:tcW w:w="7100" w:type="dxa"/>
            <w:vAlign w:val="center"/>
          </w:tcPr>
          <w:p>
            <w:pPr>
              <w:spacing w:after="0" w:line="240" w:lineRule="auto"/>
              <w:jc w:val="left"/>
            </w:pPr>
            <w:r>
              <w:rPr>
                <w:b w:val="0"/>
                <w:sz w:val="20"/>
                <w:szCs w:val="20"/>
              </w:rPr>
              <w:t xml:space="preserve">Application Logs and Reports. A CRMC administrator shall view all applications across all agencies with filters and CSV export, and generate aggregate reports per agency, status, and period.</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FR-CRMC-12</w:t>
            </w:r>
          </w:p>
        </w:tc>
        <w:tc>
          <w:tcPr>
            <w:tcW w:w="7100" w:type="dxa"/>
            <w:vAlign w:val="center"/>
          </w:tcPr>
          <w:p>
            <w:pPr>
              <w:spacing w:after="0" w:line="240" w:lineRule="auto"/>
              <w:jc w:val="left"/>
            </w:pPr>
            <w:r>
              <w:rPr>
                <w:b w:val="0"/>
                <w:sz w:val="20"/>
                <w:szCs w:val="20"/>
              </w:rPr>
              <w:t xml:space="preserve">Agency Management. A CRMC administrator shall create, edit, enable, disable, and delete partner agencies; disabling offers a choice of auto-rejecting in-flight applications without cooldown or holding them pending re-enable.</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FR-CRMC-13</w:t>
            </w:r>
          </w:p>
        </w:tc>
        <w:tc>
          <w:tcPr>
            <w:tcW w:w="7100" w:type="dxa"/>
            <w:vAlign w:val="center"/>
          </w:tcPr>
          <w:p>
            <w:pPr>
              <w:spacing w:after="0" w:line="240" w:lineRule="auto"/>
              <w:jc w:val="left"/>
            </w:pPr>
            <w:r>
              <w:rPr>
                <w:b w:val="0"/>
                <w:sz w:val="20"/>
                <w:szCs w:val="20"/>
              </w:rPr>
              <w:t xml:space="preserve">Messaging. A CRMC administrator shall message any patient or agency endorsed on a request, including a top-of-detail Message Patient shortcut.</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FR-CRMC-14</w:t>
            </w:r>
          </w:p>
        </w:tc>
        <w:tc>
          <w:tcPr>
            <w:tcW w:w="7100" w:type="dxa"/>
            <w:vAlign w:val="center"/>
          </w:tcPr>
          <w:p>
            <w:pPr>
              <w:spacing w:after="0" w:line="240" w:lineRule="auto"/>
              <w:jc w:val="left"/>
            </w:pPr>
            <w:r>
              <w:rPr>
                <w:b w:val="0"/>
                <w:sz w:val="20"/>
                <w:szCs w:val="20"/>
              </w:rPr>
              <w:t xml:space="preserve">Announcements. A super or staff administrator shall create system-wide announcements (Information, Warning, Maintenance) visible to all authenticated users during defined windows, with a 24-hour-before reminder.</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FR-CRMC-15</w:t>
            </w:r>
          </w:p>
        </w:tc>
        <w:tc>
          <w:tcPr>
            <w:tcW w:w="7100" w:type="dxa"/>
            <w:vAlign w:val="center"/>
          </w:tcPr>
          <w:p>
            <w:pPr>
              <w:spacing w:after="0" w:line="240" w:lineRule="auto"/>
              <w:jc w:val="left"/>
            </w:pPr>
            <w:r>
              <w:rPr>
                <w:b w:val="0"/>
                <w:sz w:val="20"/>
                <w:szCs w:val="20"/>
              </w:rPr>
              <w:t xml:space="preserve">Platform Audit Log. A super administrator shall view the complete platform-wide immutable audit trail of all administrative actions, with no updates or deletions permitted.</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FR-CRMC-16</w:t>
            </w:r>
          </w:p>
        </w:tc>
        <w:tc>
          <w:tcPr>
            <w:tcW w:w="7100" w:type="dxa"/>
            <w:vAlign w:val="center"/>
          </w:tcPr>
          <w:p>
            <w:pPr>
              <w:spacing w:after="0" w:line="240" w:lineRule="auto"/>
              <w:jc w:val="left"/>
            </w:pPr>
            <w:r>
              <w:rPr>
                <w:b w:val="0"/>
                <w:sz w:val="20"/>
                <w:szCs w:val="20"/>
              </w:rPr>
              <w:t xml:space="preserve">Admin Account Management. A super administrator shall create, edit, deactivate, and delete administrator accounts at super and staff levels; staff administrators cannot manage administrator accounts.</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FR-CRMC-17</w:t>
            </w:r>
          </w:p>
        </w:tc>
        <w:tc>
          <w:tcPr>
            <w:tcW w:w="7100" w:type="dxa"/>
            <w:vAlign w:val="center"/>
          </w:tcPr>
          <w:p>
            <w:pPr>
              <w:spacing w:after="0" w:line="240" w:lineRule="auto"/>
              <w:jc w:val="left"/>
            </w:pPr>
            <w:r>
              <w:rPr>
                <w:b w:val="0"/>
                <w:sz w:val="20"/>
                <w:szCs w:val="20"/>
              </w:rPr>
              <w:t xml:space="preserve">Data Erasure. A super administrator shall permanently erase a patient's account and all associated records across every collection, including the authentication account, in fulfilment of Section 16(e) of Republic Act No. 10173.</w:t>
            </w:r>
          </w:p>
        </w:tc>
        <w:tc>
          <w:tcPr>
            <w:tcW w:w="1180" w:type="dxa"/>
            <w:vAlign w:val="center"/>
          </w:tcPr>
          <w:p>
            <w:pPr>
              <w:spacing w:after="0" w:line="240" w:lineRule="auto"/>
              <w:jc w:val="center"/>
            </w:pPr>
            <w:r>
              <w:rPr>
                <w:b w:val="0"/>
                <w:sz w:val="20"/>
                <w:szCs w:val="20"/>
              </w:rPr>
              <w:t xml:space="preserve">M</w:t>
            </w:r>
          </w:p>
        </w:tc>
      </w:tr>
    </w:tbl>
    <w:p>
      <w:pPr>
        <w:pStyle w:val="BodyofResearch"/>
        <w:spacing w:after="0" w:line="240" w:lineRule="auto"/>
      </w:pPr>
    </w:p>
    <w:p>
      <w:pPr>
        <w:pStyle w:val="BodyofResearch"/>
        <w:keepNext/>
        <w:keepLines/>
        <w:spacing w:before="180" w:after="60"/>
        <w:jc w:val="left"/>
      </w:pPr>
      <w:r>
        <w:rPr>
          <w:b w:val="0"/>
          <w:i/>
        </w:rPr>
        <w:t xml:space="preserve">Table 5. Non-Functional Requirements</w:t>
      </w:r>
    </w:p>
    <w:tbl>
      <w:tblPr>
        <w:tblStyle w:val="TableGrid"/>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6" w:type="dxa"/>
          <w:bottom w:w="40" w:type="dxa"/>
          <w:right w:w="86" w:type="dxa"/>
        </w:tblCellMar>
        <w:tblLook w:val="04A0" w:firstRow="1" w:lastRow="0" w:firstColumn="1" w:lastColumn="0" w:noHBand="0" w:noVBand="1"/>
      </w:tblPr>
      <w:tblGrid>
        <w:gridCol w:w="1120"/>
        <w:gridCol w:w="7100"/>
        <w:gridCol w:w="1180"/>
      </w:tblGrid>
      <w:tr>
        <w:trPr>
          <w:tblHeader/>
          <w:cantSplit/>
        </w:trPr>
        <w:tc>
          <w:tcPr>
            <w:tcW w:w="1120" w:type="dxa"/>
            <w:vAlign w:val="center"/>
          </w:tcPr>
          <w:p>
            <w:pPr>
              <w:spacing w:after="0" w:line="240" w:lineRule="auto"/>
              <w:jc w:val="center"/>
            </w:pPr>
            <w:r>
              <w:rPr>
                <w:b/>
                <w:sz w:val="20"/>
                <w:szCs w:val="20"/>
              </w:rPr>
              <w:t xml:space="preserve">ID</w:t>
            </w:r>
          </w:p>
        </w:tc>
        <w:tc>
          <w:tcPr>
            <w:tcW w:w="7100" w:type="dxa"/>
            <w:vAlign w:val="center"/>
          </w:tcPr>
          <w:p>
            <w:pPr>
              <w:spacing w:after="0" w:line="240" w:lineRule="auto"/>
              <w:jc w:val="center"/>
            </w:pPr>
            <w:r>
              <w:rPr>
                <w:b/>
                <w:sz w:val="20"/>
                <w:szCs w:val="20"/>
              </w:rPr>
              <w:t xml:space="preserve">Description</w:t>
            </w:r>
          </w:p>
        </w:tc>
        <w:tc>
          <w:tcPr>
            <w:tcW w:w="1180" w:type="dxa"/>
            <w:vAlign w:val="center"/>
          </w:tcPr>
          <w:p>
            <w:pPr>
              <w:spacing w:after="0" w:line="240" w:lineRule="auto"/>
              <w:jc w:val="center"/>
            </w:pPr>
            <w:r>
              <w:rPr>
                <w:b/>
                <w:sz w:val="20"/>
                <w:szCs w:val="20"/>
              </w:rPr>
              <w:t xml:space="preserve">Priority</w:t>
            </w:r>
          </w:p>
        </w:tc>
      </w:tr>
      <w:tr>
        <w:tc>
          <w:tcPr>
            <w:tcW w:w="1120" w:type="dxa"/>
            <w:vAlign w:val="center"/>
          </w:tcPr>
          <w:p>
            <w:pPr>
              <w:spacing w:after="0" w:line="240" w:lineRule="auto"/>
              <w:jc w:val="center"/>
            </w:pPr>
            <w:r>
              <w:rPr>
                <w:b w:val="0"/>
                <w:sz w:val="20"/>
                <w:szCs w:val="20"/>
              </w:rPr>
              <w:t xml:space="preserve">NFR-01</w:t>
            </w:r>
          </w:p>
        </w:tc>
        <w:tc>
          <w:tcPr>
            <w:tcW w:w="7100" w:type="dxa"/>
            <w:vAlign w:val="center"/>
          </w:tcPr>
          <w:p>
            <w:pPr>
              <w:spacing w:after="0" w:line="240" w:lineRule="auto"/>
              <w:jc w:val="left"/>
            </w:pPr>
            <w:r>
              <w:rPr>
                <w:b w:val="0"/>
                <w:sz w:val="20"/>
                <w:szCs w:val="20"/>
              </w:rPr>
              <w:t xml:space="preserve">Performance. Initial patient page load shall complete in under 4 seconds on a 4G mobile connection; subsequent navigations shall be instant via client-side routing.</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NFR-02</w:t>
            </w:r>
          </w:p>
        </w:tc>
        <w:tc>
          <w:tcPr>
            <w:tcW w:w="7100" w:type="dxa"/>
            <w:vAlign w:val="center"/>
          </w:tcPr>
          <w:p>
            <w:pPr>
              <w:spacing w:after="0" w:line="240" w:lineRule="auto"/>
              <w:jc w:val="left"/>
            </w:pPr>
            <w:r>
              <w:rPr>
                <w:b w:val="0"/>
                <w:sz w:val="20"/>
                <w:szCs w:val="20"/>
              </w:rPr>
              <w:t xml:space="preserve">Scalability. The system shall support CRMC's daily assistance transaction volume, with per-agency daily slot limits as the throughput control and a metered backend plan removing fixed daily write quotas.</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NFR-03</w:t>
            </w:r>
          </w:p>
        </w:tc>
        <w:tc>
          <w:tcPr>
            <w:tcW w:w="7100" w:type="dxa"/>
            <w:vAlign w:val="center"/>
          </w:tcPr>
          <w:p>
            <w:pPr>
              <w:spacing w:after="0" w:line="240" w:lineRule="auto"/>
              <w:jc w:val="left"/>
            </w:pPr>
            <w:r>
              <w:rPr>
                <w:b w:val="0"/>
                <w:sz w:val="20"/>
                <w:szCs w:val="20"/>
              </w:rPr>
              <w:t xml:space="preserve">Availability. The system shall be hosted on Vercel and Firebase, targeting 99.9% uptime in line with both platforms' public-cloud service levels.</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NFR-04</w:t>
            </w:r>
          </w:p>
        </w:tc>
        <w:tc>
          <w:tcPr>
            <w:tcW w:w="7100" w:type="dxa"/>
            <w:vAlign w:val="center"/>
          </w:tcPr>
          <w:p>
            <w:pPr>
              <w:spacing w:after="0" w:line="240" w:lineRule="auto"/>
              <w:jc w:val="left"/>
            </w:pPr>
            <w:r>
              <w:rPr>
                <w:b w:val="0"/>
                <w:sz w:val="20"/>
                <w:szCs w:val="20"/>
              </w:rPr>
              <w:t xml:space="preserve">Security. All client-server communication shall use HTTPS; data-layer access control shall be enforced exclusively through Firestore Security Rules evaluated server-side on every read and write; all staff roles shall be protected by time-based one-time password multi-factor authentication; the application shall be protected by application attestation; and HTTP security headers with a Content Security Policy shall be applied at the edge.</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NFR-05</w:t>
            </w:r>
          </w:p>
        </w:tc>
        <w:tc>
          <w:tcPr>
            <w:tcW w:w="7100" w:type="dxa"/>
            <w:vAlign w:val="center"/>
          </w:tcPr>
          <w:p>
            <w:pPr>
              <w:spacing w:after="0" w:line="240" w:lineRule="auto"/>
              <w:jc w:val="left"/>
            </w:pPr>
            <w:r>
              <w:rPr>
                <w:b w:val="0"/>
                <w:sz w:val="20"/>
                <w:szCs w:val="20"/>
              </w:rPr>
              <w:t xml:space="preserve">Bilingual Support. All patient-facing strings shall be externalized as locale keys with complete Filipino and English translations, switchable at any time without losing state. Staff-facing surfaces are English-only by design.</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NFR-06</w:t>
            </w:r>
          </w:p>
        </w:tc>
        <w:tc>
          <w:tcPr>
            <w:tcW w:w="7100" w:type="dxa"/>
            <w:vAlign w:val="center"/>
          </w:tcPr>
          <w:p>
            <w:pPr>
              <w:spacing w:after="0" w:line="240" w:lineRule="auto"/>
              <w:jc w:val="left"/>
            </w:pPr>
            <w:r>
              <w:rPr>
                <w:b w:val="0"/>
                <w:sz w:val="20"/>
                <w:szCs w:val="20"/>
              </w:rPr>
              <w:t xml:space="preserve">Mobile-First Design. All patient-facing UI shall target a 360-pixel-wide phone screen first, with desktop layouts as progressive enhancement.</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NFR-07</w:t>
            </w:r>
          </w:p>
        </w:tc>
        <w:tc>
          <w:tcPr>
            <w:tcW w:w="7100" w:type="dxa"/>
            <w:vAlign w:val="center"/>
          </w:tcPr>
          <w:p>
            <w:pPr>
              <w:spacing w:after="0" w:line="240" w:lineRule="auto"/>
              <w:jc w:val="left"/>
            </w:pPr>
            <w:r>
              <w:rPr>
                <w:b w:val="0"/>
                <w:sz w:val="20"/>
                <w:szCs w:val="20"/>
              </w:rPr>
              <w:t xml:space="preserve">Accessibility. Touch targets shall meet the 44-pixel minimum, icon-only buttons shall carry accessible labels, form controls shall be programmatically associated with their labels, and color contrast shall meet WCAG AA on the patient journey.</w:t>
            </w:r>
          </w:p>
        </w:tc>
        <w:tc>
          <w:tcPr>
            <w:tcW w:w="1180" w:type="dxa"/>
            <w:vAlign w:val="center"/>
          </w:tcPr>
          <w:p>
            <w:pPr>
              <w:spacing w:after="0" w:line="240" w:lineRule="auto"/>
              <w:jc w:val="center"/>
            </w:pPr>
            <w:r>
              <w:rPr>
                <w:b w:val="0"/>
                <w:sz w:val="20"/>
                <w:szCs w:val="20"/>
              </w:rPr>
              <w:t xml:space="preserve">S</w:t>
            </w:r>
          </w:p>
        </w:tc>
      </w:tr>
      <w:tr>
        <w:tc>
          <w:tcPr>
            <w:tcW w:w="1120" w:type="dxa"/>
            <w:vAlign w:val="center"/>
          </w:tcPr>
          <w:p>
            <w:pPr>
              <w:spacing w:after="0" w:line="240" w:lineRule="auto"/>
              <w:jc w:val="center"/>
            </w:pPr>
            <w:r>
              <w:rPr>
                <w:b w:val="0"/>
                <w:sz w:val="20"/>
                <w:szCs w:val="20"/>
              </w:rPr>
              <w:t xml:space="preserve">NFR-08</w:t>
            </w:r>
          </w:p>
        </w:tc>
        <w:tc>
          <w:tcPr>
            <w:tcW w:w="7100" w:type="dxa"/>
            <w:vAlign w:val="center"/>
          </w:tcPr>
          <w:p>
            <w:pPr>
              <w:spacing w:after="0" w:line="240" w:lineRule="auto"/>
              <w:jc w:val="left"/>
            </w:pPr>
            <w:r>
              <w:rPr>
                <w:b w:val="0"/>
                <w:sz w:val="20"/>
                <w:szCs w:val="20"/>
              </w:rPr>
              <w:t xml:space="preserve">Auditability. Every administrative action shall be logged to an immutable, append-only audit collection with actor identity, timestamp, action type, and target, enforced at the security-rules level.</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NFR-09</w:t>
            </w:r>
          </w:p>
        </w:tc>
        <w:tc>
          <w:tcPr>
            <w:tcW w:w="7100" w:type="dxa"/>
            <w:vAlign w:val="center"/>
          </w:tcPr>
          <w:p>
            <w:pPr>
              <w:spacing w:after="0" w:line="240" w:lineRule="auto"/>
              <w:jc w:val="left"/>
            </w:pPr>
            <w:r>
              <w:rPr>
                <w:b w:val="0"/>
                <w:sz w:val="20"/>
                <w:szCs w:val="20"/>
              </w:rPr>
              <w:t xml:space="preserve">Offline Tolerance. The application shell shall load offline and read-only access to loaded data shall remain available using Firestore's offline persistence.</w:t>
            </w:r>
          </w:p>
        </w:tc>
        <w:tc>
          <w:tcPr>
            <w:tcW w:w="1180" w:type="dxa"/>
            <w:vAlign w:val="center"/>
          </w:tcPr>
          <w:p>
            <w:pPr>
              <w:spacing w:after="0" w:line="240" w:lineRule="auto"/>
              <w:jc w:val="center"/>
            </w:pPr>
            <w:r>
              <w:rPr>
                <w:b w:val="0"/>
                <w:sz w:val="20"/>
                <w:szCs w:val="20"/>
              </w:rPr>
              <w:t xml:space="preserve">S</w:t>
            </w:r>
          </w:p>
        </w:tc>
      </w:tr>
      <w:tr>
        <w:tc>
          <w:tcPr>
            <w:tcW w:w="1120" w:type="dxa"/>
            <w:vAlign w:val="center"/>
          </w:tcPr>
          <w:p>
            <w:pPr>
              <w:spacing w:after="0" w:line="240" w:lineRule="auto"/>
              <w:jc w:val="center"/>
            </w:pPr>
            <w:r>
              <w:rPr>
                <w:b w:val="0"/>
                <w:sz w:val="20"/>
                <w:szCs w:val="20"/>
              </w:rPr>
              <w:t xml:space="preserve">NFR-10</w:t>
            </w:r>
          </w:p>
        </w:tc>
        <w:tc>
          <w:tcPr>
            <w:tcW w:w="7100" w:type="dxa"/>
            <w:vAlign w:val="center"/>
          </w:tcPr>
          <w:p>
            <w:pPr>
              <w:spacing w:after="0" w:line="240" w:lineRule="auto"/>
              <w:jc w:val="left"/>
            </w:pPr>
            <w:r>
              <w:rPr>
                <w:b w:val="0"/>
                <w:sz w:val="20"/>
                <w:szCs w:val="20"/>
              </w:rPr>
              <w:t xml:space="preserve">PWA Installability. The system shall be installable as a Progressive Web Application on Android and iOS via the standard Add-to-Home-Screen flow, with custom install affordances.</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NFR-11</w:t>
            </w:r>
          </w:p>
        </w:tc>
        <w:tc>
          <w:tcPr>
            <w:tcW w:w="7100" w:type="dxa"/>
            <w:vAlign w:val="center"/>
          </w:tcPr>
          <w:p>
            <w:pPr>
              <w:spacing w:after="0" w:line="240" w:lineRule="auto"/>
              <w:jc w:val="left"/>
            </w:pPr>
            <w:r>
              <w:rPr>
                <w:b w:val="0"/>
                <w:sz w:val="20"/>
                <w:szCs w:val="20"/>
              </w:rPr>
              <w:t xml:space="preserve">Data Integrity. Financial state shall be derived server-side rather than trusted from the client: the request's funding tally shall be recomputed by a server-side trigger whenever an agency slice changes.</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NFR-12</w:t>
            </w:r>
          </w:p>
        </w:tc>
        <w:tc>
          <w:tcPr>
            <w:tcW w:w="7100" w:type="dxa"/>
            <w:vAlign w:val="center"/>
          </w:tcPr>
          <w:p>
            <w:pPr>
              <w:spacing w:after="0" w:line="240" w:lineRule="auto"/>
              <w:jc w:val="left"/>
            </w:pPr>
            <w:r>
              <w:rPr>
                <w:b w:val="0"/>
                <w:sz w:val="20"/>
                <w:szCs w:val="20"/>
              </w:rPr>
              <w:t xml:space="preserve">Testability and Regression Safety. The system shall carry an automated test suite covering pure utilities, UI components, server-side functions, and every security rule, executed by continuous integration on every change.</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NFR-13</w:t>
            </w:r>
          </w:p>
        </w:tc>
        <w:tc>
          <w:tcPr>
            <w:tcW w:w="7100" w:type="dxa"/>
            <w:vAlign w:val="center"/>
          </w:tcPr>
          <w:p>
            <w:pPr>
              <w:spacing w:after="0" w:line="240" w:lineRule="auto"/>
              <w:jc w:val="left"/>
            </w:pPr>
            <w:r>
              <w:rPr>
                <w:b w:val="0"/>
                <w:sz w:val="20"/>
                <w:szCs w:val="20"/>
              </w:rPr>
              <w:t xml:space="preserve">Privacy Compliance. The system shall implement the data subject rights of information, access, portability, and erasure under Republic Act No. 10173, and shall maintain a documented breach-notification procedure meeting the 72-hour duty.</w:t>
            </w:r>
          </w:p>
        </w:tc>
        <w:tc>
          <w:tcPr>
            <w:tcW w:w="1180" w:type="dxa"/>
            <w:vAlign w:val="center"/>
          </w:tcPr>
          <w:p>
            <w:pPr>
              <w:spacing w:after="0" w:line="240" w:lineRule="auto"/>
              <w:jc w:val="center"/>
            </w:pPr>
            <w:r>
              <w:rPr>
                <w:b w:val="0"/>
                <w:sz w:val="20"/>
                <w:szCs w:val="20"/>
              </w:rPr>
              <w:t xml:space="preserve">M</w:t>
            </w:r>
          </w:p>
        </w:tc>
      </w:tr>
      <w:tr>
        <w:tc>
          <w:tcPr>
            <w:tcW w:w="1120" w:type="dxa"/>
            <w:vAlign w:val="center"/>
          </w:tcPr>
          <w:p>
            <w:pPr>
              <w:spacing w:after="0" w:line="240" w:lineRule="auto"/>
              <w:jc w:val="center"/>
            </w:pPr>
            <w:r>
              <w:rPr>
                <w:b w:val="0"/>
                <w:sz w:val="20"/>
                <w:szCs w:val="20"/>
              </w:rPr>
              <w:t xml:space="preserve">NFR-14</w:t>
            </w:r>
          </w:p>
        </w:tc>
        <w:tc>
          <w:tcPr>
            <w:tcW w:w="7100" w:type="dxa"/>
            <w:vAlign w:val="center"/>
          </w:tcPr>
          <w:p>
            <w:pPr>
              <w:spacing w:after="0" w:line="240" w:lineRule="auto"/>
              <w:jc w:val="left"/>
            </w:pPr>
            <w:r>
              <w:rPr>
                <w:b w:val="0"/>
                <w:sz w:val="20"/>
                <w:szCs w:val="20"/>
              </w:rPr>
              <w:t xml:space="preserve">Recoverability. The production database shall be backed up on a scheduled basis, and the system shall be reproducible from a clean checkout using documented seeding scripts.</w:t>
            </w:r>
          </w:p>
        </w:tc>
        <w:tc>
          <w:tcPr>
            <w:tcW w:w="1180" w:type="dxa"/>
            <w:vAlign w:val="center"/>
          </w:tcPr>
          <w:p>
            <w:pPr>
              <w:spacing w:after="0" w:line="240" w:lineRule="auto"/>
              <w:jc w:val="center"/>
            </w:pPr>
            <w:r>
              <w:rPr>
                <w:b w:val="0"/>
                <w:sz w:val="20"/>
                <w:szCs w:val="20"/>
              </w:rPr>
              <w:t xml:space="preserve">S</w:t>
            </w:r>
          </w:p>
        </w:tc>
      </w:tr>
    </w:tbl>
    <w:p>
      <w:pPr>
        <w:pStyle w:val="BodyofResearch"/>
        <w:spacing w:after="0" w:line="240" w:lineRule="auto"/>
      </w:pPr>
    </w:p>
    <w:p>
      <w:r>
        <w:br w:type="page"/>
      </w:r>
    </w:p>
    <w:p>
      <w:pPr>
        <w:pStyle w:val="Heading2"/>
        <w:keepNext/>
        <w:keepLines/>
        <w:spacing w:before="240" w:after="240"/>
        <w:jc w:val="left"/>
      </w:pPr>
      <w:r>
        <w:rPr>
          <w:b/>
        </w:rPr>
        <w:t xml:space="preserve">Design of Software, System, Product, and/or Processes</w:t>
      </w:r>
    </w:p>
    <w:p>
      <w:pPr>
        <w:pStyle w:val="BodyofResearch"/>
        <w:ind w:firstLine="720"/>
        <w:jc w:val="both"/>
      </w:pPr>
      <w:r>
        <w:rPr>
          <w:b w:val="0"/>
        </w:rPr>
        <w:t xml:space="preserve">The design of MAPA: Medical Assistance Portal Access for Cotabato Regional and Medical Center focuses on providing a simple, accessible, and efficient platform for coordinating medical financial assistance at CRMC. The system is designed using a serverless, single-page-application architecture supplemented by a tier of server-side Cloud Functions, integrating real-time data management, role-based access control, and remote communication to serve five user roles across two interface experiences — a patient mobile application and a web portal for agency personnel and administrators. The CRMC-gateway co-funding model is reflected throughout the data model, the permissions matrix, and the workflow design that follow.</w:t>
      </w:r>
    </w:p>
    <w:p>
      <w:pPr>
        <w:pStyle w:val="BodyofResearch"/>
        <w:keepNext/>
        <w:keepLines/>
        <w:spacing w:before="180" w:after="120"/>
        <w:jc w:val="left"/>
      </w:pPr>
      <w:r>
        <w:rPr>
          <w:b/>
        </w:rPr>
        <w:t xml:space="preserve">System Architecture</w:t>
      </w:r>
    </w:p>
    <w:p>
      <w:pPr>
        <w:pStyle w:val="BodyofResearch"/>
        <w:ind w:firstLine="720"/>
        <w:jc w:val="both"/>
      </w:pPr>
      <w:r>
        <w:rPr>
          <w:b w:val="0"/>
        </w:rPr>
        <w:t xml:space="preserve">MAPA has no traditional application server. The React frontend is served as static assets through Vercel's content delivery network and communicates directly with Cloud Firestore over an authenticated WebSocket connection. Firestore Security Rules carry the primary server-side authorization surface, evaluated on every read and write. Two categories of server-side code supplement this arrangement. Vercel serverless functions handle outbound relays that require credentials — electronic mail via SMTP and SMS via a Philippine gateway — each verifying the caller's Firebase identity token before relaying. Firebase Cloud Functions, deployed in the asia-southeast1 region, carry the logic that security rules cannot express: server-derived financial integrity, scheduled work, and privileged administrative operations. Table 6 lists the deployed functions and the responsibility of each.</w:t>
      </w:r>
    </w:p>
    <w:p>
      <w:pPr>
        <w:pStyle w:val="BodyofResearch"/>
        <w:keepNext/>
        <w:keepLines/>
        <w:spacing w:before="180" w:after="60"/>
        <w:jc w:val="left"/>
      </w:pPr>
      <w:r>
        <w:rPr>
          <w:b w:val="0"/>
          <w:i/>
        </w:rPr>
        <w:t xml:space="preserve">Table 6. Deployed Cloud Functions</w:t>
      </w:r>
    </w:p>
    <w:tbl>
      <w:tblPr>
        <w:tblStyle w:val="TableGrid"/>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6" w:type="dxa"/>
          <w:bottom w:w="40" w:type="dxa"/>
          <w:right w:w="86" w:type="dxa"/>
        </w:tblCellMar>
        <w:tblLook w:val="04A0" w:firstRow="1" w:lastRow="0" w:firstColumn="1" w:lastColumn="0" w:noHBand="0" w:noVBand="1"/>
      </w:tblPr>
      <w:tblGrid>
        <w:gridCol w:w="2100"/>
        <w:gridCol w:w="1900"/>
        <w:gridCol w:w="5400"/>
      </w:tblGrid>
      <w:tr>
        <w:trPr>
          <w:tblHeader/>
          <w:cantSplit/>
        </w:trPr>
        <w:tc>
          <w:tcPr>
            <w:tcW w:w="2100" w:type="dxa"/>
            <w:vAlign w:val="center"/>
          </w:tcPr>
          <w:p>
            <w:pPr>
              <w:spacing w:after="0" w:line="240" w:lineRule="auto"/>
              <w:jc w:val="center"/>
            </w:pPr>
            <w:r>
              <w:rPr>
                <w:b/>
                <w:sz w:val="20"/>
                <w:szCs w:val="20"/>
              </w:rPr>
              <w:t xml:space="preserve">Function</w:t>
            </w:r>
          </w:p>
        </w:tc>
        <w:tc>
          <w:tcPr>
            <w:tcW w:w="1900" w:type="dxa"/>
            <w:vAlign w:val="center"/>
          </w:tcPr>
          <w:p>
            <w:pPr>
              <w:spacing w:after="0" w:line="240" w:lineRule="auto"/>
              <w:jc w:val="center"/>
            </w:pPr>
            <w:r>
              <w:rPr>
                <w:b/>
                <w:sz w:val="20"/>
                <w:szCs w:val="20"/>
              </w:rPr>
              <w:t xml:space="preserve">Trigger</w:t>
            </w:r>
          </w:p>
        </w:tc>
        <w:tc>
          <w:tcPr>
            <w:tcW w:w="5400" w:type="dxa"/>
            <w:vAlign w:val="center"/>
          </w:tcPr>
          <w:p>
            <w:pPr>
              <w:spacing w:after="0" w:line="240" w:lineRule="auto"/>
              <w:jc w:val="center"/>
            </w:pPr>
            <w:r>
              <w:rPr>
                <w:b/>
                <w:sz w:val="20"/>
                <w:szCs w:val="20"/>
              </w:rPr>
              <w:t xml:space="preserve">Responsibility</w:t>
            </w:r>
          </w:p>
        </w:tc>
      </w:tr>
      <w:tr>
        <w:tc>
          <w:tcPr>
            <w:tcW w:w="2100" w:type="dxa"/>
            <w:vAlign w:val="center"/>
          </w:tcPr>
          <w:p>
            <w:pPr>
              <w:spacing w:after="0" w:line="240" w:lineRule="auto"/>
              <w:jc w:val="center"/>
            </w:pPr>
            <w:r>
              <w:rPr>
                <w:b w:val="0"/>
                <w:sz w:val="20"/>
                <w:szCs w:val="20"/>
              </w:rPr>
              <w:t xml:space="preserve">verifyAccessCode</w:t>
            </w:r>
          </w:p>
        </w:tc>
        <w:tc>
          <w:tcPr>
            <w:tcW w:w="1900" w:type="dxa"/>
            <w:vAlign w:val="center"/>
          </w:tcPr>
          <w:p>
            <w:pPr>
              <w:spacing w:after="0" w:line="240" w:lineRule="auto"/>
              <w:jc w:val="left"/>
            </w:pPr>
            <w:r>
              <w:rPr>
                <w:b w:val="0"/>
                <w:sz w:val="20"/>
                <w:szCs w:val="20"/>
              </w:rPr>
              <w:t xml:space="preserve">Callable</w:t>
            </w:r>
          </w:p>
        </w:tc>
        <w:tc>
          <w:tcPr>
            <w:tcW w:w="5400" w:type="dxa"/>
            <w:vAlign w:val="center"/>
          </w:tcPr>
          <w:p>
            <w:pPr>
              <w:spacing w:after="0" w:line="240" w:lineRule="auto"/>
              <w:jc w:val="center"/>
            </w:pPr>
            <w:r>
              <w:rPr>
                <w:b w:val="0"/>
                <w:sz w:val="20"/>
                <w:szCs w:val="20"/>
              </w:rPr>
              <w:t xml:space="preserve">Server-side validation and rate-limiting of Patient Access Code checks during registration, so the code space cannot be probed from the client.</w:t>
            </w:r>
          </w:p>
        </w:tc>
      </w:tr>
      <w:tr>
        <w:tc>
          <w:tcPr>
            <w:tcW w:w="2100" w:type="dxa"/>
            <w:vAlign w:val="center"/>
          </w:tcPr>
          <w:p>
            <w:pPr>
              <w:spacing w:after="0" w:line="240" w:lineRule="auto"/>
              <w:jc w:val="center"/>
            </w:pPr>
            <w:r>
              <w:rPr>
                <w:b w:val="0"/>
                <w:sz w:val="20"/>
                <w:szCs w:val="20"/>
              </w:rPr>
              <w:t xml:space="preserve">syncRequestFinancials</w:t>
            </w:r>
          </w:p>
        </w:tc>
        <w:tc>
          <w:tcPr>
            <w:tcW w:w="1900" w:type="dxa"/>
            <w:vAlign w:val="center"/>
          </w:tcPr>
          <w:p>
            <w:pPr>
              <w:spacing w:after="0" w:line="240" w:lineRule="auto"/>
              <w:jc w:val="left"/>
            </w:pPr>
            <w:r>
              <w:rPr>
                <w:b w:val="0"/>
                <w:sz w:val="20"/>
                <w:szCs w:val="20"/>
              </w:rPr>
              <w:t xml:space="preserve">Firestore trigger</w:t>
            </w:r>
          </w:p>
        </w:tc>
        <w:tc>
          <w:tcPr>
            <w:tcW w:w="5400" w:type="dxa"/>
            <w:vAlign w:val="center"/>
          </w:tcPr>
          <w:p>
            <w:pPr>
              <w:spacing w:after="0" w:line="240" w:lineRule="auto"/>
              <w:jc w:val="center"/>
            </w:pPr>
            <w:r>
              <w:rPr>
                <w:b w:val="0"/>
                <w:sz w:val="20"/>
                <w:szCs w:val="20"/>
              </w:rPr>
              <w:t xml:space="preserve">Recomputes a request's funding tally from its agency slices whenever a slice changes, making the co-funding total server-authoritative rather than client-derived.</w:t>
            </w:r>
          </w:p>
        </w:tc>
      </w:tr>
      <w:tr>
        <w:tc>
          <w:tcPr>
            <w:tcW w:w="2100" w:type="dxa"/>
            <w:vAlign w:val="center"/>
          </w:tcPr>
          <w:p>
            <w:pPr>
              <w:spacing w:after="0" w:line="240" w:lineRule="auto"/>
              <w:jc w:val="center"/>
            </w:pPr>
            <w:r>
              <w:rPr>
                <w:b w:val="0"/>
                <w:sz w:val="20"/>
                <w:szCs w:val="20"/>
              </w:rPr>
              <w:t xml:space="preserve">onInterviewSlotWritten</w:t>
            </w:r>
          </w:p>
        </w:tc>
        <w:tc>
          <w:tcPr>
            <w:tcW w:w="1900" w:type="dxa"/>
            <w:vAlign w:val="center"/>
          </w:tcPr>
          <w:p>
            <w:pPr>
              <w:spacing w:after="0" w:line="240" w:lineRule="auto"/>
              <w:jc w:val="left"/>
            </w:pPr>
            <w:r>
              <w:rPr>
                <w:b w:val="0"/>
                <w:sz w:val="20"/>
                <w:szCs w:val="20"/>
              </w:rPr>
              <w:t xml:space="preserve">Firestore trigger</w:t>
            </w:r>
          </w:p>
        </w:tc>
        <w:tc>
          <w:tcPr>
            <w:tcW w:w="5400" w:type="dxa"/>
            <w:vAlign w:val="center"/>
          </w:tcPr>
          <w:p>
            <w:pPr>
              <w:spacing w:after="0" w:line="240" w:lineRule="auto"/>
              <w:jc w:val="center"/>
            </w:pPr>
            <w:r>
              <w:rPr>
                <w:b w:val="0"/>
                <w:sz w:val="20"/>
                <w:szCs w:val="20"/>
              </w:rPr>
              <w:t xml:space="preserve">On interview-slot booking or cancellation, synchronizes the interview details onto the parent request and assigns the in-person queue number in booking order.</w:t>
            </w:r>
          </w:p>
        </w:tc>
      </w:tr>
      <w:tr>
        <w:tc>
          <w:tcPr>
            <w:tcW w:w="2100" w:type="dxa"/>
            <w:vAlign w:val="center"/>
          </w:tcPr>
          <w:p>
            <w:pPr>
              <w:spacing w:after="0" w:line="240" w:lineRule="auto"/>
              <w:jc w:val="center"/>
            </w:pPr>
            <w:r>
              <w:rPr>
                <w:b w:val="0"/>
                <w:sz w:val="20"/>
                <w:szCs w:val="20"/>
              </w:rPr>
              <w:t xml:space="preserve">interviewReminders</w:t>
            </w:r>
          </w:p>
        </w:tc>
        <w:tc>
          <w:tcPr>
            <w:tcW w:w="1900" w:type="dxa"/>
            <w:vAlign w:val="center"/>
          </w:tcPr>
          <w:p>
            <w:pPr>
              <w:spacing w:after="0" w:line="240" w:lineRule="auto"/>
              <w:jc w:val="left"/>
            </w:pPr>
            <w:r>
              <w:rPr>
                <w:b w:val="0"/>
                <w:sz w:val="20"/>
                <w:szCs w:val="20"/>
              </w:rPr>
              <w:t xml:space="preserve">Scheduled</w:t>
            </w:r>
          </w:p>
        </w:tc>
        <w:tc>
          <w:tcPr>
            <w:tcW w:w="5400" w:type="dxa"/>
            <w:vAlign w:val="center"/>
          </w:tcPr>
          <w:p>
            <w:pPr>
              <w:spacing w:after="0" w:line="240" w:lineRule="auto"/>
              <w:jc w:val="center"/>
            </w:pPr>
            <w:r>
              <w:rPr>
                <w:b w:val="0"/>
                <w:sz w:val="20"/>
                <w:szCs w:val="20"/>
              </w:rPr>
              <w:t xml:space="preserve">Sends the 24-hour and 1-hour interview reminders by email and in-app notification, replacing the earlier client-side reminder sweep.</w:t>
            </w:r>
          </w:p>
        </w:tc>
      </w:tr>
      <w:tr>
        <w:tc>
          <w:tcPr>
            <w:tcW w:w="2100" w:type="dxa"/>
            <w:vAlign w:val="center"/>
          </w:tcPr>
          <w:p>
            <w:pPr>
              <w:spacing w:after="0" w:line="240" w:lineRule="auto"/>
              <w:jc w:val="center"/>
            </w:pPr>
            <w:r>
              <w:rPr>
                <w:b w:val="0"/>
                <w:sz w:val="20"/>
                <w:szCs w:val="20"/>
              </w:rPr>
              <w:t xml:space="preserve">resetAgencySlots</w:t>
            </w:r>
          </w:p>
        </w:tc>
        <w:tc>
          <w:tcPr>
            <w:tcW w:w="1900" w:type="dxa"/>
            <w:vAlign w:val="center"/>
          </w:tcPr>
          <w:p>
            <w:pPr>
              <w:spacing w:after="0" w:line="240" w:lineRule="auto"/>
              <w:jc w:val="left"/>
            </w:pPr>
            <w:r>
              <w:rPr>
                <w:b w:val="0"/>
                <w:sz w:val="20"/>
                <w:szCs w:val="20"/>
              </w:rPr>
              <w:t xml:space="preserve">Scheduled</w:t>
            </w:r>
          </w:p>
        </w:tc>
        <w:tc>
          <w:tcPr>
            <w:tcW w:w="5400" w:type="dxa"/>
            <w:vAlign w:val="center"/>
          </w:tcPr>
          <w:p>
            <w:pPr>
              <w:spacing w:after="0" w:line="240" w:lineRule="auto"/>
              <w:jc w:val="center"/>
            </w:pPr>
            <w:r>
              <w:rPr>
                <w:b w:val="0"/>
                <w:sz w:val="20"/>
                <w:szCs w:val="20"/>
              </w:rPr>
              <w:t xml:space="preserve">Resets each agency's daily transaction slot capacity at Philippine local midnight.</w:t>
            </w:r>
          </w:p>
        </w:tc>
      </w:tr>
      <w:tr>
        <w:tc>
          <w:tcPr>
            <w:tcW w:w="2100" w:type="dxa"/>
            <w:vAlign w:val="center"/>
          </w:tcPr>
          <w:p>
            <w:pPr>
              <w:spacing w:after="0" w:line="240" w:lineRule="auto"/>
              <w:jc w:val="center"/>
            </w:pPr>
            <w:r>
              <w:rPr>
                <w:b w:val="0"/>
                <w:sz w:val="20"/>
                <w:szCs w:val="20"/>
              </w:rPr>
              <w:t xml:space="preserve">glExpirySweep</w:t>
            </w:r>
          </w:p>
        </w:tc>
        <w:tc>
          <w:tcPr>
            <w:tcW w:w="1900" w:type="dxa"/>
            <w:vAlign w:val="center"/>
          </w:tcPr>
          <w:p>
            <w:pPr>
              <w:spacing w:after="0" w:line="240" w:lineRule="auto"/>
              <w:jc w:val="left"/>
            </w:pPr>
            <w:r>
              <w:rPr>
                <w:b w:val="0"/>
                <w:sz w:val="20"/>
                <w:szCs w:val="20"/>
              </w:rPr>
              <w:t xml:space="preserve">Scheduled</w:t>
            </w:r>
          </w:p>
        </w:tc>
        <w:tc>
          <w:tcPr>
            <w:tcW w:w="5400" w:type="dxa"/>
            <w:vAlign w:val="center"/>
          </w:tcPr>
          <w:p>
            <w:pPr>
              <w:spacing w:after="0" w:line="240" w:lineRule="auto"/>
              <w:jc w:val="center"/>
            </w:pPr>
            <w:r>
              <w:rPr>
                <w:b w:val="0"/>
                <w:sz w:val="20"/>
                <w:szCs w:val="20"/>
              </w:rPr>
              <w:t xml:space="preserve">Marks Guarantee Letters expired once the 30-day validity window lapses and releases the agency's committed budget.</w:t>
            </w:r>
          </w:p>
        </w:tc>
      </w:tr>
      <w:tr>
        <w:tc>
          <w:tcPr>
            <w:tcW w:w="2100" w:type="dxa"/>
            <w:vAlign w:val="center"/>
          </w:tcPr>
          <w:p>
            <w:pPr>
              <w:spacing w:after="0" w:line="240" w:lineRule="auto"/>
              <w:jc w:val="center"/>
            </w:pPr>
            <w:r>
              <w:rPr>
                <w:b w:val="0"/>
                <w:sz w:val="20"/>
                <w:szCs w:val="20"/>
              </w:rPr>
              <w:t xml:space="preserve">deleteAuthUser</w:t>
            </w:r>
          </w:p>
        </w:tc>
        <w:tc>
          <w:tcPr>
            <w:tcW w:w="1900" w:type="dxa"/>
            <w:vAlign w:val="center"/>
          </w:tcPr>
          <w:p>
            <w:pPr>
              <w:spacing w:after="0" w:line="240" w:lineRule="auto"/>
              <w:jc w:val="left"/>
            </w:pPr>
            <w:r>
              <w:rPr>
                <w:b w:val="0"/>
                <w:sz w:val="20"/>
                <w:szCs w:val="20"/>
              </w:rPr>
              <w:t xml:space="preserve">Callable (super admin)</w:t>
            </w:r>
          </w:p>
        </w:tc>
        <w:tc>
          <w:tcPr>
            <w:tcW w:w="5400" w:type="dxa"/>
            <w:vAlign w:val="center"/>
          </w:tcPr>
          <w:p>
            <w:pPr>
              <w:spacing w:after="0" w:line="240" w:lineRule="auto"/>
              <w:jc w:val="center"/>
            </w:pPr>
            <w:r>
              <w:rPr>
                <w:b w:val="0"/>
                <w:sz w:val="20"/>
                <w:szCs w:val="20"/>
              </w:rPr>
              <w:t xml:space="preserve">Removes the Firebase Authentication account as the final step of a patient data erasure under Section 16(e) of Republic Act No. 10173.</w:t>
            </w:r>
          </w:p>
        </w:tc>
      </w:tr>
    </w:tbl>
    <w:p>
      <w:pPr>
        <w:pStyle w:val="BodyofResearch"/>
        <w:spacing w:after="0" w:line="240" w:lineRule="auto"/>
      </w:pPr>
    </w:p>
    <w:p>
      <w:r>
        <w:br w:type="page"/>
      </w:r>
    </w:p>
    <w:p>
      <w:pPr>
        <w:pStyle w:val="BodyofResearch"/>
        <w:keepNext/>
        <w:keepLines/>
        <w:spacing w:before="180" w:after="120"/>
        <w:jc w:val="left"/>
      </w:pPr>
      <w:r>
        <w:rPr>
          <w:b/>
        </w:rPr>
        <w:t xml:space="preserve">Database Schema</w:t>
      </w:r>
    </w:p>
    <w:p>
      <w:pPr>
        <w:pStyle w:val="BodyofResearch"/>
        <w:ind w:firstLine="720"/>
        <w:jc w:val="both"/>
      </w:pPr>
      <w:r>
        <w:rPr>
          <w:b w:val="0"/>
        </w:rPr>
        <w:t xml:space="preserve">The MAPA data model is implemented in Cloud Firestore. The schema was designed to enforce data isolation between agencies, support the full co-funding lifecycle from a single patient request through per-agency Guarantee Letter management, and maintain a complete and immutable audit trail of all platform activity. The parent of the model is the request — the single patient submission that CRMC verifies and endorses — while applications represent the per-agency funding slices created at endorsement. Table 7 presents the data model with the purpose of each collection.</w:t>
      </w:r>
    </w:p>
    <w:p>
      <w:pPr>
        <w:pStyle w:val="BodyofResearch"/>
        <w:keepNext/>
        <w:keepLines/>
        <w:spacing w:before="180" w:after="60"/>
        <w:jc w:val="left"/>
      </w:pPr>
      <w:r>
        <w:rPr>
          <w:b w:val="0"/>
          <w:i/>
        </w:rPr>
        <w:t xml:space="preserve">Table 7. MAPA Data Model (Firestore Collections)</w:t>
      </w:r>
    </w:p>
    <w:tbl>
      <w:tblPr>
        <w:tblStyle w:val="TableGrid"/>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6" w:type="dxa"/>
          <w:bottom w:w="40" w:type="dxa"/>
          <w:right w:w="86" w:type="dxa"/>
        </w:tblCellMar>
        <w:tblLook w:val="04A0" w:firstRow="1" w:lastRow="0" w:firstColumn="1" w:lastColumn="0" w:noHBand="0" w:noVBand="1"/>
      </w:tblPr>
      <w:tblGrid>
        <w:gridCol w:w="2500"/>
        <w:gridCol w:w="6900"/>
      </w:tblGrid>
      <w:tr>
        <w:trPr>
          <w:tblHeader/>
          <w:cantSplit/>
        </w:trPr>
        <w:tc>
          <w:tcPr>
            <w:tcW w:w="2500" w:type="dxa"/>
            <w:vAlign w:val="center"/>
          </w:tcPr>
          <w:p>
            <w:pPr>
              <w:spacing w:after="0" w:line="240" w:lineRule="auto"/>
              <w:jc w:val="center"/>
            </w:pPr>
            <w:r>
              <w:rPr>
                <w:b/>
                <w:sz w:val="20"/>
                <w:szCs w:val="20"/>
              </w:rPr>
              <w:t xml:space="preserve">Collection</w:t>
            </w:r>
          </w:p>
        </w:tc>
        <w:tc>
          <w:tcPr>
            <w:tcW w:w="6900" w:type="dxa"/>
            <w:vAlign w:val="center"/>
          </w:tcPr>
          <w:p>
            <w:pPr>
              <w:spacing w:after="0" w:line="240" w:lineRule="auto"/>
              <w:jc w:val="center"/>
            </w:pPr>
            <w:r>
              <w:rPr>
                <w:b/>
                <w:sz w:val="20"/>
                <w:szCs w:val="20"/>
              </w:rPr>
              <w:t xml:space="preserve">Purpose</w:t>
            </w:r>
          </w:p>
        </w:tc>
      </w:tr>
      <w:tr>
        <w:tc>
          <w:tcPr>
            <w:tcW w:w="2500" w:type="dxa"/>
            <w:vAlign w:val="center"/>
          </w:tcPr>
          <w:p>
            <w:pPr>
              <w:spacing w:after="0" w:line="240" w:lineRule="auto"/>
              <w:jc w:val="left"/>
            </w:pPr>
            <w:r>
              <w:rPr>
                <w:b w:val="0"/>
                <w:sz w:val="20"/>
                <w:szCs w:val="20"/>
              </w:rPr>
              <w:t xml:space="preserve">users</w:t>
            </w:r>
          </w:p>
        </w:tc>
        <w:tc>
          <w:tcPr>
            <w:tcW w:w="6900" w:type="dxa"/>
            <w:vAlign w:val="center"/>
          </w:tcPr>
          <w:p>
            <w:pPr>
              <w:spacing w:after="0" w:line="240" w:lineRule="auto"/>
              <w:jc w:val="left"/>
            </w:pPr>
            <w:r>
              <w:rPr>
                <w:b w:val="0"/>
                <w:sz w:val="20"/>
                <w:szCs w:val="20"/>
              </w:rPr>
              <w:t xml:space="preserve">Stores user profiles for all five roles (patient, agency, agency_admin, staff_admin, super_admin); role and agencyId fields determine access level, and hospitalId anchors the patient to a Patient Access Code.</w:t>
            </w:r>
          </w:p>
        </w:tc>
      </w:tr>
      <w:tr>
        <w:tc>
          <w:tcPr>
            <w:tcW w:w="2500" w:type="dxa"/>
            <w:vAlign w:val="center"/>
          </w:tcPr>
          <w:p>
            <w:pPr>
              <w:spacing w:after="0" w:line="240" w:lineRule="auto"/>
              <w:jc w:val="left"/>
            </w:pPr>
            <w:r>
              <w:rPr>
                <w:b w:val="0"/>
                <w:sz w:val="20"/>
                <w:szCs w:val="20"/>
              </w:rPr>
              <w:t xml:space="preserve">requests</w:t>
            </w:r>
          </w:p>
        </w:tc>
        <w:tc>
          <w:tcPr>
            <w:tcW w:w="6900" w:type="dxa"/>
            <w:vAlign w:val="center"/>
          </w:tcPr>
          <w:p>
            <w:pPr>
              <w:spacing w:after="0" w:line="240" w:lineRule="auto"/>
              <w:jc w:val="left"/>
            </w:pPr>
            <w:r>
              <w:rPr>
                <w:b w:val="0"/>
                <w:sz w:val="20"/>
                <w:szCs w:val="20"/>
              </w:rPr>
              <w:t xml:space="preserve">Parent of the co-funding model — the single patient request stating the bill, the PhilHealth and other coverage applied, the residual amount needed, the attached documents, the assessment interview details, the Unified Intake Sheet, the endorsed agency list, and the overall funding status.</w:t>
            </w:r>
          </w:p>
        </w:tc>
      </w:tr>
      <w:tr>
        <w:tc>
          <w:tcPr>
            <w:tcW w:w="2500" w:type="dxa"/>
            <w:vAlign w:val="center"/>
          </w:tcPr>
          <w:p>
            <w:pPr>
              <w:spacing w:after="0" w:line="240" w:lineRule="auto"/>
              <w:jc w:val="left"/>
            </w:pPr>
            <w:r>
              <w:rPr>
                <w:b w:val="0"/>
                <w:sz w:val="20"/>
                <w:szCs w:val="20"/>
              </w:rPr>
              <w:t xml:space="preserve">applications</w:t>
            </w:r>
          </w:p>
        </w:tc>
        <w:tc>
          <w:tcPr>
            <w:tcW w:w="6900" w:type="dxa"/>
            <w:vAlign w:val="center"/>
          </w:tcPr>
          <w:p>
            <w:pPr>
              <w:spacing w:after="0" w:line="240" w:lineRule="auto"/>
              <w:jc w:val="left"/>
            </w:pPr>
            <w:r>
              <w:rPr>
                <w:b w:val="0"/>
                <w:sz w:val="20"/>
                <w:szCs w:val="20"/>
              </w:rPr>
              <w:t xml:space="preserve">Per-agency funding slices of a request — one created when CRMC endorses to an agency — holding the agency's funding decision, the approved amount, the slice status, and the Guarantee Letter state.</w:t>
            </w:r>
          </w:p>
        </w:tc>
      </w:tr>
      <w:tr>
        <w:tc>
          <w:tcPr>
            <w:tcW w:w="2500" w:type="dxa"/>
            <w:vAlign w:val="center"/>
          </w:tcPr>
          <w:p>
            <w:pPr>
              <w:spacing w:after="0" w:line="240" w:lineRule="auto"/>
              <w:jc w:val="left"/>
            </w:pPr>
            <w:r>
              <w:rPr>
                <w:b w:val="0"/>
                <w:sz w:val="20"/>
                <w:szCs w:val="20"/>
              </w:rPr>
              <w:t xml:space="preserve">documents / documentContents</w:t>
            </w:r>
          </w:p>
        </w:tc>
        <w:tc>
          <w:tcPr>
            <w:tcW w:w="6900" w:type="dxa"/>
            <w:vAlign w:val="center"/>
          </w:tcPr>
          <w:p>
            <w:pPr>
              <w:spacing w:after="0" w:line="240" w:lineRule="auto"/>
              <w:jc w:val="left"/>
            </w:pPr>
            <w:r>
              <w:rPr>
                <w:b w:val="0"/>
                <w:sz w:val="20"/>
                <w:szCs w:val="20"/>
              </w:rPr>
              <w:t xml:space="preserve">documents stores document metadata, verification status, OCR advisory, and the agency-scoping list; documentContents stores the Base64 file data keyed to the same document ID.</w:t>
            </w:r>
          </w:p>
        </w:tc>
      </w:tr>
      <w:tr>
        <w:tc>
          <w:tcPr>
            <w:tcW w:w="2500" w:type="dxa"/>
            <w:vAlign w:val="center"/>
          </w:tcPr>
          <w:p>
            <w:pPr>
              <w:spacing w:after="0" w:line="240" w:lineRule="auto"/>
              <w:jc w:val="left"/>
            </w:pPr>
            <w:r>
              <w:rPr>
                <w:b w:val="0"/>
                <w:sz w:val="20"/>
                <w:szCs w:val="20"/>
              </w:rPr>
              <w:t xml:space="preserve">documentTypes / assistanceTypes</w:t>
            </w:r>
          </w:p>
        </w:tc>
        <w:tc>
          <w:tcPr>
            <w:tcW w:w="6900" w:type="dxa"/>
            <w:vAlign w:val="center"/>
          </w:tcPr>
          <w:p>
            <w:pPr>
              <w:spacing w:after="0" w:line="240" w:lineRule="auto"/>
              <w:jc w:val="left"/>
            </w:pPr>
            <w:r>
              <w:rPr>
                <w:b w:val="0"/>
                <w:sz w:val="20"/>
                <w:szCs w:val="20"/>
              </w:rPr>
              <w:t xml:space="preserve">Catalogs of accepted document types (with required and reusable flags) and assistance categories (Hospital Bills, Medicines, Chemotherapy, and others), managed by the CRMC administrator.</w:t>
            </w:r>
          </w:p>
        </w:tc>
      </w:tr>
      <w:tr>
        <w:tc>
          <w:tcPr>
            <w:tcW w:w="2500" w:type="dxa"/>
            <w:vAlign w:val="center"/>
          </w:tcPr>
          <w:p>
            <w:pPr>
              <w:spacing w:after="0" w:line="240" w:lineRule="auto"/>
              <w:jc w:val="left"/>
            </w:pPr>
            <w:r>
              <w:rPr>
                <w:b w:val="0"/>
                <w:sz w:val="20"/>
                <w:szCs w:val="20"/>
              </w:rPr>
              <w:t xml:space="preserve">agencies</w:t>
            </w:r>
          </w:p>
        </w:tc>
        <w:tc>
          <w:tcPr>
            <w:tcW w:w="6900" w:type="dxa"/>
            <w:vAlign w:val="center"/>
          </w:tcPr>
          <w:p>
            <w:pPr>
              <w:spacing w:after="0" w:line="240" w:lineRule="auto"/>
              <w:jc w:val="left"/>
            </w:pPr>
            <w:r>
              <w:rPr>
                <w:b w:val="0"/>
                <w:sz w:val="20"/>
                <w:szCs w:val="20"/>
              </w:rPr>
              <w:t xml:space="preserve">Stores partner agency profiles, slot configuration, per-applicant cap, and budget object (allocated, committed, disbursed, period, fund source), together with the enabled flag that distinguishes active funders from the retained but disabled coordination hub.</w:t>
            </w:r>
          </w:p>
        </w:tc>
      </w:tr>
      <w:tr>
        <w:tc>
          <w:tcPr>
            <w:tcW w:w="2500" w:type="dxa"/>
            <w:vAlign w:val="center"/>
          </w:tcPr>
          <w:p>
            <w:pPr>
              <w:spacing w:after="0" w:line="240" w:lineRule="auto"/>
              <w:jc w:val="left"/>
            </w:pPr>
            <w:r>
              <w:rPr>
                <w:b w:val="0"/>
                <w:sz w:val="20"/>
                <w:szCs w:val="20"/>
              </w:rPr>
              <w:t xml:space="preserve">interviewSlots</w:t>
            </w:r>
          </w:p>
        </w:tc>
        <w:tc>
          <w:tcPr>
            <w:tcW w:w="6900" w:type="dxa"/>
            <w:vAlign w:val="center"/>
          </w:tcPr>
          <w:p>
            <w:pPr>
              <w:spacing w:after="0" w:line="240" w:lineRule="auto"/>
              <w:jc w:val="left"/>
            </w:pPr>
            <w:r>
              <w:rPr>
                <w:b w:val="0"/>
                <w:sz w:val="20"/>
                <w:szCs w:val="20"/>
              </w:rPr>
              <w:t xml:space="preserve">Bookable CRMC assessment-interview slots, holding the date, start time, duration, mode (in person or online), status, the booking patient and request once booked, the in-person queue number, the Google Meet link for online slots, and the reminder-sent flags.</w:t>
            </w:r>
          </w:p>
        </w:tc>
      </w:tr>
      <w:tr>
        <w:tc>
          <w:tcPr>
            <w:tcW w:w="2500" w:type="dxa"/>
            <w:vAlign w:val="center"/>
          </w:tcPr>
          <w:p>
            <w:pPr>
              <w:spacing w:after="0" w:line="240" w:lineRule="auto"/>
              <w:jc w:val="left"/>
            </w:pPr>
            <w:r>
              <w:rPr>
                <w:b w:val="0"/>
                <w:sz w:val="20"/>
                <w:szCs w:val="20"/>
              </w:rPr>
              <w:t xml:space="preserve">hospitalIds</w:t>
            </w:r>
          </w:p>
        </w:tc>
        <w:tc>
          <w:tcPr>
            <w:tcW w:w="6900" w:type="dxa"/>
            <w:vAlign w:val="center"/>
          </w:tcPr>
          <w:p>
            <w:pPr>
              <w:spacing w:after="0" w:line="240" w:lineRule="auto"/>
              <w:jc w:val="left"/>
            </w:pPr>
            <w:r>
              <w:rPr>
                <w:b w:val="0"/>
                <w:sz w:val="20"/>
                <w:szCs w:val="20"/>
              </w:rPr>
              <w:t xml:space="preserve">Stores Patient Access Code records (CRMC-YYYY-NNNNN) with availability status, the claiming patient UID, and the cross-account cooldown timestamps. Cooldown is tracked directly on this document so that it survives account deletion and re-registration.</w:t>
            </w:r>
          </w:p>
        </w:tc>
      </w:tr>
      <w:tr>
        <w:tc>
          <w:tcPr>
            <w:tcW w:w="2500" w:type="dxa"/>
            <w:vAlign w:val="center"/>
          </w:tcPr>
          <w:p>
            <w:pPr>
              <w:spacing w:after="0" w:line="240" w:lineRule="auto"/>
              <w:jc w:val="left"/>
            </w:pPr>
            <w:r>
              <w:rPr>
                <w:b w:val="0"/>
                <w:sz w:val="20"/>
                <w:szCs w:val="20"/>
              </w:rPr>
              <w:t xml:space="preserve">certificates</w:t>
            </w:r>
          </w:p>
        </w:tc>
        <w:tc>
          <w:tcPr>
            <w:tcW w:w="6900" w:type="dxa"/>
            <w:vAlign w:val="center"/>
          </w:tcPr>
          <w:p>
            <w:pPr>
              <w:spacing w:after="0" w:line="240" w:lineRule="auto"/>
              <w:jc w:val="left"/>
            </w:pPr>
            <w:r>
              <w:rPr>
                <w:b w:val="0"/>
                <w:sz w:val="20"/>
                <w:szCs w:val="20"/>
              </w:rPr>
              <w:t xml:space="preserve">Stores signed Guarantee Letter scans keyed by application slice ID, used by patients to download the approved Guarantee Letter.</w:t>
            </w:r>
          </w:p>
        </w:tc>
      </w:tr>
      <w:tr>
        <w:tc>
          <w:tcPr>
            <w:tcW w:w="2500" w:type="dxa"/>
            <w:vAlign w:val="center"/>
          </w:tcPr>
          <w:p>
            <w:pPr>
              <w:spacing w:after="0" w:line="240" w:lineRule="auto"/>
              <w:jc w:val="left"/>
            </w:pPr>
            <w:r>
              <w:rPr>
                <w:b w:val="0"/>
                <w:sz w:val="20"/>
                <w:szCs w:val="20"/>
              </w:rPr>
              <w:t xml:space="preserve">conversations</w:t>
            </w:r>
          </w:p>
        </w:tc>
        <w:tc>
          <w:tcPr>
            <w:tcW w:w="6900" w:type="dxa"/>
            <w:vAlign w:val="center"/>
          </w:tcPr>
          <w:p>
            <w:pPr>
              <w:spacing w:after="0" w:line="240" w:lineRule="auto"/>
              <w:jc w:val="left"/>
            </w:pPr>
            <w:r>
              <w:rPr>
                <w:b w:val="0"/>
                <w:sz w:val="20"/>
                <w:szCs w:val="20"/>
              </w:rPr>
              <w:t xml:space="preserve">Stores message threads between patients, agency personnel, and administrators; a messages subcollection holds the individual messages.</w:t>
            </w:r>
          </w:p>
        </w:tc>
      </w:tr>
      <w:tr>
        <w:tc>
          <w:tcPr>
            <w:tcW w:w="2500" w:type="dxa"/>
            <w:vAlign w:val="center"/>
          </w:tcPr>
          <w:p>
            <w:pPr>
              <w:spacing w:after="0" w:line="240" w:lineRule="auto"/>
              <w:jc w:val="left"/>
            </w:pPr>
            <w:r>
              <w:rPr>
                <w:b w:val="0"/>
                <w:sz w:val="20"/>
                <w:szCs w:val="20"/>
              </w:rPr>
              <w:t xml:space="preserve">referralSuggestions</w:t>
            </w:r>
          </w:p>
        </w:tc>
        <w:tc>
          <w:tcPr>
            <w:tcW w:w="6900" w:type="dxa"/>
            <w:vAlign w:val="center"/>
          </w:tcPr>
          <w:p>
            <w:pPr>
              <w:spacing w:after="0" w:line="240" w:lineRule="auto"/>
              <w:jc w:val="left"/>
            </w:pPr>
            <w:r>
              <w:rPr>
                <w:b w:val="0"/>
                <w:sz w:val="20"/>
                <w:szCs w:val="20"/>
              </w:rPr>
              <w:t xml:space="preserve">Structured suggestions raised by an agency coordinator to CRMC proposing another agency better suited to fund a case.</w:t>
            </w:r>
          </w:p>
        </w:tc>
      </w:tr>
      <w:tr>
        <w:tc>
          <w:tcPr>
            <w:tcW w:w="2500" w:type="dxa"/>
            <w:vAlign w:val="center"/>
          </w:tcPr>
          <w:p>
            <w:pPr>
              <w:spacing w:after="0" w:line="240" w:lineRule="auto"/>
              <w:jc w:val="left"/>
            </w:pPr>
            <w:r>
              <w:rPr>
                <w:b w:val="0"/>
                <w:sz w:val="20"/>
                <w:szCs w:val="20"/>
              </w:rPr>
              <w:t xml:space="preserve">notifications</w:t>
            </w:r>
          </w:p>
        </w:tc>
        <w:tc>
          <w:tcPr>
            <w:tcW w:w="6900" w:type="dxa"/>
            <w:vAlign w:val="center"/>
          </w:tcPr>
          <w:p>
            <w:pPr>
              <w:spacing w:after="0" w:line="240" w:lineRule="auto"/>
              <w:jc w:val="left"/>
            </w:pPr>
            <w:r>
              <w:rPr>
                <w:b w:val="0"/>
                <w:sz w:val="20"/>
                <w:szCs w:val="20"/>
              </w:rPr>
              <w:t xml:space="preserve">Stores per-user in-app notification feeds as a subcollection under each user UID.</w:t>
            </w:r>
          </w:p>
        </w:tc>
      </w:tr>
      <w:tr>
        <w:tc>
          <w:tcPr>
            <w:tcW w:w="2500" w:type="dxa"/>
            <w:vAlign w:val="center"/>
          </w:tcPr>
          <w:p>
            <w:pPr>
              <w:spacing w:after="0" w:line="240" w:lineRule="auto"/>
              <w:jc w:val="left"/>
            </w:pPr>
            <w:r>
              <w:rPr>
                <w:b w:val="0"/>
                <w:sz w:val="20"/>
                <w:szCs w:val="20"/>
              </w:rPr>
              <w:t xml:space="preserve">notificationErrors</w:t>
            </w:r>
          </w:p>
        </w:tc>
        <w:tc>
          <w:tcPr>
            <w:tcW w:w="6900" w:type="dxa"/>
            <w:vAlign w:val="center"/>
          </w:tcPr>
          <w:p>
            <w:pPr>
              <w:spacing w:after="0" w:line="240" w:lineRule="auto"/>
              <w:jc w:val="left"/>
            </w:pPr>
            <w:r>
              <w:rPr>
                <w:b w:val="0"/>
                <w:sz w:val="20"/>
                <w:szCs w:val="20"/>
              </w:rPr>
              <w:t xml:space="preserve">Diagnostic log of failed notification deliveries, surfaced to administrators as a delivery-health alert.</w:t>
            </w:r>
          </w:p>
        </w:tc>
      </w:tr>
      <w:tr>
        <w:tc>
          <w:tcPr>
            <w:tcW w:w="2500" w:type="dxa"/>
            <w:vAlign w:val="center"/>
          </w:tcPr>
          <w:p>
            <w:pPr>
              <w:spacing w:after="0" w:line="240" w:lineRule="auto"/>
              <w:jc w:val="left"/>
            </w:pPr>
            <w:r>
              <w:rPr>
                <w:b w:val="0"/>
                <w:sz w:val="20"/>
                <w:szCs w:val="20"/>
              </w:rPr>
              <w:t xml:space="preserve">docReviewPresence</w:t>
            </w:r>
          </w:p>
        </w:tc>
        <w:tc>
          <w:tcPr>
            <w:tcW w:w="6900" w:type="dxa"/>
            <w:vAlign w:val="center"/>
          </w:tcPr>
          <w:p>
            <w:pPr>
              <w:spacing w:after="0" w:line="240" w:lineRule="auto"/>
              <w:jc w:val="left"/>
            </w:pPr>
            <w:r>
              <w:rPr>
                <w:b w:val="0"/>
                <w:sz w:val="20"/>
                <w:szCs w:val="20"/>
              </w:rPr>
              <w:t xml:space="preserve">Ephemeral record of which reviewer is currently examining a document, preventing two administrators from duplicating verification work.</w:t>
            </w:r>
          </w:p>
        </w:tc>
      </w:tr>
      <w:tr>
        <w:tc>
          <w:tcPr>
            <w:tcW w:w="2500" w:type="dxa"/>
            <w:vAlign w:val="center"/>
          </w:tcPr>
          <w:p>
            <w:pPr>
              <w:spacing w:after="0" w:line="240" w:lineRule="auto"/>
              <w:jc w:val="left"/>
            </w:pPr>
            <w:r>
              <w:rPr>
                <w:b w:val="0"/>
                <w:sz w:val="20"/>
                <w:szCs w:val="20"/>
              </w:rPr>
              <w:t xml:space="preserve">auditLog</w:t>
            </w:r>
          </w:p>
        </w:tc>
        <w:tc>
          <w:tcPr>
            <w:tcW w:w="6900" w:type="dxa"/>
            <w:vAlign w:val="center"/>
          </w:tcPr>
          <w:p>
            <w:pPr>
              <w:spacing w:after="0" w:line="240" w:lineRule="auto"/>
              <w:jc w:val="left"/>
            </w:pPr>
            <w:r>
              <w:rPr>
                <w:b w:val="0"/>
                <w:sz w:val="20"/>
                <w:szCs w:val="20"/>
              </w:rPr>
              <w:t xml:space="preserve">Immutable platform-wide action history; append-only with no updates or deletes permitted, and with the actor identity bound to the authenticated user at the rules level.</w:t>
            </w:r>
          </w:p>
        </w:tc>
      </w:tr>
      <w:tr>
        <w:tc>
          <w:tcPr>
            <w:tcW w:w="2500" w:type="dxa"/>
            <w:vAlign w:val="center"/>
          </w:tcPr>
          <w:p>
            <w:pPr>
              <w:spacing w:after="0" w:line="240" w:lineRule="auto"/>
              <w:jc w:val="left"/>
            </w:pPr>
            <w:r>
              <w:rPr>
                <w:b w:val="0"/>
                <w:sz w:val="20"/>
                <w:szCs w:val="20"/>
              </w:rPr>
              <w:t xml:space="preserve">announcements</w:t>
            </w:r>
          </w:p>
        </w:tc>
        <w:tc>
          <w:tcPr>
            <w:tcW w:w="6900" w:type="dxa"/>
            <w:vAlign w:val="center"/>
          </w:tcPr>
          <w:p>
            <w:pPr>
              <w:spacing w:after="0" w:line="240" w:lineRule="auto"/>
              <w:jc w:val="left"/>
            </w:pPr>
            <w:r>
              <w:rPr>
                <w:b w:val="0"/>
                <w:sz w:val="20"/>
                <w:szCs w:val="20"/>
              </w:rPr>
              <w:t xml:space="preserve">Stores system-wide banner announcements (Information, Warning, Maintenance) with start and end times.</w:t>
            </w:r>
          </w:p>
        </w:tc>
      </w:tr>
      <w:tr>
        <w:tc>
          <w:tcPr>
            <w:tcW w:w="2500" w:type="dxa"/>
            <w:vAlign w:val="center"/>
          </w:tcPr>
          <w:p>
            <w:pPr>
              <w:spacing w:after="0" w:line="240" w:lineRule="auto"/>
              <w:jc w:val="left"/>
            </w:pPr>
            <w:r>
              <w:rPr>
                <w:b w:val="0"/>
                <w:sz w:val="20"/>
                <w:szCs w:val="20"/>
              </w:rPr>
              <w:t xml:space="preserve">reports</w:t>
            </w:r>
          </w:p>
        </w:tc>
        <w:tc>
          <w:tcPr>
            <w:tcW w:w="6900" w:type="dxa"/>
            <w:vAlign w:val="center"/>
          </w:tcPr>
          <w:p>
            <w:pPr>
              <w:spacing w:after="0" w:line="240" w:lineRule="auto"/>
              <w:jc w:val="left"/>
            </w:pPr>
            <w:r>
              <w:rPr>
                <w:b w:val="0"/>
                <w:sz w:val="20"/>
                <w:szCs w:val="20"/>
              </w:rPr>
              <w:t xml:space="preserve">Stores bug reports and agency budget top-up requests submitted by agency personnel.</w:t>
            </w:r>
          </w:p>
        </w:tc>
      </w:tr>
    </w:tbl>
    <w:p>
      <w:pPr>
        <w:pStyle w:val="BodyofResearch"/>
        <w:spacing w:after="0" w:line="240" w:lineRule="auto"/>
      </w:pPr>
    </w:p>
    <w:p>
      <w:r>
        <w:br w:type="page"/>
      </w:r>
    </w:p>
    <w:p>
      <w:pPr>
        <w:pStyle w:val="BodyofResearch"/>
        <w:keepNext/>
        <w:keepLines/>
        <w:spacing w:before="180" w:after="120"/>
        <w:jc w:val="left"/>
      </w:pPr>
      <w:r>
        <w:rPr>
          <w:b/>
        </w:rPr>
        <w:t xml:space="preserve">The Order of Charging in the Data Model</w:t>
      </w:r>
    </w:p>
    <w:p>
      <w:pPr>
        <w:pStyle w:val="BodyofResearch"/>
        <w:ind w:firstLine="720"/>
        <w:jc w:val="both"/>
      </w:pPr>
      <w:r>
        <w:rPr>
          <w:b w:val="0"/>
        </w:rPr>
        <w:t xml:space="preserve">A design decision worth stating explicitly is how the statutory Order of Charging is represented. Joint Administrative Order No. 2020-0001, implementing Republic Act No. 11463, prescribes that a bill is charged first against PhilHealth, then against PCSO, DSWD, DOH, and finally the hospital or local government unit. MAPA models the first charge as a property of the bill rather than as an agency decision: the request carries a philhealthCovered field, recorded by the CRMC social worker at assessment from the hospital's billing computation, and the endorsable amount is computed as the bill less PhilHealth coverage less any other coverage already applied. Only that residual can be endorsed, and the sum of all agency commitments is bounded by it.</w:t>
      </w:r>
    </w:p>
    <w:p>
      <w:pPr>
        <w:pStyle w:val="BodyofResearch"/>
        <w:ind w:firstLine="720"/>
        <w:jc w:val="both"/>
      </w:pPr>
      <w:r>
        <w:rPr>
          <w:b w:val="0"/>
        </w:rPr>
        <w:t xml:space="preserve">The consequence is that PhilHealth is not represented as an endorsable agency, because it does not issue Guarantee Letters, and the Malasakit Center is not represented as one either, because under the statute it is a co-located coordination hub rather than a funding source. The Malasakit Center's function is instead the CRMC gateway role that the whole platform is organized around. The agencies that remain endorsable are precisely those that issue Guarantee Letters against their own budgets: DOH-MAIP, PCSO MAP, DSWD AICS, and the BARMM regional program AMBaG. The Malasakit agency record is retained in a disabled state so that the historical data and the modelling decision remain visible rather than being silently deleted.</w:t>
      </w:r>
    </w:p>
    <w:p>
      <w:pPr>
        <w:pStyle w:val="BodyofResearch"/>
        <w:ind w:firstLine="720"/>
        <w:jc w:val="both"/>
      </w:pPr>
      <w:r>
        <w:rPr>
          <w:b w:val="0"/>
        </w:rPr>
        <w:t xml:space="preserve">This alignment matters beyond correctness of vocabulary. Because the residual is computed rather than asserted, the co-funding total shown to every agency reflects a bill that has already had its statutory first charge applied, and no combination of independent agency approvals can commit more than the patient actually owes.</w:t>
      </w:r>
    </w:p>
    <w:p>
      <w:r>
        <w:br w:type="page"/>
      </w:r>
    </w:p>
    <w:p>
      <w:pPr>
        <w:pStyle w:val="BodyofResearch"/>
        <w:keepNext/>
        <w:keepLines/>
        <w:spacing w:before="180" w:after="120"/>
        <w:jc w:val="left"/>
      </w:pPr>
      <w:r>
        <w:rPr>
          <w:b/>
        </w:rPr>
        <w:t xml:space="preserve">User Roles and Permissions Matrix</w:t>
      </w:r>
    </w:p>
    <w:p>
      <w:pPr>
        <w:pStyle w:val="BodyofResearch"/>
        <w:ind w:firstLine="720"/>
        <w:jc w:val="both"/>
      </w:pPr>
      <w:r>
        <w:rPr>
          <w:b w:val="0"/>
        </w:rPr>
        <w:t xml:space="preserve">The system enforces role-based access control across five defined user roles: Patient, Agency Coordinator, Agency Administrator, Staff Admin, and Super Admin. For this matrix, these are grouped into three columns — Patient, Agency Personnel (covering Agency Coordinator and Agency Administrator), and Administrator (covering Staff Admin and Super Admin) — with notes where permissions differ within a group. Access to each feature is determined exclusively by the user's assigned role and is evaluated server-side by Firestore Security Rules, ensuring that no user can access functionality or data outside their designated scope. This matrix directly supports the security requirement defined in NFR-04 and the data privacy obligations imposed by Republic Act No. 10173. Table 8 presents the complete matrix.</w:t>
      </w:r>
    </w:p>
    <w:p>
      <w:pPr>
        <w:pStyle w:val="BodyofResearch"/>
        <w:keepNext/>
        <w:keepLines/>
        <w:spacing w:before="180" w:after="60"/>
        <w:jc w:val="left"/>
      </w:pPr>
      <w:r>
        <w:rPr>
          <w:b w:val="0"/>
          <w:i/>
        </w:rPr>
        <w:t xml:space="preserve">Table 8. User Roles and Permissions Matrix</w:t>
      </w:r>
    </w:p>
    <w:tbl>
      <w:tblPr>
        <w:tblStyle w:val="TableGrid"/>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6" w:type="dxa"/>
          <w:bottom w:w="40" w:type="dxa"/>
          <w:right w:w="86" w:type="dxa"/>
        </w:tblCellMar>
        <w:tblLook w:val="04A0" w:firstRow="1" w:lastRow="0" w:firstColumn="1" w:lastColumn="0" w:noHBand="0" w:noVBand="1"/>
      </w:tblPr>
      <w:tblGrid>
        <w:gridCol w:w="4300"/>
        <w:gridCol w:w="1650"/>
        <w:gridCol w:w="1750"/>
        <w:gridCol w:w="1700"/>
      </w:tblGrid>
      <w:tr>
        <w:trPr>
          <w:tblHeader/>
          <w:cantSplit/>
        </w:trPr>
        <w:tc>
          <w:tcPr>
            <w:tcW w:w="4300" w:type="dxa"/>
            <w:vAlign w:val="center"/>
          </w:tcPr>
          <w:p>
            <w:pPr>
              <w:spacing w:after="0" w:line="240" w:lineRule="auto"/>
              <w:jc w:val="center"/>
            </w:pPr>
            <w:r>
              <w:rPr>
                <w:b/>
                <w:sz w:val="20"/>
                <w:szCs w:val="20"/>
              </w:rPr>
              <w:t xml:space="preserve">Feature</w:t>
            </w:r>
          </w:p>
        </w:tc>
        <w:tc>
          <w:tcPr>
            <w:tcW w:w="1650" w:type="dxa"/>
            <w:vAlign w:val="center"/>
          </w:tcPr>
          <w:p>
            <w:pPr>
              <w:spacing w:after="0" w:line="240" w:lineRule="auto"/>
              <w:jc w:val="center"/>
            </w:pPr>
            <w:r>
              <w:rPr>
                <w:b/>
                <w:sz w:val="20"/>
                <w:szCs w:val="20"/>
              </w:rPr>
              <w:t xml:space="preserve">Patient</w:t>
            </w:r>
          </w:p>
        </w:tc>
        <w:tc>
          <w:tcPr>
            <w:tcW w:w="1750" w:type="dxa"/>
            <w:vAlign w:val="center"/>
          </w:tcPr>
          <w:p>
            <w:pPr>
              <w:spacing w:after="0" w:line="240" w:lineRule="auto"/>
              <w:jc w:val="center"/>
            </w:pPr>
            <w:r>
              <w:rPr>
                <w:b/>
                <w:sz w:val="20"/>
                <w:szCs w:val="20"/>
              </w:rPr>
              <w:t xml:space="preserve">Agency</w:t>
            </w:r>
          </w:p>
        </w:tc>
        <w:tc>
          <w:tcPr>
            <w:tcW w:w="1700" w:type="dxa"/>
            <w:vAlign w:val="center"/>
          </w:tcPr>
          <w:p>
            <w:pPr>
              <w:spacing w:after="0" w:line="240" w:lineRule="auto"/>
              <w:jc w:val="center"/>
            </w:pPr>
            <w:r>
              <w:rPr>
                <w:b/>
                <w:sz w:val="20"/>
                <w:szCs w:val="20"/>
              </w:rPr>
              <w:t xml:space="preserve">Admin</w:t>
            </w:r>
          </w:p>
        </w:tc>
      </w:tr>
      <w:tr>
        <w:tc>
          <w:tcPr>
            <w:tcW w:w="4300" w:type="dxa"/>
            <w:vAlign w:val="center"/>
          </w:tcPr>
          <w:p>
            <w:pPr>
              <w:spacing w:after="0" w:line="240" w:lineRule="auto"/>
              <w:jc w:val="center"/>
            </w:pPr>
            <w:r>
              <w:rPr>
                <w:b w:val="0"/>
                <w:sz w:val="20"/>
                <w:szCs w:val="20"/>
              </w:rPr>
              <w:t xml:space="preserve">Register using CRMC Patient Access Code</w:t>
            </w:r>
          </w:p>
        </w:tc>
        <w:tc>
          <w:tcPr>
            <w:tcW w:w="1650" w:type="dxa"/>
            <w:vAlign w:val="center"/>
          </w:tcPr>
          <w:p>
            <w:pPr>
              <w:spacing w:after="0" w:line="240" w:lineRule="auto"/>
              <w:jc w:val="left"/>
            </w:pPr>
            <w:r>
              <w:rPr>
                <w:b w:val="0"/>
                <w:sz w:val="20"/>
                <w:szCs w:val="20"/>
              </w:rPr>
              <w:t xml:space="preserve">Yes</w:t>
            </w:r>
          </w:p>
        </w:tc>
        <w:tc>
          <w:tcPr>
            <w:tcW w:w="1750" w:type="dxa"/>
            <w:vAlign w:val="center"/>
          </w:tcPr>
          <w:p>
            <w:pPr>
              <w:spacing w:after="0" w:line="240" w:lineRule="auto"/>
              <w:jc w:val="left"/>
            </w:pPr>
            <w:r>
              <w:rPr>
                <w:b w:val="0"/>
                <w:sz w:val="20"/>
                <w:szCs w:val="20"/>
              </w:rPr>
              <w:t xml:space="preserve">—</w:t>
            </w:r>
          </w:p>
        </w:tc>
        <w:tc>
          <w:tcPr>
            <w:tcW w:w="1700" w:type="dxa"/>
            <w:vAlign w:val="center"/>
          </w:tcPr>
          <w:p>
            <w:pPr>
              <w:spacing w:after="0" w:line="240" w:lineRule="auto"/>
              <w:jc w:val="center"/>
            </w:pPr>
            <w:r>
              <w:rPr>
                <w:b w:val="0"/>
                <w:sz w:val="20"/>
                <w:szCs w:val="20"/>
              </w:rPr>
              <w:t xml:space="preserve">—</w:t>
            </w:r>
          </w:p>
        </w:tc>
      </w:tr>
      <w:tr>
        <w:tc>
          <w:tcPr>
            <w:tcW w:w="4300" w:type="dxa"/>
            <w:vAlign w:val="center"/>
          </w:tcPr>
          <w:p>
            <w:pPr>
              <w:spacing w:after="0" w:line="240" w:lineRule="auto"/>
              <w:jc w:val="center"/>
            </w:pPr>
            <w:r>
              <w:rPr>
                <w:b w:val="0"/>
                <w:sz w:val="20"/>
                <w:szCs w:val="20"/>
              </w:rPr>
              <w:t xml:space="preserve">Log in to the system</w:t>
            </w:r>
          </w:p>
        </w:tc>
        <w:tc>
          <w:tcPr>
            <w:tcW w:w="1650" w:type="dxa"/>
            <w:vAlign w:val="center"/>
          </w:tcPr>
          <w:p>
            <w:pPr>
              <w:spacing w:after="0" w:line="240" w:lineRule="auto"/>
              <w:jc w:val="left"/>
            </w:pPr>
            <w:r>
              <w:rPr>
                <w:b w:val="0"/>
                <w:sz w:val="20"/>
                <w:szCs w:val="20"/>
              </w:rPr>
              <w:t xml:space="preserve">Yes</w:t>
            </w:r>
          </w:p>
        </w:tc>
        <w:tc>
          <w:tcPr>
            <w:tcW w:w="1750" w:type="dxa"/>
            <w:vAlign w:val="center"/>
          </w:tcPr>
          <w:p>
            <w:pPr>
              <w:spacing w:after="0" w:line="240" w:lineRule="auto"/>
              <w:jc w:val="left"/>
            </w:pPr>
            <w:r>
              <w:rPr>
                <w:b w:val="0"/>
                <w:sz w:val="20"/>
                <w:szCs w:val="20"/>
              </w:rPr>
              <w:t xml:space="preserve">Yes</w:t>
            </w:r>
          </w:p>
        </w:tc>
        <w:tc>
          <w:tcPr>
            <w:tcW w:w="1700" w:type="dxa"/>
            <w:vAlign w:val="center"/>
          </w:tcPr>
          <w:p>
            <w:pPr>
              <w:spacing w:after="0" w:line="240" w:lineRule="auto"/>
              <w:jc w:val="center"/>
            </w:pPr>
            <w:r>
              <w:rPr>
                <w:b w:val="0"/>
                <w:sz w:val="20"/>
                <w:szCs w:val="20"/>
              </w:rPr>
              <w:t xml:space="preserve">Yes</w:t>
            </w:r>
          </w:p>
        </w:tc>
      </w:tr>
      <w:tr>
        <w:tc>
          <w:tcPr>
            <w:tcW w:w="4300" w:type="dxa"/>
            <w:vAlign w:val="center"/>
          </w:tcPr>
          <w:p>
            <w:pPr>
              <w:spacing w:after="0" w:line="240" w:lineRule="auto"/>
              <w:jc w:val="center"/>
            </w:pPr>
            <w:r>
              <w:rPr>
                <w:b w:val="0"/>
                <w:sz w:val="20"/>
                <w:szCs w:val="20"/>
              </w:rPr>
              <w:t xml:space="preserve">Two-step verification (TOTP)</w:t>
            </w:r>
          </w:p>
        </w:tc>
        <w:tc>
          <w:tcPr>
            <w:tcW w:w="1650" w:type="dxa"/>
            <w:vAlign w:val="center"/>
          </w:tcPr>
          <w:p>
            <w:pPr>
              <w:spacing w:after="0" w:line="240" w:lineRule="auto"/>
              <w:jc w:val="left"/>
            </w:pPr>
            <w:r>
              <w:rPr>
                <w:b w:val="0"/>
                <w:sz w:val="20"/>
                <w:szCs w:val="20"/>
              </w:rPr>
              <w:t xml:space="preserve">—</w:t>
            </w:r>
          </w:p>
        </w:tc>
        <w:tc>
          <w:tcPr>
            <w:tcW w:w="1750" w:type="dxa"/>
            <w:vAlign w:val="center"/>
          </w:tcPr>
          <w:p>
            <w:pPr>
              <w:spacing w:after="0" w:line="240" w:lineRule="auto"/>
              <w:jc w:val="left"/>
            </w:pPr>
            <w:r>
              <w:rPr>
                <w:b w:val="0"/>
                <w:sz w:val="20"/>
                <w:szCs w:val="20"/>
              </w:rPr>
              <w:t xml:space="preserve">Yes</w:t>
            </w:r>
          </w:p>
        </w:tc>
        <w:tc>
          <w:tcPr>
            <w:tcW w:w="1700" w:type="dxa"/>
            <w:vAlign w:val="center"/>
          </w:tcPr>
          <w:p>
            <w:pPr>
              <w:spacing w:after="0" w:line="240" w:lineRule="auto"/>
              <w:jc w:val="center"/>
            </w:pPr>
            <w:r>
              <w:rPr>
                <w:b w:val="0"/>
                <w:sz w:val="20"/>
                <w:szCs w:val="20"/>
              </w:rPr>
              <w:t xml:space="preserve">Yes</w:t>
            </w:r>
          </w:p>
        </w:tc>
      </w:tr>
      <w:tr>
        <w:tc>
          <w:tcPr>
            <w:tcW w:w="4300" w:type="dxa"/>
            <w:vAlign w:val="center"/>
          </w:tcPr>
          <w:p>
            <w:pPr>
              <w:spacing w:after="0" w:line="240" w:lineRule="auto"/>
              <w:jc w:val="center"/>
            </w:pPr>
            <w:r>
              <w:rPr>
                <w:b w:val="0"/>
                <w:sz w:val="20"/>
                <w:szCs w:val="20"/>
              </w:rPr>
              <w:t xml:space="preserve">Upload and manage personal documents</w:t>
            </w:r>
          </w:p>
        </w:tc>
        <w:tc>
          <w:tcPr>
            <w:tcW w:w="1650" w:type="dxa"/>
            <w:vAlign w:val="center"/>
          </w:tcPr>
          <w:p>
            <w:pPr>
              <w:spacing w:after="0" w:line="240" w:lineRule="auto"/>
              <w:jc w:val="left"/>
            </w:pPr>
            <w:r>
              <w:rPr>
                <w:b w:val="0"/>
                <w:sz w:val="20"/>
                <w:szCs w:val="20"/>
              </w:rPr>
              <w:t xml:space="preserve">Yes</w:t>
            </w:r>
          </w:p>
        </w:tc>
        <w:tc>
          <w:tcPr>
            <w:tcW w:w="1750" w:type="dxa"/>
            <w:vAlign w:val="center"/>
          </w:tcPr>
          <w:p>
            <w:pPr>
              <w:spacing w:after="0" w:line="240" w:lineRule="auto"/>
              <w:jc w:val="left"/>
            </w:pPr>
            <w:r>
              <w:rPr>
                <w:b w:val="0"/>
                <w:sz w:val="20"/>
                <w:szCs w:val="20"/>
              </w:rPr>
              <w:t xml:space="preserve">—</w:t>
            </w:r>
          </w:p>
        </w:tc>
        <w:tc>
          <w:tcPr>
            <w:tcW w:w="1700" w:type="dxa"/>
            <w:vAlign w:val="center"/>
          </w:tcPr>
          <w:p>
            <w:pPr>
              <w:spacing w:after="0" w:line="240" w:lineRule="auto"/>
              <w:jc w:val="center"/>
            </w:pPr>
            <w:r>
              <w:rPr>
                <w:b w:val="0"/>
                <w:sz w:val="20"/>
                <w:szCs w:val="20"/>
              </w:rPr>
              <w:t xml:space="preserve">—</w:t>
            </w:r>
          </w:p>
        </w:tc>
      </w:tr>
      <w:tr>
        <w:tc>
          <w:tcPr>
            <w:tcW w:w="4300" w:type="dxa"/>
            <w:vAlign w:val="center"/>
          </w:tcPr>
          <w:p>
            <w:pPr>
              <w:spacing w:after="0" w:line="240" w:lineRule="auto"/>
              <w:jc w:val="center"/>
            </w:pPr>
            <w:r>
              <w:rPr>
                <w:b w:val="0"/>
                <w:sz w:val="20"/>
                <w:szCs w:val="20"/>
              </w:rPr>
              <w:t xml:space="preserve">Use pre-assessment screening tool</w:t>
            </w:r>
          </w:p>
        </w:tc>
        <w:tc>
          <w:tcPr>
            <w:tcW w:w="1650" w:type="dxa"/>
            <w:vAlign w:val="center"/>
          </w:tcPr>
          <w:p>
            <w:pPr>
              <w:spacing w:after="0" w:line="240" w:lineRule="auto"/>
              <w:jc w:val="left"/>
            </w:pPr>
            <w:r>
              <w:rPr>
                <w:b w:val="0"/>
                <w:sz w:val="20"/>
                <w:szCs w:val="20"/>
              </w:rPr>
              <w:t xml:space="preserve">Yes</w:t>
            </w:r>
          </w:p>
        </w:tc>
        <w:tc>
          <w:tcPr>
            <w:tcW w:w="1750" w:type="dxa"/>
            <w:vAlign w:val="center"/>
          </w:tcPr>
          <w:p>
            <w:pPr>
              <w:spacing w:after="0" w:line="240" w:lineRule="auto"/>
              <w:jc w:val="left"/>
            </w:pPr>
            <w:r>
              <w:rPr>
                <w:b w:val="0"/>
                <w:sz w:val="20"/>
                <w:szCs w:val="20"/>
              </w:rPr>
              <w:t xml:space="preserve">—</w:t>
            </w:r>
          </w:p>
        </w:tc>
        <w:tc>
          <w:tcPr>
            <w:tcW w:w="1700" w:type="dxa"/>
            <w:vAlign w:val="center"/>
          </w:tcPr>
          <w:p>
            <w:pPr>
              <w:spacing w:after="0" w:line="240" w:lineRule="auto"/>
              <w:jc w:val="center"/>
            </w:pPr>
            <w:r>
              <w:rPr>
                <w:b w:val="0"/>
                <w:sz w:val="20"/>
                <w:szCs w:val="20"/>
              </w:rPr>
              <w:t xml:space="preserve">—</w:t>
            </w:r>
          </w:p>
        </w:tc>
      </w:tr>
      <w:tr>
        <w:tc>
          <w:tcPr>
            <w:tcW w:w="4300" w:type="dxa"/>
            <w:vAlign w:val="center"/>
          </w:tcPr>
          <w:p>
            <w:pPr>
              <w:spacing w:after="0" w:line="240" w:lineRule="auto"/>
              <w:jc w:val="center"/>
            </w:pPr>
            <w:r>
              <w:rPr>
                <w:b w:val="0"/>
                <w:sz w:val="20"/>
                <w:szCs w:val="20"/>
              </w:rPr>
              <w:t xml:space="preserve">Browse agency directory and check slot availability</w:t>
            </w:r>
          </w:p>
        </w:tc>
        <w:tc>
          <w:tcPr>
            <w:tcW w:w="1650" w:type="dxa"/>
            <w:vAlign w:val="center"/>
          </w:tcPr>
          <w:p>
            <w:pPr>
              <w:spacing w:after="0" w:line="240" w:lineRule="auto"/>
              <w:jc w:val="left"/>
            </w:pPr>
            <w:r>
              <w:rPr>
                <w:b w:val="0"/>
                <w:sz w:val="20"/>
                <w:szCs w:val="20"/>
              </w:rPr>
              <w:t xml:space="preserve">Yes</w:t>
            </w:r>
          </w:p>
        </w:tc>
        <w:tc>
          <w:tcPr>
            <w:tcW w:w="1750" w:type="dxa"/>
            <w:vAlign w:val="center"/>
          </w:tcPr>
          <w:p>
            <w:pPr>
              <w:spacing w:after="0" w:line="240" w:lineRule="auto"/>
              <w:jc w:val="left"/>
            </w:pPr>
            <w:r>
              <w:rPr>
                <w:b w:val="0"/>
                <w:sz w:val="20"/>
                <w:szCs w:val="20"/>
              </w:rPr>
              <w:t xml:space="preserve">—</w:t>
            </w:r>
          </w:p>
        </w:tc>
        <w:tc>
          <w:tcPr>
            <w:tcW w:w="1700" w:type="dxa"/>
            <w:vAlign w:val="center"/>
          </w:tcPr>
          <w:p>
            <w:pPr>
              <w:spacing w:after="0" w:line="240" w:lineRule="auto"/>
              <w:jc w:val="center"/>
            </w:pPr>
            <w:r>
              <w:rPr>
                <w:b w:val="0"/>
                <w:sz w:val="20"/>
                <w:szCs w:val="20"/>
              </w:rPr>
              <w:t xml:space="preserve">—</w:t>
            </w:r>
          </w:p>
        </w:tc>
      </w:tr>
      <w:tr>
        <w:tc>
          <w:tcPr>
            <w:tcW w:w="4300" w:type="dxa"/>
            <w:vAlign w:val="center"/>
          </w:tcPr>
          <w:p>
            <w:pPr>
              <w:spacing w:after="0" w:line="240" w:lineRule="auto"/>
              <w:jc w:val="center"/>
            </w:pPr>
            <w:r>
              <w:rPr>
                <w:b w:val="0"/>
                <w:sz w:val="20"/>
                <w:szCs w:val="20"/>
              </w:rPr>
              <w:t xml:space="preserve">File a single co-funding request and live selfie</w:t>
            </w:r>
          </w:p>
        </w:tc>
        <w:tc>
          <w:tcPr>
            <w:tcW w:w="1650" w:type="dxa"/>
            <w:vAlign w:val="center"/>
          </w:tcPr>
          <w:p>
            <w:pPr>
              <w:spacing w:after="0" w:line="240" w:lineRule="auto"/>
              <w:jc w:val="left"/>
            </w:pPr>
            <w:r>
              <w:rPr>
                <w:b w:val="0"/>
                <w:sz w:val="20"/>
                <w:szCs w:val="20"/>
              </w:rPr>
              <w:t xml:space="preserve">Yes</w:t>
            </w:r>
          </w:p>
        </w:tc>
        <w:tc>
          <w:tcPr>
            <w:tcW w:w="1750" w:type="dxa"/>
            <w:vAlign w:val="center"/>
          </w:tcPr>
          <w:p>
            <w:pPr>
              <w:spacing w:after="0" w:line="240" w:lineRule="auto"/>
              <w:jc w:val="left"/>
            </w:pPr>
            <w:r>
              <w:rPr>
                <w:b w:val="0"/>
                <w:sz w:val="20"/>
                <w:szCs w:val="20"/>
              </w:rPr>
              <w:t xml:space="preserve">—</w:t>
            </w:r>
          </w:p>
        </w:tc>
        <w:tc>
          <w:tcPr>
            <w:tcW w:w="1700" w:type="dxa"/>
            <w:vAlign w:val="center"/>
          </w:tcPr>
          <w:p>
            <w:pPr>
              <w:spacing w:after="0" w:line="240" w:lineRule="auto"/>
              <w:jc w:val="center"/>
            </w:pPr>
            <w:r>
              <w:rPr>
                <w:b w:val="0"/>
                <w:sz w:val="20"/>
                <w:szCs w:val="20"/>
              </w:rPr>
              <w:t xml:space="preserve">—</w:t>
            </w:r>
          </w:p>
        </w:tc>
      </w:tr>
      <w:tr>
        <w:tc>
          <w:tcPr>
            <w:tcW w:w="4300" w:type="dxa"/>
            <w:vAlign w:val="center"/>
          </w:tcPr>
          <w:p>
            <w:pPr>
              <w:spacing w:after="0" w:line="240" w:lineRule="auto"/>
              <w:jc w:val="center"/>
            </w:pPr>
            <w:r>
              <w:rPr>
                <w:b w:val="0"/>
                <w:sz w:val="20"/>
                <w:szCs w:val="20"/>
              </w:rPr>
              <w:t xml:space="preserve">Complete household intake wizard</w:t>
            </w:r>
          </w:p>
        </w:tc>
        <w:tc>
          <w:tcPr>
            <w:tcW w:w="1650" w:type="dxa"/>
            <w:vAlign w:val="center"/>
          </w:tcPr>
          <w:p>
            <w:pPr>
              <w:spacing w:after="0" w:line="240" w:lineRule="auto"/>
              <w:jc w:val="left"/>
            </w:pPr>
            <w:r>
              <w:rPr>
                <w:b w:val="0"/>
                <w:sz w:val="20"/>
                <w:szCs w:val="20"/>
              </w:rPr>
              <w:t xml:space="preserve">Yes</w:t>
            </w:r>
          </w:p>
        </w:tc>
        <w:tc>
          <w:tcPr>
            <w:tcW w:w="1750" w:type="dxa"/>
            <w:vAlign w:val="center"/>
          </w:tcPr>
          <w:p>
            <w:pPr>
              <w:spacing w:after="0" w:line="240" w:lineRule="auto"/>
              <w:jc w:val="left"/>
            </w:pPr>
            <w:r>
              <w:rPr>
                <w:b w:val="0"/>
                <w:sz w:val="20"/>
                <w:szCs w:val="20"/>
              </w:rPr>
              <w:t xml:space="preserve">—</w:t>
            </w:r>
          </w:p>
        </w:tc>
        <w:tc>
          <w:tcPr>
            <w:tcW w:w="1700" w:type="dxa"/>
            <w:vAlign w:val="center"/>
          </w:tcPr>
          <w:p>
            <w:pPr>
              <w:spacing w:after="0" w:line="240" w:lineRule="auto"/>
              <w:jc w:val="center"/>
            </w:pPr>
            <w:r>
              <w:rPr>
                <w:b w:val="0"/>
                <w:sz w:val="20"/>
                <w:szCs w:val="20"/>
              </w:rPr>
              <w:t xml:space="preserve">—</w:t>
            </w:r>
          </w:p>
        </w:tc>
      </w:tr>
      <w:tr>
        <w:tc>
          <w:tcPr>
            <w:tcW w:w="4300" w:type="dxa"/>
            <w:vAlign w:val="center"/>
          </w:tcPr>
          <w:p>
            <w:pPr>
              <w:spacing w:after="0" w:line="240" w:lineRule="auto"/>
              <w:jc w:val="center"/>
            </w:pPr>
            <w:r>
              <w:rPr>
                <w:b w:val="0"/>
                <w:sz w:val="20"/>
                <w:szCs w:val="20"/>
              </w:rPr>
              <w:t xml:space="preserve">Book and cancel own interview slot</w:t>
            </w:r>
          </w:p>
        </w:tc>
        <w:tc>
          <w:tcPr>
            <w:tcW w:w="1650" w:type="dxa"/>
            <w:vAlign w:val="center"/>
          </w:tcPr>
          <w:p>
            <w:pPr>
              <w:spacing w:after="0" w:line="240" w:lineRule="auto"/>
              <w:jc w:val="left"/>
            </w:pPr>
            <w:r>
              <w:rPr>
                <w:b w:val="0"/>
                <w:sz w:val="20"/>
                <w:szCs w:val="20"/>
              </w:rPr>
              <w:t xml:space="preserve">Yes</w:t>
            </w:r>
          </w:p>
        </w:tc>
        <w:tc>
          <w:tcPr>
            <w:tcW w:w="1750" w:type="dxa"/>
            <w:vAlign w:val="center"/>
          </w:tcPr>
          <w:p>
            <w:pPr>
              <w:spacing w:after="0" w:line="240" w:lineRule="auto"/>
              <w:jc w:val="left"/>
            </w:pPr>
            <w:r>
              <w:rPr>
                <w:b w:val="0"/>
                <w:sz w:val="20"/>
                <w:szCs w:val="20"/>
              </w:rPr>
              <w:t xml:space="preserve">—</w:t>
            </w:r>
          </w:p>
        </w:tc>
        <w:tc>
          <w:tcPr>
            <w:tcW w:w="1700" w:type="dxa"/>
            <w:vAlign w:val="center"/>
          </w:tcPr>
          <w:p>
            <w:pPr>
              <w:spacing w:after="0" w:line="240" w:lineRule="auto"/>
              <w:jc w:val="center"/>
            </w:pPr>
            <w:r>
              <w:rPr>
                <w:b w:val="0"/>
                <w:sz w:val="20"/>
                <w:szCs w:val="20"/>
              </w:rPr>
              <w:t xml:space="preserve">—</w:t>
            </w:r>
          </w:p>
        </w:tc>
      </w:tr>
      <w:tr>
        <w:tc>
          <w:tcPr>
            <w:tcW w:w="4300" w:type="dxa"/>
            <w:vAlign w:val="center"/>
          </w:tcPr>
          <w:p>
            <w:pPr>
              <w:spacing w:after="0" w:line="240" w:lineRule="auto"/>
              <w:jc w:val="center"/>
            </w:pPr>
            <w:r>
              <w:rPr>
                <w:b w:val="0"/>
                <w:sz w:val="20"/>
                <w:szCs w:val="20"/>
              </w:rPr>
              <w:t xml:space="preserve">Review coverage plan and Proceed</w:t>
            </w:r>
          </w:p>
        </w:tc>
        <w:tc>
          <w:tcPr>
            <w:tcW w:w="1650" w:type="dxa"/>
            <w:vAlign w:val="center"/>
          </w:tcPr>
          <w:p>
            <w:pPr>
              <w:spacing w:after="0" w:line="240" w:lineRule="auto"/>
              <w:jc w:val="left"/>
            </w:pPr>
            <w:r>
              <w:rPr>
                <w:b w:val="0"/>
                <w:sz w:val="20"/>
                <w:szCs w:val="20"/>
              </w:rPr>
              <w:t xml:space="preserve">Yes</w:t>
            </w:r>
          </w:p>
        </w:tc>
        <w:tc>
          <w:tcPr>
            <w:tcW w:w="1750" w:type="dxa"/>
            <w:vAlign w:val="center"/>
          </w:tcPr>
          <w:p>
            <w:pPr>
              <w:spacing w:after="0" w:line="240" w:lineRule="auto"/>
              <w:jc w:val="left"/>
            </w:pPr>
            <w:r>
              <w:rPr>
                <w:b w:val="0"/>
                <w:sz w:val="20"/>
                <w:szCs w:val="20"/>
              </w:rPr>
              <w:t xml:space="preserve">—</w:t>
            </w:r>
          </w:p>
        </w:tc>
        <w:tc>
          <w:tcPr>
            <w:tcW w:w="1700" w:type="dxa"/>
            <w:vAlign w:val="center"/>
          </w:tcPr>
          <w:p>
            <w:pPr>
              <w:spacing w:after="0" w:line="240" w:lineRule="auto"/>
              <w:jc w:val="center"/>
            </w:pPr>
            <w:r>
              <w:rPr>
                <w:b w:val="0"/>
                <w:sz w:val="20"/>
                <w:szCs w:val="20"/>
              </w:rPr>
              <w:t xml:space="preserve">—</w:t>
            </w:r>
          </w:p>
        </w:tc>
      </w:tr>
      <w:tr>
        <w:tc>
          <w:tcPr>
            <w:tcW w:w="4300" w:type="dxa"/>
            <w:vAlign w:val="center"/>
          </w:tcPr>
          <w:p>
            <w:pPr>
              <w:spacing w:after="0" w:line="240" w:lineRule="auto"/>
              <w:jc w:val="center"/>
            </w:pPr>
            <w:r>
              <w:rPr>
                <w:b w:val="0"/>
                <w:sz w:val="20"/>
                <w:szCs w:val="20"/>
              </w:rPr>
              <w:t xml:space="preserve">Track request and per-slice status</w:t>
            </w:r>
          </w:p>
        </w:tc>
        <w:tc>
          <w:tcPr>
            <w:tcW w:w="1650" w:type="dxa"/>
            <w:vAlign w:val="center"/>
          </w:tcPr>
          <w:p>
            <w:pPr>
              <w:spacing w:after="0" w:line="240" w:lineRule="auto"/>
              <w:jc w:val="left"/>
            </w:pPr>
            <w:r>
              <w:rPr>
                <w:b w:val="0"/>
                <w:sz w:val="20"/>
                <w:szCs w:val="20"/>
              </w:rPr>
              <w:t xml:space="preserve">Yes</w:t>
            </w:r>
          </w:p>
        </w:tc>
        <w:tc>
          <w:tcPr>
            <w:tcW w:w="1750" w:type="dxa"/>
            <w:vAlign w:val="center"/>
          </w:tcPr>
          <w:p>
            <w:pPr>
              <w:spacing w:after="0" w:line="240" w:lineRule="auto"/>
              <w:jc w:val="left"/>
            </w:pPr>
            <w:r>
              <w:rPr>
                <w:b w:val="0"/>
                <w:sz w:val="20"/>
                <w:szCs w:val="20"/>
              </w:rPr>
              <w:t xml:space="preserve">—</w:t>
            </w:r>
          </w:p>
        </w:tc>
        <w:tc>
          <w:tcPr>
            <w:tcW w:w="1700" w:type="dxa"/>
            <w:vAlign w:val="center"/>
          </w:tcPr>
          <w:p>
            <w:pPr>
              <w:spacing w:after="0" w:line="240" w:lineRule="auto"/>
              <w:jc w:val="center"/>
            </w:pPr>
            <w:r>
              <w:rPr>
                <w:b w:val="0"/>
                <w:sz w:val="20"/>
                <w:szCs w:val="20"/>
              </w:rPr>
              <w:t xml:space="preserve">—</w:t>
            </w:r>
          </w:p>
        </w:tc>
      </w:tr>
      <w:tr>
        <w:tc>
          <w:tcPr>
            <w:tcW w:w="4300" w:type="dxa"/>
            <w:vAlign w:val="center"/>
          </w:tcPr>
          <w:p>
            <w:pPr>
              <w:spacing w:after="0" w:line="240" w:lineRule="auto"/>
              <w:jc w:val="center"/>
            </w:pPr>
            <w:r>
              <w:rPr>
                <w:b w:val="0"/>
                <w:sz w:val="20"/>
                <w:szCs w:val="20"/>
              </w:rPr>
              <w:t xml:space="preserve">Download signed Guarantee Letter(s)</w:t>
            </w:r>
          </w:p>
        </w:tc>
        <w:tc>
          <w:tcPr>
            <w:tcW w:w="1650" w:type="dxa"/>
            <w:vAlign w:val="center"/>
          </w:tcPr>
          <w:p>
            <w:pPr>
              <w:spacing w:after="0" w:line="240" w:lineRule="auto"/>
              <w:jc w:val="left"/>
            </w:pPr>
            <w:r>
              <w:rPr>
                <w:b w:val="0"/>
                <w:sz w:val="20"/>
                <w:szCs w:val="20"/>
              </w:rPr>
              <w:t xml:space="preserve">Yes</w:t>
            </w:r>
          </w:p>
        </w:tc>
        <w:tc>
          <w:tcPr>
            <w:tcW w:w="1750" w:type="dxa"/>
            <w:vAlign w:val="center"/>
          </w:tcPr>
          <w:p>
            <w:pPr>
              <w:spacing w:after="0" w:line="240" w:lineRule="auto"/>
              <w:jc w:val="left"/>
            </w:pPr>
            <w:r>
              <w:rPr>
                <w:b w:val="0"/>
                <w:sz w:val="20"/>
                <w:szCs w:val="20"/>
              </w:rPr>
              <w:t xml:space="preserve">—</w:t>
            </w:r>
          </w:p>
        </w:tc>
        <w:tc>
          <w:tcPr>
            <w:tcW w:w="1700" w:type="dxa"/>
            <w:vAlign w:val="center"/>
          </w:tcPr>
          <w:p>
            <w:pPr>
              <w:spacing w:after="0" w:line="240" w:lineRule="auto"/>
              <w:jc w:val="center"/>
            </w:pPr>
            <w:r>
              <w:rPr>
                <w:b w:val="0"/>
                <w:sz w:val="20"/>
                <w:szCs w:val="20"/>
              </w:rPr>
              <w:t xml:space="preserve">—</w:t>
            </w:r>
          </w:p>
        </w:tc>
      </w:tr>
      <w:tr>
        <w:tc>
          <w:tcPr>
            <w:tcW w:w="4300" w:type="dxa"/>
            <w:vAlign w:val="center"/>
          </w:tcPr>
          <w:p>
            <w:pPr>
              <w:spacing w:after="0" w:line="240" w:lineRule="auto"/>
              <w:jc w:val="center"/>
            </w:pPr>
            <w:r>
              <w:rPr>
                <w:b w:val="0"/>
                <w:sz w:val="20"/>
                <w:szCs w:val="20"/>
              </w:rPr>
              <w:t xml:space="preserve">View active cooldown details</w:t>
            </w:r>
          </w:p>
        </w:tc>
        <w:tc>
          <w:tcPr>
            <w:tcW w:w="1650" w:type="dxa"/>
            <w:vAlign w:val="center"/>
          </w:tcPr>
          <w:p>
            <w:pPr>
              <w:spacing w:after="0" w:line="240" w:lineRule="auto"/>
              <w:jc w:val="left"/>
            </w:pPr>
            <w:r>
              <w:rPr>
                <w:b w:val="0"/>
                <w:sz w:val="20"/>
                <w:szCs w:val="20"/>
              </w:rPr>
              <w:t xml:space="preserve">Yes</w:t>
            </w:r>
          </w:p>
        </w:tc>
        <w:tc>
          <w:tcPr>
            <w:tcW w:w="1750" w:type="dxa"/>
            <w:vAlign w:val="center"/>
          </w:tcPr>
          <w:p>
            <w:pPr>
              <w:spacing w:after="0" w:line="240" w:lineRule="auto"/>
              <w:jc w:val="left"/>
            </w:pPr>
            <w:r>
              <w:rPr>
                <w:b w:val="0"/>
                <w:sz w:val="20"/>
                <w:szCs w:val="20"/>
              </w:rPr>
              <w:t xml:space="preserve">—</w:t>
            </w:r>
          </w:p>
        </w:tc>
        <w:tc>
          <w:tcPr>
            <w:tcW w:w="1700" w:type="dxa"/>
            <w:vAlign w:val="center"/>
          </w:tcPr>
          <w:p>
            <w:pPr>
              <w:spacing w:after="0" w:line="240" w:lineRule="auto"/>
              <w:jc w:val="center"/>
            </w:pPr>
            <w:r>
              <w:rPr>
                <w:b w:val="0"/>
                <w:sz w:val="20"/>
                <w:szCs w:val="20"/>
              </w:rPr>
              <w:t xml:space="preserve">—</w:t>
            </w:r>
          </w:p>
        </w:tc>
      </w:tr>
      <w:tr>
        <w:tc>
          <w:tcPr>
            <w:tcW w:w="4300" w:type="dxa"/>
            <w:vAlign w:val="center"/>
          </w:tcPr>
          <w:p>
            <w:pPr>
              <w:spacing w:after="0" w:line="240" w:lineRule="auto"/>
              <w:jc w:val="center"/>
            </w:pPr>
            <w:r>
              <w:rPr>
                <w:b w:val="0"/>
                <w:sz w:val="20"/>
                <w:szCs w:val="20"/>
              </w:rPr>
              <w:t xml:space="preserve">View own data access log</w:t>
            </w:r>
          </w:p>
        </w:tc>
        <w:tc>
          <w:tcPr>
            <w:tcW w:w="1650" w:type="dxa"/>
            <w:vAlign w:val="center"/>
          </w:tcPr>
          <w:p>
            <w:pPr>
              <w:spacing w:after="0" w:line="240" w:lineRule="auto"/>
              <w:jc w:val="left"/>
            </w:pPr>
            <w:r>
              <w:rPr>
                <w:b w:val="0"/>
                <w:sz w:val="20"/>
                <w:szCs w:val="20"/>
              </w:rPr>
              <w:t xml:space="preserve">Yes</w:t>
            </w:r>
          </w:p>
        </w:tc>
        <w:tc>
          <w:tcPr>
            <w:tcW w:w="1750" w:type="dxa"/>
            <w:vAlign w:val="center"/>
          </w:tcPr>
          <w:p>
            <w:pPr>
              <w:spacing w:after="0" w:line="240" w:lineRule="auto"/>
              <w:jc w:val="left"/>
            </w:pPr>
            <w:r>
              <w:rPr>
                <w:b w:val="0"/>
                <w:sz w:val="20"/>
                <w:szCs w:val="20"/>
              </w:rPr>
              <w:t xml:space="preserve">—</w:t>
            </w:r>
          </w:p>
        </w:tc>
        <w:tc>
          <w:tcPr>
            <w:tcW w:w="1700" w:type="dxa"/>
            <w:vAlign w:val="center"/>
          </w:tcPr>
          <w:p>
            <w:pPr>
              <w:spacing w:after="0" w:line="240" w:lineRule="auto"/>
              <w:jc w:val="center"/>
            </w:pPr>
            <w:r>
              <w:rPr>
                <w:b w:val="0"/>
                <w:sz w:val="20"/>
                <w:szCs w:val="20"/>
              </w:rPr>
              <w:t xml:space="preserve">—</w:t>
            </w:r>
          </w:p>
        </w:tc>
      </w:tr>
      <w:tr>
        <w:tc>
          <w:tcPr>
            <w:tcW w:w="4300" w:type="dxa"/>
            <w:vAlign w:val="center"/>
          </w:tcPr>
          <w:p>
            <w:pPr>
              <w:spacing w:after="0" w:line="240" w:lineRule="auto"/>
              <w:jc w:val="center"/>
            </w:pPr>
            <w:r>
              <w:rPr>
                <w:b w:val="0"/>
                <w:sz w:val="20"/>
                <w:szCs w:val="20"/>
              </w:rPr>
              <w:t xml:space="preserve">Export own data / request erasure</w:t>
            </w:r>
          </w:p>
        </w:tc>
        <w:tc>
          <w:tcPr>
            <w:tcW w:w="1650" w:type="dxa"/>
            <w:vAlign w:val="center"/>
          </w:tcPr>
          <w:p>
            <w:pPr>
              <w:spacing w:after="0" w:line="240" w:lineRule="auto"/>
              <w:jc w:val="left"/>
            </w:pPr>
            <w:r>
              <w:rPr>
                <w:b w:val="0"/>
                <w:sz w:val="20"/>
                <w:szCs w:val="20"/>
              </w:rPr>
              <w:t xml:space="preserve">Yes</w:t>
            </w:r>
          </w:p>
        </w:tc>
        <w:tc>
          <w:tcPr>
            <w:tcW w:w="1750" w:type="dxa"/>
            <w:vAlign w:val="center"/>
          </w:tcPr>
          <w:p>
            <w:pPr>
              <w:spacing w:after="0" w:line="240" w:lineRule="auto"/>
              <w:jc w:val="left"/>
            </w:pPr>
            <w:r>
              <w:rPr>
                <w:b w:val="0"/>
                <w:sz w:val="20"/>
                <w:szCs w:val="20"/>
              </w:rPr>
              <w:t xml:space="preserve">—</w:t>
            </w:r>
          </w:p>
        </w:tc>
        <w:tc>
          <w:tcPr>
            <w:tcW w:w="1700" w:type="dxa"/>
            <w:vAlign w:val="center"/>
          </w:tcPr>
          <w:p>
            <w:pPr>
              <w:spacing w:after="0" w:line="240" w:lineRule="auto"/>
              <w:jc w:val="center"/>
            </w:pPr>
            <w:r>
              <w:rPr>
                <w:b w:val="0"/>
                <w:sz w:val="20"/>
                <w:szCs w:val="20"/>
              </w:rPr>
              <w:t xml:space="preserve">—</w:t>
            </w:r>
          </w:p>
        </w:tc>
      </w:tr>
      <w:tr>
        <w:tc>
          <w:tcPr>
            <w:tcW w:w="4300" w:type="dxa"/>
            <w:vAlign w:val="center"/>
          </w:tcPr>
          <w:p>
            <w:pPr>
              <w:spacing w:after="0" w:line="240" w:lineRule="auto"/>
              <w:jc w:val="center"/>
            </w:pPr>
            <w:r>
              <w:rPr>
                <w:b w:val="0"/>
                <w:sz w:val="20"/>
                <w:szCs w:val="20"/>
              </w:rPr>
              <w:t xml:space="preserve">Verify, reject, or reset patient documents</w:t>
            </w:r>
          </w:p>
        </w:tc>
        <w:tc>
          <w:tcPr>
            <w:tcW w:w="1650" w:type="dxa"/>
            <w:vAlign w:val="center"/>
          </w:tcPr>
          <w:p>
            <w:pPr>
              <w:spacing w:after="0" w:line="240" w:lineRule="auto"/>
              <w:jc w:val="left"/>
            </w:pPr>
            <w:r>
              <w:rPr>
                <w:b w:val="0"/>
                <w:sz w:val="20"/>
                <w:szCs w:val="20"/>
              </w:rPr>
              <w:t xml:space="preserve">—</w:t>
            </w:r>
          </w:p>
        </w:tc>
        <w:tc>
          <w:tcPr>
            <w:tcW w:w="1750" w:type="dxa"/>
            <w:vAlign w:val="center"/>
          </w:tcPr>
          <w:p>
            <w:pPr>
              <w:spacing w:after="0" w:line="240" w:lineRule="auto"/>
              <w:jc w:val="left"/>
            </w:pPr>
            <w:r>
              <w:rPr>
                <w:b w:val="0"/>
                <w:sz w:val="20"/>
                <w:szCs w:val="20"/>
              </w:rPr>
              <w:t xml:space="preserve">—</w:t>
            </w:r>
          </w:p>
        </w:tc>
        <w:tc>
          <w:tcPr>
            <w:tcW w:w="1700" w:type="dxa"/>
            <w:vAlign w:val="center"/>
          </w:tcPr>
          <w:p>
            <w:pPr>
              <w:spacing w:after="0" w:line="240" w:lineRule="auto"/>
              <w:jc w:val="center"/>
            </w:pPr>
            <w:r>
              <w:rPr>
                <w:b w:val="0"/>
                <w:sz w:val="20"/>
                <w:szCs w:val="20"/>
              </w:rPr>
              <w:t xml:space="preserve">Yes</w:t>
            </w:r>
          </w:p>
        </w:tc>
      </w:tr>
      <w:tr>
        <w:tc>
          <w:tcPr>
            <w:tcW w:w="4300" w:type="dxa"/>
            <w:vAlign w:val="center"/>
          </w:tcPr>
          <w:p>
            <w:pPr>
              <w:spacing w:after="0" w:line="240" w:lineRule="auto"/>
              <w:jc w:val="center"/>
            </w:pPr>
            <w:r>
              <w:rPr>
                <w:b w:val="0"/>
                <w:sz w:val="20"/>
                <w:szCs w:val="20"/>
              </w:rPr>
              <w:t xml:space="preserve">Publish and manage interview slots</w:t>
            </w:r>
          </w:p>
        </w:tc>
        <w:tc>
          <w:tcPr>
            <w:tcW w:w="1650" w:type="dxa"/>
            <w:vAlign w:val="center"/>
          </w:tcPr>
          <w:p>
            <w:pPr>
              <w:spacing w:after="0" w:line="240" w:lineRule="auto"/>
              <w:jc w:val="left"/>
            </w:pPr>
            <w:r>
              <w:rPr>
                <w:b w:val="0"/>
                <w:sz w:val="20"/>
                <w:szCs w:val="20"/>
              </w:rPr>
              <w:t xml:space="preserve">—</w:t>
            </w:r>
          </w:p>
        </w:tc>
        <w:tc>
          <w:tcPr>
            <w:tcW w:w="1750" w:type="dxa"/>
            <w:vAlign w:val="center"/>
          </w:tcPr>
          <w:p>
            <w:pPr>
              <w:spacing w:after="0" w:line="240" w:lineRule="auto"/>
              <w:jc w:val="left"/>
            </w:pPr>
            <w:r>
              <w:rPr>
                <w:b w:val="0"/>
                <w:sz w:val="20"/>
                <w:szCs w:val="20"/>
              </w:rPr>
              <w:t xml:space="preserve">—</w:t>
            </w:r>
          </w:p>
        </w:tc>
        <w:tc>
          <w:tcPr>
            <w:tcW w:w="1700" w:type="dxa"/>
            <w:vAlign w:val="center"/>
          </w:tcPr>
          <w:p>
            <w:pPr>
              <w:spacing w:after="0" w:line="240" w:lineRule="auto"/>
              <w:jc w:val="center"/>
            </w:pPr>
            <w:r>
              <w:rPr>
                <w:b w:val="0"/>
                <w:sz w:val="20"/>
                <w:szCs w:val="20"/>
              </w:rPr>
              <w:t xml:space="preserve">Yes</w:t>
            </w:r>
          </w:p>
        </w:tc>
      </w:tr>
      <w:tr>
        <w:tc>
          <w:tcPr>
            <w:tcW w:w="4300" w:type="dxa"/>
            <w:vAlign w:val="center"/>
          </w:tcPr>
          <w:p>
            <w:pPr>
              <w:spacing w:after="0" w:line="240" w:lineRule="auto"/>
              <w:jc w:val="center"/>
            </w:pPr>
            <w:r>
              <w:rPr>
                <w:b w:val="0"/>
                <w:sz w:val="20"/>
                <w:szCs w:val="20"/>
              </w:rPr>
              <w:t xml:space="preserve">Conduct assessment interview</w:t>
            </w:r>
          </w:p>
        </w:tc>
        <w:tc>
          <w:tcPr>
            <w:tcW w:w="1650" w:type="dxa"/>
            <w:vAlign w:val="center"/>
          </w:tcPr>
          <w:p>
            <w:pPr>
              <w:spacing w:after="0" w:line="240" w:lineRule="auto"/>
              <w:jc w:val="left"/>
            </w:pPr>
            <w:r>
              <w:rPr>
                <w:b w:val="0"/>
                <w:sz w:val="20"/>
                <w:szCs w:val="20"/>
              </w:rPr>
              <w:t xml:space="preserve">—</w:t>
            </w:r>
          </w:p>
        </w:tc>
        <w:tc>
          <w:tcPr>
            <w:tcW w:w="1750" w:type="dxa"/>
            <w:vAlign w:val="center"/>
          </w:tcPr>
          <w:p>
            <w:pPr>
              <w:spacing w:after="0" w:line="240" w:lineRule="auto"/>
              <w:jc w:val="left"/>
            </w:pPr>
            <w:r>
              <w:rPr>
                <w:b w:val="0"/>
                <w:sz w:val="20"/>
                <w:szCs w:val="20"/>
              </w:rPr>
              <w:t xml:space="preserve">—</w:t>
            </w:r>
          </w:p>
        </w:tc>
        <w:tc>
          <w:tcPr>
            <w:tcW w:w="1700" w:type="dxa"/>
            <w:vAlign w:val="center"/>
          </w:tcPr>
          <w:p>
            <w:pPr>
              <w:spacing w:after="0" w:line="240" w:lineRule="auto"/>
              <w:jc w:val="center"/>
            </w:pPr>
            <w:r>
              <w:rPr>
                <w:b w:val="0"/>
                <w:sz w:val="20"/>
                <w:szCs w:val="20"/>
              </w:rPr>
              <w:t xml:space="preserve">Yes</w:t>
            </w:r>
          </w:p>
        </w:tc>
      </w:tr>
      <w:tr>
        <w:tc>
          <w:tcPr>
            <w:tcW w:w="4300" w:type="dxa"/>
            <w:vAlign w:val="center"/>
          </w:tcPr>
          <w:p>
            <w:pPr>
              <w:spacing w:after="0" w:line="240" w:lineRule="auto"/>
              <w:jc w:val="center"/>
            </w:pPr>
            <w:r>
              <w:rPr>
                <w:b w:val="0"/>
                <w:sz w:val="20"/>
                <w:szCs w:val="20"/>
              </w:rPr>
              <w:t xml:space="preserve">Record PhilHealth first-charge coverage</w:t>
            </w:r>
          </w:p>
        </w:tc>
        <w:tc>
          <w:tcPr>
            <w:tcW w:w="1650" w:type="dxa"/>
            <w:vAlign w:val="center"/>
          </w:tcPr>
          <w:p>
            <w:pPr>
              <w:spacing w:after="0" w:line="240" w:lineRule="auto"/>
              <w:jc w:val="left"/>
            </w:pPr>
            <w:r>
              <w:rPr>
                <w:b w:val="0"/>
                <w:sz w:val="20"/>
                <w:szCs w:val="20"/>
              </w:rPr>
              <w:t xml:space="preserve">—</w:t>
            </w:r>
          </w:p>
        </w:tc>
        <w:tc>
          <w:tcPr>
            <w:tcW w:w="1750" w:type="dxa"/>
            <w:vAlign w:val="center"/>
          </w:tcPr>
          <w:p>
            <w:pPr>
              <w:spacing w:after="0" w:line="240" w:lineRule="auto"/>
              <w:jc w:val="left"/>
            </w:pPr>
            <w:r>
              <w:rPr>
                <w:b w:val="0"/>
                <w:sz w:val="20"/>
                <w:szCs w:val="20"/>
              </w:rPr>
              <w:t xml:space="preserve">—</w:t>
            </w:r>
          </w:p>
        </w:tc>
        <w:tc>
          <w:tcPr>
            <w:tcW w:w="1700" w:type="dxa"/>
            <w:vAlign w:val="center"/>
          </w:tcPr>
          <w:p>
            <w:pPr>
              <w:spacing w:after="0" w:line="240" w:lineRule="auto"/>
              <w:jc w:val="center"/>
            </w:pPr>
            <w:r>
              <w:rPr>
                <w:b w:val="0"/>
                <w:sz w:val="20"/>
                <w:szCs w:val="20"/>
              </w:rPr>
              <w:t xml:space="preserve">Yes</w:t>
            </w:r>
          </w:p>
        </w:tc>
      </w:tr>
      <w:tr>
        <w:tc>
          <w:tcPr>
            <w:tcW w:w="4300" w:type="dxa"/>
            <w:vAlign w:val="center"/>
          </w:tcPr>
          <w:p>
            <w:pPr>
              <w:spacing w:after="0" w:line="240" w:lineRule="auto"/>
              <w:jc w:val="center"/>
            </w:pPr>
            <w:r>
              <w:rPr>
                <w:b w:val="0"/>
                <w:sz w:val="20"/>
                <w:szCs w:val="20"/>
              </w:rPr>
              <w:t xml:space="preserve">Complete the Unified Intake Sheet</w:t>
            </w:r>
          </w:p>
        </w:tc>
        <w:tc>
          <w:tcPr>
            <w:tcW w:w="1650" w:type="dxa"/>
            <w:vAlign w:val="center"/>
          </w:tcPr>
          <w:p>
            <w:pPr>
              <w:spacing w:after="0" w:line="240" w:lineRule="auto"/>
              <w:jc w:val="left"/>
            </w:pPr>
            <w:r>
              <w:rPr>
                <w:b w:val="0"/>
                <w:sz w:val="20"/>
                <w:szCs w:val="20"/>
              </w:rPr>
              <w:t xml:space="preserve">—</w:t>
            </w:r>
          </w:p>
        </w:tc>
        <w:tc>
          <w:tcPr>
            <w:tcW w:w="1750" w:type="dxa"/>
            <w:vAlign w:val="center"/>
          </w:tcPr>
          <w:p>
            <w:pPr>
              <w:spacing w:after="0" w:line="240" w:lineRule="auto"/>
              <w:jc w:val="left"/>
            </w:pPr>
            <w:r>
              <w:rPr>
                <w:b w:val="0"/>
                <w:sz w:val="20"/>
                <w:szCs w:val="20"/>
              </w:rPr>
              <w:t xml:space="preserve">—</w:t>
            </w:r>
          </w:p>
        </w:tc>
        <w:tc>
          <w:tcPr>
            <w:tcW w:w="1700" w:type="dxa"/>
            <w:vAlign w:val="center"/>
          </w:tcPr>
          <w:p>
            <w:pPr>
              <w:spacing w:after="0" w:line="240" w:lineRule="auto"/>
              <w:jc w:val="center"/>
            </w:pPr>
            <w:r>
              <w:rPr>
                <w:b w:val="0"/>
                <w:sz w:val="20"/>
                <w:szCs w:val="20"/>
              </w:rPr>
              <w:t xml:space="preserve">Yes</w:t>
            </w:r>
          </w:p>
        </w:tc>
      </w:tr>
      <w:tr>
        <w:tc>
          <w:tcPr>
            <w:tcW w:w="4300" w:type="dxa"/>
            <w:vAlign w:val="center"/>
          </w:tcPr>
          <w:p>
            <w:pPr>
              <w:spacing w:after="0" w:line="240" w:lineRule="auto"/>
              <w:jc w:val="center"/>
            </w:pPr>
            <w:r>
              <w:rPr>
                <w:b w:val="0"/>
                <w:sz w:val="20"/>
                <w:szCs w:val="20"/>
              </w:rPr>
              <w:t xml:space="preserve">Endorse a request to one or more agencies</w:t>
            </w:r>
          </w:p>
        </w:tc>
        <w:tc>
          <w:tcPr>
            <w:tcW w:w="1650" w:type="dxa"/>
            <w:vAlign w:val="center"/>
          </w:tcPr>
          <w:p>
            <w:pPr>
              <w:spacing w:after="0" w:line="240" w:lineRule="auto"/>
              <w:jc w:val="left"/>
            </w:pPr>
            <w:r>
              <w:rPr>
                <w:b w:val="0"/>
                <w:sz w:val="20"/>
                <w:szCs w:val="20"/>
              </w:rPr>
              <w:t xml:space="preserve">—</w:t>
            </w:r>
          </w:p>
        </w:tc>
        <w:tc>
          <w:tcPr>
            <w:tcW w:w="1750" w:type="dxa"/>
            <w:vAlign w:val="center"/>
          </w:tcPr>
          <w:p>
            <w:pPr>
              <w:spacing w:after="0" w:line="240" w:lineRule="auto"/>
              <w:jc w:val="left"/>
            </w:pPr>
            <w:r>
              <w:rPr>
                <w:b w:val="0"/>
                <w:sz w:val="20"/>
                <w:szCs w:val="20"/>
              </w:rPr>
              <w:t xml:space="preserve">—</w:t>
            </w:r>
          </w:p>
        </w:tc>
        <w:tc>
          <w:tcPr>
            <w:tcW w:w="1700" w:type="dxa"/>
            <w:vAlign w:val="center"/>
          </w:tcPr>
          <w:p>
            <w:pPr>
              <w:spacing w:after="0" w:line="240" w:lineRule="auto"/>
              <w:jc w:val="center"/>
            </w:pPr>
            <w:r>
              <w:rPr>
                <w:b w:val="0"/>
                <w:sz w:val="20"/>
                <w:szCs w:val="20"/>
              </w:rPr>
              <w:t xml:space="preserve">Yes</w:t>
            </w:r>
          </w:p>
        </w:tc>
      </w:tr>
      <w:tr>
        <w:tc>
          <w:tcPr>
            <w:tcW w:w="4300" w:type="dxa"/>
            <w:vAlign w:val="center"/>
          </w:tcPr>
          <w:p>
            <w:pPr>
              <w:spacing w:after="0" w:line="240" w:lineRule="auto"/>
              <w:jc w:val="center"/>
            </w:pPr>
            <w:r>
              <w:rPr>
                <w:b w:val="0"/>
                <w:sz w:val="20"/>
                <w:szCs w:val="20"/>
              </w:rPr>
              <w:t xml:space="preserve">View co-funding picture and case timeline</w:t>
            </w:r>
          </w:p>
        </w:tc>
        <w:tc>
          <w:tcPr>
            <w:tcW w:w="1650" w:type="dxa"/>
            <w:vAlign w:val="center"/>
          </w:tcPr>
          <w:p>
            <w:pPr>
              <w:spacing w:after="0" w:line="240" w:lineRule="auto"/>
              <w:jc w:val="left"/>
            </w:pPr>
            <w:r>
              <w:rPr>
                <w:b w:val="0"/>
                <w:sz w:val="20"/>
                <w:szCs w:val="20"/>
              </w:rPr>
              <w:t xml:space="preserve">—</w:t>
            </w:r>
          </w:p>
        </w:tc>
        <w:tc>
          <w:tcPr>
            <w:tcW w:w="1750" w:type="dxa"/>
            <w:vAlign w:val="center"/>
          </w:tcPr>
          <w:p>
            <w:pPr>
              <w:spacing w:after="0" w:line="240" w:lineRule="auto"/>
              <w:jc w:val="left"/>
            </w:pPr>
            <w:r>
              <w:rPr>
                <w:b w:val="0"/>
                <w:sz w:val="20"/>
                <w:szCs w:val="20"/>
              </w:rPr>
              <w:t xml:space="preserve">Yes</w:t>
            </w:r>
          </w:p>
        </w:tc>
        <w:tc>
          <w:tcPr>
            <w:tcW w:w="1700" w:type="dxa"/>
            <w:vAlign w:val="center"/>
          </w:tcPr>
          <w:p>
            <w:pPr>
              <w:spacing w:after="0" w:line="240" w:lineRule="auto"/>
              <w:jc w:val="center"/>
            </w:pPr>
            <w:r>
              <w:rPr>
                <w:b w:val="0"/>
                <w:sz w:val="20"/>
                <w:szCs w:val="20"/>
              </w:rPr>
              <w:t xml:space="preserve">Yes</w:t>
            </w:r>
          </w:p>
        </w:tc>
      </w:tr>
      <w:tr>
        <w:tc>
          <w:tcPr>
            <w:tcW w:w="4300" w:type="dxa"/>
            <w:vAlign w:val="center"/>
          </w:tcPr>
          <w:p>
            <w:pPr>
              <w:spacing w:after="0" w:line="240" w:lineRule="auto"/>
              <w:jc w:val="center"/>
            </w:pPr>
            <w:r>
              <w:rPr>
                <w:b w:val="0"/>
                <w:sz w:val="20"/>
                <w:szCs w:val="20"/>
              </w:rPr>
              <w:t xml:space="preserve">Approve a slice and issue a Guarantee Letter</w:t>
            </w:r>
          </w:p>
        </w:tc>
        <w:tc>
          <w:tcPr>
            <w:tcW w:w="1650" w:type="dxa"/>
            <w:vAlign w:val="center"/>
          </w:tcPr>
          <w:p>
            <w:pPr>
              <w:spacing w:after="0" w:line="240" w:lineRule="auto"/>
              <w:jc w:val="left"/>
            </w:pPr>
            <w:r>
              <w:rPr>
                <w:b w:val="0"/>
                <w:sz w:val="20"/>
                <w:szCs w:val="20"/>
              </w:rPr>
              <w:t xml:space="preserve">—</w:t>
            </w:r>
          </w:p>
        </w:tc>
        <w:tc>
          <w:tcPr>
            <w:tcW w:w="1750" w:type="dxa"/>
            <w:vAlign w:val="center"/>
          </w:tcPr>
          <w:p>
            <w:pPr>
              <w:spacing w:after="0" w:line="240" w:lineRule="auto"/>
              <w:jc w:val="left"/>
            </w:pPr>
            <w:r>
              <w:rPr>
                <w:b w:val="0"/>
                <w:sz w:val="20"/>
                <w:szCs w:val="20"/>
              </w:rPr>
              <w:t xml:space="preserve">Yes</w:t>
            </w:r>
          </w:p>
        </w:tc>
        <w:tc>
          <w:tcPr>
            <w:tcW w:w="1700" w:type="dxa"/>
            <w:vAlign w:val="center"/>
          </w:tcPr>
          <w:p>
            <w:pPr>
              <w:spacing w:after="0" w:line="240" w:lineRule="auto"/>
              <w:jc w:val="center"/>
            </w:pPr>
            <w:r>
              <w:rPr>
                <w:b w:val="0"/>
                <w:sz w:val="20"/>
                <w:szCs w:val="20"/>
              </w:rPr>
              <w:t xml:space="preserve">—</w:t>
            </w:r>
          </w:p>
        </w:tc>
      </w:tr>
      <w:tr>
        <w:tc>
          <w:tcPr>
            <w:tcW w:w="4300" w:type="dxa"/>
            <w:vAlign w:val="center"/>
          </w:tcPr>
          <w:p>
            <w:pPr>
              <w:spacing w:after="0" w:line="240" w:lineRule="auto"/>
              <w:jc w:val="center"/>
            </w:pPr>
            <w:r>
              <w:rPr>
                <w:b w:val="0"/>
                <w:sz w:val="20"/>
                <w:szCs w:val="20"/>
              </w:rPr>
              <w:t xml:space="preserve">Request more info / reject a slice</w:t>
            </w:r>
          </w:p>
        </w:tc>
        <w:tc>
          <w:tcPr>
            <w:tcW w:w="1650" w:type="dxa"/>
            <w:vAlign w:val="center"/>
          </w:tcPr>
          <w:p>
            <w:pPr>
              <w:spacing w:after="0" w:line="240" w:lineRule="auto"/>
              <w:jc w:val="left"/>
            </w:pPr>
            <w:r>
              <w:rPr>
                <w:b w:val="0"/>
                <w:sz w:val="20"/>
                <w:szCs w:val="20"/>
              </w:rPr>
              <w:t xml:space="preserve">—</w:t>
            </w:r>
          </w:p>
        </w:tc>
        <w:tc>
          <w:tcPr>
            <w:tcW w:w="1750" w:type="dxa"/>
            <w:vAlign w:val="center"/>
          </w:tcPr>
          <w:p>
            <w:pPr>
              <w:spacing w:after="0" w:line="240" w:lineRule="auto"/>
              <w:jc w:val="left"/>
            </w:pPr>
            <w:r>
              <w:rPr>
                <w:b w:val="0"/>
                <w:sz w:val="20"/>
                <w:szCs w:val="20"/>
              </w:rPr>
              <w:t xml:space="preserve">Yes</w:t>
            </w:r>
          </w:p>
        </w:tc>
        <w:tc>
          <w:tcPr>
            <w:tcW w:w="1700" w:type="dxa"/>
            <w:vAlign w:val="center"/>
          </w:tcPr>
          <w:p>
            <w:pPr>
              <w:spacing w:after="0" w:line="240" w:lineRule="auto"/>
              <w:jc w:val="center"/>
            </w:pPr>
            <w:r>
              <w:rPr>
                <w:b w:val="0"/>
                <w:sz w:val="20"/>
                <w:szCs w:val="20"/>
              </w:rPr>
              <w:t xml:space="preserve">—</w:t>
            </w:r>
          </w:p>
        </w:tc>
      </w:tr>
      <w:tr>
        <w:tc>
          <w:tcPr>
            <w:tcW w:w="4300" w:type="dxa"/>
            <w:vAlign w:val="center"/>
          </w:tcPr>
          <w:p>
            <w:pPr>
              <w:spacing w:after="0" w:line="240" w:lineRule="auto"/>
              <w:jc w:val="center"/>
            </w:pPr>
            <w:r>
              <w:rPr>
                <w:b w:val="0"/>
                <w:sz w:val="20"/>
                <w:szCs w:val="20"/>
              </w:rPr>
              <w:t xml:space="preserve">Suggest another agency to CRMC</w:t>
            </w:r>
          </w:p>
        </w:tc>
        <w:tc>
          <w:tcPr>
            <w:tcW w:w="1650" w:type="dxa"/>
            <w:vAlign w:val="center"/>
          </w:tcPr>
          <w:p>
            <w:pPr>
              <w:spacing w:after="0" w:line="240" w:lineRule="auto"/>
              <w:jc w:val="left"/>
            </w:pPr>
            <w:r>
              <w:rPr>
                <w:b w:val="0"/>
                <w:sz w:val="20"/>
                <w:szCs w:val="20"/>
              </w:rPr>
              <w:t xml:space="preserve">—</w:t>
            </w:r>
          </w:p>
        </w:tc>
        <w:tc>
          <w:tcPr>
            <w:tcW w:w="1750" w:type="dxa"/>
            <w:vAlign w:val="center"/>
          </w:tcPr>
          <w:p>
            <w:pPr>
              <w:spacing w:after="0" w:line="240" w:lineRule="auto"/>
              <w:jc w:val="left"/>
            </w:pPr>
            <w:r>
              <w:rPr>
                <w:b w:val="0"/>
                <w:sz w:val="20"/>
                <w:szCs w:val="20"/>
              </w:rPr>
              <w:t xml:space="preserve">Yes</w:t>
            </w:r>
          </w:p>
        </w:tc>
        <w:tc>
          <w:tcPr>
            <w:tcW w:w="1700" w:type="dxa"/>
            <w:vAlign w:val="center"/>
          </w:tcPr>
          <w:p>
            <w:pPr>
              <w:spacing w:after="0" w:line="240" w:lineRule="auto"/>
              <w:jc w:val="center"/>
            </w:pPr>
            <w:r>
              <w:rPr>
                <w:b w:val="0"/>
                <w:sz w:val="20"/>
                <w:szCs w:val="20"/>
              </w:rPr>
              <w:t xml:space="preserve">—</w:t>
            </w:r>
          </w:p>
        </w:tc>
      </w:tr>
      <w:tr>
        <w:tc>
          <w:tcPr>
            <w:tcW w:w="4300" w:type="dxa"/>
            <w:vAlign w:val="center"/>
          </w:tcPr>
          <w:p>
            <w:pPr>
              <w:spacing w:after="0" w:line="240" w:lineRule="auto"/>
              <w:jc w:val="center"/>
            </w:pPr>
            <w:r>
              <w:rPr>
                <w:b w:val="0"/>
                <w:sz w:val="20"/>
                <w:szCs w:val="20"/>
              </w:rPr>
              <w:t xml:space="preserve">Upload signed GL scan; manage GL lifecycle</w:t>
            </w:r>
          </w:p>
        </w:tc>
        <w:tc>
          <w:tcPr>
            <w:tcW w:w="1650" w:type="dxa"/>
            <w:vAlign w:val="center"/>
          </w:tcPr>
          <w:p>
            <w:pPr>
              <w:spacing w:after="0" w:line="240" w:lineRule="auto"/>
              <w:jc w:val="left"/>
            </w:pPr>
            <w:r>
              <w:rPr>
                <w:b w:val="0"/>
                <w:sz w:val="20"/>
                <w:szCs w:val="20"/>
              </w:rPr>
              <w:t xml:space="preserve">—</w:t>
            </w:r>
          </w:p>
        </w:tc>
        <w:tc>
          <w:tcPr>
            <w:tcW w:w="1750" w:type="dxa"/>
            <w:vAlign w:val="center"/>
          </w:tcPr>
          <w:p>
            <w:pPr>
              <w:spacing w:after="0" w:line="240" w:lineRule="auto"/>
              <w:jc w:val="left"/>
            </w:pPr>
            <w:r>
              <w:rPr>
                <w:b w:val="0"/>
                <w:sz w:val="20"/>
                <w:szCs w:val="20"/>
              </w:rPr>
              <w:t xml:space="preserve">Yes</w:t>
            </w:r>
          </w:p>
        </w:tc>
        <w:tc>
          <w:tcPr>
            <w:tcW w:w="1700" w:type="dxa"/>
            <w:vAlign w:val="center"/>
          </w:tcPr>
          <w:p>
            <w:pPr>
              <w:spacing w:after="0" w:line="240" w:lineRule="auto"/>
              <w:jc w:val="center"/>
            </w:pPr>
            <w:r>
              <w:rPr>
                <w:b w:val="0"/>
                <w:sz w:val="20"/>
                <w:szCs w:val="20"/>
              </w:rPr>
              <w:t xml:space="preserve">—</w:t>
            </w:r>
          </w:p>
        </w:tc>
      </w:tr>
      <w:tr>
        <w:tc>
          <w:tcPr>
            <w:tcW w:w="4300" w:type="dxa"/>
            <w:vAlign w:val="center"/>
          </w:tcPr>
          <w:p>
            <w:pPr>
              <w:spacing w:after="0" w:line="240" w:lineRule="auto"/>
              <w:jc w:val="center"/>
            </w:pPr>
            <w:r>
              <w:rPr>
                <w:b w:val="0"/>
                <w:sz w:val="20"/>
                <w:szCs w:val="20"/>
              </w:rPr>
              <w:t xml:space="preserve">Manage daily slot capacity</w:t>
            </w:r>
          </w:p>
        </w:tc>
        <w:tc>
          <w:tcPr>
            <w:tcW w:w="1650" w:type="dxa"/>
            <w:vAlign w:val="center"/>
          </w:tcPr>
          <w:p>
            <w:pPr>
              <w:spacing w:after="0" w:line="240" w:lineRule="auto"/>
              <w:jc w:val="left"/>
            </w:pPr>
            <w:r>
              <w:rPr>
                <w:b w:val="0"/>
                <w:sz w:val="20"/>
                <w:szCs w:val="20"/>
              </w:rPr>
              <w:t xml:space="preserve">—</w:t>
            </w:r>
          </w:p>
        </w:tc>
        <w:tc>
          <w:tcPr>
            <w:tcW w:w="1750" w:type="dxa"/>
            <w:vAlign w:val="center"/>
          </w:tcPr>
          <w:p>
            <w:pPr>
              <w:spacing w:after="0" w:line="240" w:lineRule="auto"/>
              <w:jc w:val="left"/>
            </w:pPr>
            <w:r>
              <w:rPr>
                <w:b w:val="0"/>
                <w:sz w:val="20"/>
                <w:szCs w:val="20"/>
              </w:rPr>
              <w:t xml:space="preserve">Yes</w:t>
            </w:r>
          </w:p>
        </w:tc>
        <w:tc>
          <w:tcPr>
            <w:tcW w:w="1700" w:type="dxa"/>
            <w:vAlign w:val="center"/>
          </w:tcPr>
          <w:p>
            <w:pPr>
              <w:spacing w:after="0" w:line="240" w:lineRule="auto"/>
              <w:jc w:val="center"/>
            </w:pPr>
            <w:r>
              <w:rPr>
                <w:b w:val="0"/>
                <w:sz w:val="20"/>
                <w:szCs w:val="20"/>
              </w:rPr>
              <w:t xml:space="preserve">—</w:t>
            </w:r>
          </w:p>
        </w:tc>
      </w:tr>
      <w:tr>
        <w:tc>
          <w:tcPr>
            <w:tcW w:w="4300" w:type="dxa"/>
            <w:vAlign w:val="center"/>
          </w:tcPr>
          <w:p>
            <w:pPr>
              <w:spacing w:after="0" w:line="240" w:lineRule="auto"/>
              <w:jc w:val="center"/>
            </w:pPr>
            <w:r>
              <w:rPr>
                <w:b w:val="0"/>
                <w:sz w:val="20"/>
                <w:szCs w:val="20"/>
              </w:rPr>
              <w:t xml:space="preserve">Manage agency budget, cap, team, audit log</w:t>
            </w:r>
          </w:p>
        </w:tc>
        <w:tc>
          <w:tcPr>
            <w:tcW w:w="1650" w:type="dxa"/>
            <w:vAlign w:val="center"/>
          </w:tcPr>
          <w:p>
            <w:pPr>
              <w:spacing w:after="0" w:line="240" w:lineRule="auto"/>
              <w:jc w:val="left"/>
            </w:pPr>
            <w:r>
              <w:rPr>
                <w:b w:val="0"/>
                <w:sz w:val="20"/>
                <w:szCs w:val="20"/>
              </w:rPr>
              <w:t xml:space="preserve">—</w:t>
            </w:r>
          </w:p>
        </w:tc>
        <w:tc>
          <w:tcPr>
            <w:tcW w:w="1750" w:type="dxa"/>
            <w:vAlign w:val="center"/>
          </w:tcPr>
          <w:p>
            <w:pPr>
              <w:spacing w:after="0" w:line="240" w:lineRule="auto"/>
              <w:jc w:val="left"/>
            </w:pPr>
            <w:r>
              <w:rPr>
                <w:b w:val="0"/>
                <w:sz w:val="20"/>
                <w:szCs w:val="20"/>
              </w:rPr>
              <w:t xml:space="preserve">Admin only</w:t>
            </w:r>
          </w:p>
        </w:tc>
        <w:tc>
          <w:tcPr>
            <w:tcW w:w="1700" w:type="dxa"/>
            <w:vAlign w:val="center"/>
          </w:tcPr>
          <w:p>
            <w:pPr>
              <w:spacing w:after="0" w:line="240" w:lineRule="auto"/>
              <w:jc w:val="center"/>
            </w:pPr>
            <w:r>
              <w:rPr>
                <w:b w:val="0"/>
                <w:sz w:val="20"/>
                <w:szCs w:val="20"/>
              </w:rPr>
              <w:t xml:space="preserve">—</w:t>
            </w:r>
          </w:p>
        </w:tc>
      </w:tr>
      <w:tr>
        <w:tc>
          <w:tcPr>
            <w:tcW w:w="4300" w:type="dxa"/>
            <w:vAlign w:val="center"/>
          </w:tcPr>
          <w:p>
            <w:pPr>
              <w:spacing w:after="0" w:line="240" w:lineRule="auto"/>
              <w:jc w:val="center"/>
            </w:pPr>
            <w:r>
              <w:rPr>
                <w:b w:val="0"/>
                <w:sz w:val="20"/>
                <w:szCs w:val="20"/>
              </w:rPr>
              <w:t xml:space="preserve">Manage agencies and admin accounts</w:t>
            </w:r>
          </w:p>
        </w:tc>
        <w:tc>
          <w:tcPr>
            <w:tcW w:w="1650" w:type="dxa"/>
            <w:vAlign w:val="center"/>
          </w:tcPr>
          <w:p>
            <w:pPr>
              <w:spacing w:after="0" w:line="240" w:lineRule="auto"/>
              <w:jc w:val="left"/>
            </w:pPr>
            <w:r>
              <w:rPr>
                <w:b w:val="0"/>
                <w:sz w:val="20"/>
                <w:szCs w:val="20"/>
              </w:rPr>
              <w:t xml:space="preserve">—</w:t>
            </w:r>
          </w:p>
        </w:tc>
        <w:tc>
          <w:tcPr>
            <w:tcW w:w="1750" w:type="dxa"/>
            <w:vAlign w:val="center"/>
          </w:tcPr>
          <w:p>
            <w:pPr>
              <w:spacing w:after="0" w:line="240" w:lineRule="auto"/>
              <w:jc w:val="left"/>
            </w:pPr>
            <w:r>
              <w:rPr>
                <w:b w:val="0"/>
                <w:sz w:val="20"/>
                <w:szCs w:val="20"/>
              </w:rPr>
              <w:t xml:space="preserve">—</w:t>
            </w:r>
          </w:p>
        </w:tc>
        <w:tc>
          <w:tcPr>
            <w:tcW w:w="1700" w:type="dxa"/>
            <w:vAlign w:val="center"/>
          </w:tcPr>
          <w:p>
            <w:pPr>
              <w:spacing w:after="0" w:line="240" w:lineRule="auto"/>
              <w:jc w:val="center"/>
            </w:pPr>
            <w:r>
              <w:rPr>
                <w:b w:val="0"/>
                <w:sz w:val="20"/>
                <w:szCs w:val="20"/>
              </w:rPr>
              <w:t xml:space="preserve">Super only</w:t>
            </w:r>
          </w:p>
        </w:tc>
      </w:tr>
      <w:tr>
        <w:tc>
          <w:tcPr>
            <w:tcW w:w="4300" w:type="dxa"/>
            <w:vAlign w:val="center"/>
          </w:tcPr>
          <w:p>
            <w:pPr>
              <w:spacing w:after="0" w:line="240" w:lineRule="auto"/>
              <w:jc w:val="center"/>
            </w:pPr>
            <w:r>
              <w:rPr>
                <w:b w:val="0"/>
                <w:sz w:val="20"/>
                <w:szCs w:val="20"/>
              </w:rPr>
              <w:t xml:space="preserve">Issue and manage Hospital IDs (Access Codes)</w:t>
            </w:r>
          </w:p>
        </w:tc>
        <w:tc>
          <w:tcPr>
            <w:tcW w:w="1650" w:type="dxa"/>
            <w:vAlign w:val="center"/>
          </w:tcPr>
          <w:p>
            <w:pPr>
              <w:spacing w:after="0" w:line="240" w:lineRule="auto"/>
              <w:jc w:val="left"/>
            </w:pPr>
            <w:r>
              <w:rPr>
                <w:b w:val="0"/>
                <w:sz w:val="20"/>
                <w:szCs w:val="20"/>
              </w:rPr>
              <w:t xml:space="preserve">—</w:t>
            </w:r>
          </w:p>
        </w:tc>
        <w:tc>
          <w:tcPr>
            <w:tcW w:w="1750" w:type="dxa"/>
            <w:vAlign w:val="center"/>
          </w:tcPr>
          <w:p>
            <w:pPr>
              <w:spacing w:after="0" w:line="240" w:lineRule="auto"/>
              <w:jc w:val="left"/>
            </w:pPr>
            <w:r>
              <w:rPr>
                <w:b w:val="0"/>
                <w:sz w:val="20"/>
                <w:szCs w:val="20"/>
              </w:rPr>
              <w:t xml:space="preserve">—</w:t>
            </w:r>
          </w:p>
        </w:tc>
        <w:tc>
          <w:tcPr>
            <w:tcW w:w="1700" w:type="dxa"/>
            <w:vAlign w:val="center"/>
          </w:tcPr>
          <w:p>
            <w:pPr>
              <w:spacing w:after="0" w:line="240" w:lineRule="auto"/>
              <w:jc w:val="center"/>
            </w:pPr>
            <w:r>
              <w:rPr>
                <w:b w:val="0"/>
                <w:sz w:val="20"/>
                <w:szCs w:val="20"/>
              </w:rPr>
              <w:t xml:space="preserve">Yes</w:t>
            </w:r>
          </w:p>
        </w:tc>
      </w:tr>
      <w:tr>
        <w:tc>
          <w:tcPr>
            <w:tcW w:w="4300" w:type="dxa"/>
            <w:vAlign w:val="center"/>
          </w:tcPr>
          <w:p>
            <w:pPr>
              <w:spacing w:after="0" w:line="240" w:lineRule="auto"/>
              <w:jc w:val="center"/>
            </w:pPr>
            <w:r>
              <w:rPr>
                <w:b w:val="0"/>
                <w:sz w:val="20"/>
                <w:szCs w:val="20"/>
              </w:rPr>
              <w:t xml:space="preserve">Manage document and assistance types</w:t>
            </w:r>
          </w:p>
        </w:tc>
        <w:tc>
          <w:tcPr>
            <w:tcW w:w="1650" w:type="dxa"/>
            <w:vAlign w:val="center"/>
          </w:tcPr>
          <w:p>
            <w:pPr>
              <w:spacing w:after="0" w:line="240" w:lineRule="auto"/>
              <w:jc w:val="left"/>
            </w:pPr>
            <w:r>
              <w:rPr>
                <w:b w:val="0"/>
                <w:sz w:val="20"/>
                <w:szCs w:val="20"/>
              </w:rPr>
              <w:t xml:space="preserve">—</w:t>
            </w:r>
          </w:p>
        </w:tc>
        <w:tc>
          <w:tcPr>
            <w:tcW w:w="1750" w:type="dxa"/>
            <w:vAlign w:val="center"/>
          </w:tcPr>
          <w:p>
            <w:pPr>
              <w:spacing w:after="0" w:line="240" w:lineRule="auto"/>
              <w:jc w:val="left"/>
            </w:pPr>
            <w:r>
              <w:rPr>
                <w:b w:val="0"/>
                <w:sz w:val="20"/>
                <w:szCs w:val="20"/>
              </w:rPr>
              <w:t xml:space="preserve">—</w:t>
            </w:r>
          </w:p>
        </w:tc>
        <w:tc>
          <w:tcPr>
            <w:tcW w:w="1700" w:type="dxa"/>
            <w:vAlign w:val="center"/>
          </w:tcPr>
          <w:p>
            <w:pPr>
              <w:spacing w:after="0" w:line="240" w:lineRule="auto"/>
              <w:jc w:val="center"/>
            </w:pPr>
            <w:r>
              <w:rPr>
                <w:b w:val="0"/>
                <w:sz w:val="20"/>
                <w:szCs w:val="20"/>
              </w:rPr>
              <w:t xml:space="preserve">Yes</w:t>
            </w:r>
          </w:p>
        </w:tc>
      </w:tr>
      <w:tr>
        <w:tc>
          <w:tcPr>
            <w:tcW w:w="4300" w:type="dxa"/>
            <w:vAlign w:val="center"/>
          </w:tcPr>
          <w:p>
            <w:pPr>
              <w:spacing w:after="0" w:line="240" w:lineRule="auto"/>
              <w:jc w:val="center"/>
            </w:pPr>
            <w:r>
              <w:rPr>
                <w:b w:val="0"/>
                <w:sz w:val="20"/>
                <w:szCs w:val="20"/>
              </w:rPr>
              <w:t xml:space="preserve">View system-wide application logs and reports</w:t>
            </w:r>
          </w:p>
        </w:tc>
        <w:tc>
          <w:tcPr>
            <w:tcW w:w="1650" w:type="dxa"/>
            <w:vAlign w:val="center"/>
          </w:tcPr>
          <w:p>
            <w:pPr>
              <w:spacing w:after="0" w:line="240" w:lineRule="auto"/>
              <w:jc w:val="left"/>
            </w:pPr>
            <w:r>
              <w:rPr>
                <w:b w:val="0"/>
                <w:sz w:val="20"/>
                <w:szCs w:val="20"/>
              </w:rPr>
              <w:t xml:space="preserve">—</w:t>
            </w:r>
          </w:p>
        </w:tc>
        <w:tc>
          <w:tcPr>
            <w:tcW w:w="1750" w:type="dxa"/>
            <w:vAlign w:val="center"/>
          </w:tcPr>
          <w:p>
            <w:pPr>
              <w:spacing w:after="0" w:line="240" w:lineRule="auto"/>
              <w:jc w:val="left"/>
            </w:pPr>
            <w:r>
              <w:rPr>
                <w:b w:val="0"/>
                <w:sz w:val="20"/>
                <w:szCs w:val="20"/>
              </w:rPr>
              <w:t xml:space="preserve">—</w:t>
            </w:r>
          </w:p>
        </w:tc>
        <w:tc>
          <w:tcPr>
            <w:tcW w:w="1700" w:type="dxa"/>
            <w:vAlign w:val="center"/>
          </w:tcPr>
          <w:p>
            <w:pPr>
              <w:spacing w:after="0" w:line="240" w:lineRule="auto"/>
              <w:jc w:val="center"/>
            </w:pPr>
            <w:r>
              <w:rPr>
                <w:b w:val="0"/>
                <w:sz w:val="20"/>
                <w:szCs w:val="20"/>
              </w:rPr>
              <w:t xml:space="preserve">Yes</w:t>
            </w:r>
          </w:p>
        </w:tc>
      </w:tr>
      <w:tr>
        <w:tc>
          <w:tcPr>
            <w:tcW w:w="4300" w:type="dxa"/>
            <w:vAlign w:val="center"/>
          </w:tcPr>
          <w:p>
            <w:pPr>
              <w:spacing w:after="0" w:line="240" w:lineRule="auto"/>
              <w:jc w:val="center"/>
            </w:pPr>
            <w:r>
              <w:rPr>
                <w:b w:val="0"/>
                <w:sz w:val="20"/>
                <w:szCs w:val="20"/>
              </w:rPr>
              <w:t xml:space="preserve">Create system-wide announcements</w:t>
            </w:r>
          </w:p>
        </w:tc>
        <w:tc>
          <w:tcPr>
            <w:tcW w:w="1650" w:type="dxa"/>
            <w:vAlign w:val="center"/>
          </w:tcPr>
          <w:p>
            <w:pPr>
              <w:spacing w:after="0" w:line="240" w:lineRule="auto"/>
              <w:jc w:val="left"/>
            </w:pPr>
            <w:r>
              <w:rPr>
                <w:b w:val="0"/>
                <w:sz w:val="20"/>
                <w:szCs w:val="20"/>
              </w:rPr>
              <w:t xml:space="preserve">—</w:t>
            </w:r>
          </w:p>
        </w:tc>
        <w:tc>
          <w:tcPr>
            <w:tcW w:w="1750" w:type="dxa"/>
            <w:vAlign w:val="center"/>
          </w:tcPr>
          <w:p>
            <w:pPr>
              <w:spacing w:after="0" w:line="240" w:lineRule="auto"/>
              <w:jc w:val="left"/>
            </w:pPr>
            <w:r>
              <w:rPr>
                <w:b w:val="0"/>
                <w:sz w:val="20"/>
                <w:szCs w:val="20"/>
              </w:rPr>
              <w:t xml:space="preserve">—</w:t>
            </w:r>
          </w:p>
        </w:tc>
        <w:tc>
          <w:tcPr>
            <w:tcW w:w="1700" w:type="dxa"/>
            <w:vAlign w:val="center"/>
          </w:tcPr>
          <w:p>
            <w:pPr>
              <w:spacing w:after="0" w:line="240" w:lineRule="auto"/>
              <w:jc w:val="center"/>
            </w:pPr>
            <w:r>
              <w:rPr>
                <w:b w:val="0"/>
                <w:sz w:val="20"/>
                <w:szCs w:val="20"/>
              </w:rPr>
              <w:t xml:space="preserve">Yes</w:t>
            </w:r>
          </w:p>
        </w:tc>
      </w:tr>
      <w:tr>
        <w:tc>
          <w:tcPr>
            <w:tcW w:w="4300" w:type="dxa"/>
            <w:vAlign w:val="center"/>
          </w:tcPr>
          <w:p>
            <w:pPr>
              <w:spacing w:after="0" w:line="240" w:lineRule="auto"/>
              <w:jc w:val="center"/>
            </w:pPr>
            <w:r>
              <w:rPr>
                <w:b w:val="0"/>
                <w:sz w:val="20"/>
                <w:szCs w:val="20"/>
              </w:rPr>
              <w:t xml:space="preserve">View platform audit log</w:t>
            </w:r>
          </w:p>
        </w:tc>
        <w:tc>
          <w:tcPr>
            <w:tcW w:w="1650" w:type="dxa"/>
            <w:vAlign w:val="center"/>
          </w:tcPr>
          <w:p>
            <w:pPr>
              <w:spacing w:after="0" w:line="240" w:lineRule="auto"/>
              <w:jc w:val="left"/>
            </w:pPr>
            <w:r>
              <w:rPr>
                <w:b w:val="0"/>
                <w:sz w:val="20"/>
                <w:szCs w:val="20"/>
              </w:rPr>
              <w:t xml:space="preserve">—</w:t>
            </w:r>
          </w:p>
        </w:tc>
        <w:tc>
          <w:tcPr>
            <w:tcW w:w="1750" w:type="dxa"/>
            <w:vAlign w:val="center"/>
          </w:tcPr>
          <w:p>
            <w:pPr>
              <w:spacing w:after="0" w:line="240" w:lineRule="auto"/>
              <w:jc w:val="left"/>
            </w:pPr>
            <w:r>
              <w:rPr>
                <w:b w:val="0"/>
                <w:sz w:val="20"/>
                <w:szCs w:val="20"/>
              </w:rPr>
              <w:t xml:space="preserve">—</w:t>
            </w:r>
          </w:p>
        </w:tc>
        <w:tc>
          <w:tcPr>
            <w:tcW w:w="1700" w:type="dxa"/>
            <w:vAlign w:val="center"/>
          </w:tcPr>
          <w:p>
            <w:pPr>
              <w:spacing w:after="0" w:line="240" w:lineRule="auto"/>
              <w:jc w:val="center"/>
            </w:pPr>
            <w:r>
              <w:rPr>
                <w:b w:val="0"/>
                <w:sz w:val="20"/>
                <w:szCs w:val="20"/>
              </w:rPr>
              <w:t xml:space="preserve">Super only</w:t>
            </w:r>
          </w:p>
        </w:tc>
      </w:tr>
      <w:tr>
        <w:tc>
          <w:tcPr>
            <w:tcW w:w="4300" w:type="dxa"/>
            <w:vAlign w:val="center"/>
          </w:tcPr>
          <w:p>
            <w:pPr>
              <w:spacing w:after="0" w:line="240" w:lineRule="auto"/>
              <w:jc w:val="center"/>
            </w:pPr>
            <w:r>
              <w:rPr>
                <w:b w:val="0"/>
                <w:sz w:val="20"/>
                <w:szCs w:val="20"/>
              </w:rPr>
              <w:t xml:space="preserve">Permanently erase a patient account</w:t>
            </w:r>
          </w:p>
        </w:tc>
        <w:tc>
          <w:tcPr>
            <w:tcW w:w="1650" w:type="dxa"/>
            <w:vAlign w:val="center"/>
          </w:tcPr>
          <w:p>
            <w:pPr>
              <w:spacing w:after="0" w:line="240" w:lineRule="auto"/>
              <w:jc w:val="left"/>
            </w:pPr>
            <w:r>
              <w:rPr>
                <w:b w:val="0"/>
                <w:sz w:val="20"/>
                <w:szCs w:val="20"/>
              </w:rPr>
              <w:t xml:space="preserve">—</w:t>
            </w:r>
          </w:p>
        </w:tc>
        <w:tc>
          <w:tcPr>
            <w:tcW w:w="1750" w:type="dxa"/>
            <w:vAlign w:val="center"/>
          </w:tcPr>
          <w:p>
            <w:pPr>
              <w:spacing w:after="0" w:line="240" w:lineRule="auto"/>
              <w:jc w:val="left"/>
            </w:pPr>
            <w:r>
              <w:rPr>
                <w:b w:val="0"/>
                <w:sz w:val="20"/>
                <w:szCs w:val="20"/>
              </w:rPr>
              <w:t xml:space="preserve">—</w:t>
            </w:r>
          </w:p>
        </w:tc>
        <w:tc>
          <w:tcPr>
            <w:tcW w:w="1700" w:type="dxa"/>
            <w:vAlign w:val="center"/>
          </w:tcPr>
          <w:p>
            <w:pPr>
              <w:spacing w:after="0" w:line="240" w:lineRule="auto"/>
              <w:jc w:val="center"/>
            </w:pPr>
            <w:r>
              <w:rPr>
                <w:b w:val="0"/>
                <w:sz w:val="20"/>
                <w:szCs w:val="20"/>
              </w:rPr>
              <w:t xml:space="preserve">Super only</w:t>
            </w:r>
          </w:p>
        </w:tc>
      </w:tr>
      <w:tr>
        <w:tc>
          <w:tcPr>
            <w:tcW w:w="4300" w:type="dxa"/>
            <w:vAlign w:val="center"/>
          </w:tcPr>
          <w:p>
            <w:pPr>
              <w:spacing w:after="0" w:line="240" w:lineRule="auto"/>
              <w:jc w:val="center"/>
            </w:pPr>
            <w:r>
              <w:rPr>
                <w:b w:val="0"/>
                <w:sz w:val="20"/>
                <w:szCs w:val="20"/>
              </w:rPr>
              <w:t xml:space="preserve">Message within permitted relationships</w:t>
            </w:r>
          </w:p>
        </w:tc>
        <w:tc>
          <w:tcPr>
            <w:tcW w:w="1650" w:type="dxa"/>
            <w:vAlign w:val="center"/>
          </w:tcPr>
          <w:p>
            <w:pPr>
              <w:spacing w:after="0" w:line="240" w:lineRule="auto"/>
              <w:jc w:val="left"/>
            </w:pPr>
            <w:r>
              <w:rPr>
                <w:b w:val="0"/>
                <w:sz w:val="20"/>
                <w:szCs w:val="20"/>
              </w:rPr>
              <w:t xml:space="preserve">Yes</w:t>
            </w:r>
          </w:p>
        </w:tc>
        <w:tc>
          <w:tcPr>
            <w:tcW w:w="1750" w:type="dxa"/>
            <w:vAlign w:val="center"/>
          </w:tcPr>
          <w:p>
            <w:pPr>
              <w:spacing w:after="0" w:line="240" w:lineRule="auto"/>
              <w:jc w:val="left"/>
            </w:pPr>
            <w:r>
              <w:rPr>
                <w:b w:val="0"/>
                <w:sz w:val="20"/>
                <w:szCs w:val="20"/>
              </w:rPr>
              <w:t xml:space="preserve">Yes</w:t>
            </w:r>
          </w:p>
        </w:tc>
        <w:tc>
          <w:tcPr>
            <w:tcW w:w="1700" w:type="dxa"/>
            <w:vAlign w:val="center"/>
          </w:tcPr>
          <w:p>
            <w:pPr>
              <w:spacing w:after="0" w:line="240" w:lineRule="auto"/>
              <w:jc w:val="center"/>
            </w:pPr>
            <w:r>
              <w:rPr>
                <w:b w:val="0"/>
                <w:sz w:val="20"/>
                <w:szCs w:val="20"/>
              </w:rPr>
              <w:t xml:space="preserve">Yes</w:t>
            </w:r>
          </w:p>
        </w:tc>
      </w:tr>
    </w:tbl>
    <w:p>
      <w:pPr>
        <w:pStyle w:val="BodyofResearch"/>
        <w:spacing w:after="0" w:line="240" w:lineRule="auto"/>
      </w:pPr>
    </w:p>
    <w:p>
      <w:r>
        <w:br w:type="page"/>
      </w:r>
    </w:p>
    <w:p>
      <w:pPr>
        <w:pStyle w:val="BodyofResearch"/>
        <w:keepNext/>
        <w:keepLines/>
        <w:spacing w:before="180" w:after="120"/>
        <w:jc w:val="left"/>
      </w:pPr>
      <w:r>
        <w:rPr>
          <w:b/>
        </w:rPr>
        <w:t xml:space="preserve">Storyboard</w:t>
      </w:r>
    </w:p>
    <w:p>
      <w:pPr>
        <w:pStyle w:val="BodyofResearch"/>
        <w:ind w:firstLine="720"/>
        <w:jc w:val="both"/>
      </w:pPr>
      <w:r>
        <w:rPr>
          <w:b w:val="0"/>
        </w:rPr>
        <w:t xml:space="preserve">MAPA is a single codebase that delivers two distinct interface experiences. The Patient Mobile Application is a Progressive Web Application installed on the patient's smartphone and optimized for a 360-pixel screen with a bottom tab bar. The Web Portal is used by all agency personnel and CRMC administrators on a desktop or laptop browser with a sidebar navigation. Non-patient roles who attempt to access the system through the installed PWA are redirected to the web portal with an explanatory notice. The storyboard is organized by role and interface below, reflecting the CRMC-gateway co-funding workflow.</w:t>
      </w:r>
    </w:p>
    <w:p>
      <w:pPr>
        <w:pStyle w:val="BodyofResearch"/>
        <w:keepNext/>
        <w:keepLines/>
        <w:spacing w:before="160" w:after="120"/>
        <w:jc w:val="left"/>
      </w:pPr>
      <w:r>
        <w:rPr>
          <w:b/>
          <w:i/>
        </w:rPr>
        <w:t xml:space="preserve">Part 1: Patient — Mobile Application (PWA)</w:t>
      </w:r>
    </w:p>
    <w:p>
      <w:pPr>
        <w:pStyle w:val="BodyofResearch"/>
        <w:keepNext/>
        <w:keepLines/>
        <w:spacing w:before="140" w:after="100"/>
        <w:ind w:left="360"/>
        <w:jc w:val="left"/>
      </w:pPr>
      <w:r>
        <w:rPr>
          <w:b/>
          <w:i/>
        </w:rPr>
        <w:t xml:space="preserve">Scene 1: Install and Register</w:t>
      </w:r>
    </w:p>
    <w:p>
      <w:pPr>
        <w:pStyle w:val="BodyofResearch"/>
        <w:jc w:val="both"/>
      </w:pPr>
      <w:r>
        <w:rPr>
          <w:b w:val="0"/>
        </w:rPr>
        <w:t xml:space="preserve">The patient opens the MAPA URL in their smartphone browser, or scans the QR code printed on the Patient Access Code slip issued by CRMC Medical Social Services, which opens the portal with the code already filled in. The landing page shows the system name, a description, who may apply, an anti-scam notice stating that assistance is free, partner agencies with live slot counts, and Install App and Register buttons. The Install page detects the platform and presents context-specific steps — a one-tap install on Android Chrome, or the Share then Add to Home Screen flow on iOS Safari — after which the patient opens the app from the home-screen icon. Registration is a bilingual multi-step form: Personal Info, Account Setup, and Patient Access Code. The code is verified in real time through a server-side throttled check; on success a single Firestore transaction creates the account and claims the code atomically, and the patient is signed in to the Dashboard.</w:t>
      </w:r>
    </w:p>
    <w:p>
      <w:pPr>
        <w:pStyle w:val="BodyofResearch"/>
        <w:keepNext/>
        <w:keepLines/>
        <w:spacing w:before="140" w:after="100"/>
        <w:ind w:left="360"/>
        <w:jc w:val="left"/>
      </w:pPr>
      <w:r>
        <w:rPr>
          <w:b/>
          <w:i/>
        </w:rPr>
        <w:t xml:space="preserve">Scene 2: Dashboard</w:t>
      </w:r>
    </w:p>
    <w:p>
      <w:pPr>
        <w:pStyle w:val="BodyofResearch"/>
        <w:jc w:val="both"/>
      </w:pPr>
      <w:r>
        <w:rPr>
          <w:b w:val="0"/>
        </w:rPr>
        <w:t xml:space="preserve">The Dashboard is the patient's home surface. It shows a personalized greeting and a status hero that names the current step out of six and the single next action, a journey strip visualizing the request lifecycle, the active-request status card with the amount secured and the balance still open, a document-summary card with live verified and pending counts, and a dismissible Welcome card for first-time visitors. Banner reminders for the upcoming CRMC interview appear 24 hours and 1 hour before. The bottom tab bar provides Dashboard, Find Programs, My Application, Interviews, and Messages, and a bell icon opens Notifications.</w:t>
      </w:r>
    </w:p>
    <w:p>
      <w:pPr>
        <w:pStyle w:val="BodyofResearch"/>
        <w:keepNext/>
        <w:keepLines/>
        <w:spacing w:before="140" w:after="100"/>
        <w:ind w:left="360"/>
        <w:jc w:val="left"/>
      </w:pPr>
      <w:r>
        <w:rPr>
          <w:b/>
          <w:i/>
        </w:rPr>
        <w:t xml:space="preserve">Scene 3: Find Programs and Screening</w:t>
      </w:r>
    </w:p>
    <w:p>
      <w:pPr>
        <w:pStyle w:val="BodyofResearch"/>
        <w:jc w:val="both"/>
      </w:pPr>
      <w:r>
        <w:rPr>
          <w:b w:val="0"/>
        </w:rPr>
        <w:t xml:space="preserve">From Find Programs the patient browses all enabled agencies as compact cards showing live slot counts, processing times, and assistance-type tags. A guided screening questionnaire lets the patient select the categories of assistance they need and ranks matching programs by match score, each result showing a match percentage, a slot availability bar, and a list of missing documents. Under the gateway model this page is informational; applications are filed through Request Assistance rather than directly from an agency card.</w:t>
      </w:r>
    </w:p>
    <w:p>
      <w:pPr>
        <w:pStyle w:val="BodyofResearch"/>
        <w:keepNext/>
        <w:keepLines/>
        <w:spacing w:before="140" w:after="100"/>
        <w:ind w:left="360"/>
        <w:jc w:val="left"/>
      </w:pPr>
      <w:r>
        <w:rPr>
          <w:b/>
          <w:i/>
        </w:rPr>
        <w:t xml:space="preserve">Scene 4: File a Single Request</w:t>
      </w:r>
    </w:p>
    <w:p>
      <w:pPr>
        <w:pStyle w:val="BodyofResearch"/>
        <w:jc w:val="both"/>
      </w:pPr>
      <w:r>
        <w:rPr>
          <w:b w:val="0"/>
        </w:rPr>
        <w:t xml:space="preserve">The patient opens Request Assistance, a 4-step guided wizard: first, what you need — assistance type, bill amount, and optional description; second, documents — the required documents checklist plus a camera-only live selfie, with reusable verified documents carried over; third, an optional representative section; and fourth, review, Data Privacy consent under Republic Act No. 10173, and submit. The system creates the request as submitted, persists the document references, and notifies CRMC. A success screen shows the Request ID with a copy button.</w:t>
      </w:r>
    </w:p>
    <w:p>
      <w:pPr>
        <w:pStyle w:val="BodyofResearch"/>
        <w:keepNext/>
        <w:keepLines/>
        <w:spacing w:before="140" w:after="100"/>
        <w:ind w:left="360"/>
        <w:jc w:val="left"/>
      </w:pPr>
      <w:r>
        <w:rPr>
          <w:b/>
          <w:i/>
        </w:rPr>
        <w:t xml:space="preserve">Scene 5: Household Intake Wizard</w:t>
      </w:r>
    </w:p>
    <w:p>
      <w:pPr>
        <w:pStyle w:val="BodyofResearch"/>
        <w:jc w:val="both"/>
      </w:pPr>
      <w:r>
        <w:rPr>
          <w:b w:val="0"/>
        </w:rPr>
        <w:t xml:space="preserve">From the active-request panel the patient opens the Household Intake Wizard, a bilingual 5-step form (household, income, expenses, medical, review) that auto-saves every two seconds and on every step navigation. Required-field validation jumps the patient back to the missing field with a red ring and scroll-into-view. The patient fills the factual portion; CRMC completes the assessment portion during the interview.</w:t>
      </w:r>
    </w:p>
    <w:p>
      <w:pPr>
        <w:pStyle w:val="BodyofResearch"/>
        <w:keepNext/>
        <w:keepLines/>
        <w:spacing w:before="140" w:after="100"/>
        <w:ind w:left="360"/>
        <w:jc w:val="left"/>
      </w:pPr>
      <w:r>
        <w:rPr>
          <w:b/>
          <w:i/>
        </w:rPr>
        <w:t xml:space="preserve">Scene 6: Book the Assessment Interview</w:t>
      </w:r>
    </w:p>
    <w:p>
      <w:pPr>
        <w:pStyle w:val="BodyofResearch"/>
        <w:jc w:val="both"/>
      </w:pPr>
      <w:r>
        <w:rPr>
          <w:b w:val="0"/>
        </w:rPr>
        <w:t xml:space="preserve">Once CRMC opens booking on the request, the Interviews page lists the published slots with their date, time, and mode. The patient selects a slot and confirms; the booking is written as a compare-and-set against the slot's open status, so if two patients select the same slot the loser is told the slot was just taken rather than being double-booked. For an in-person appointment the patient receives a queue number for the CRMC Medical Social Service office; for an online appointment they receive a Google Meet link. Both show an Add to Calendar action and the name of the conducting social worker. The patient may cancel and rebook while the booking window remains open, and receives reminders 24 hours and 1 hour before.</w:t>
      </w:r>
    </w:p>
    <w:p>
      <w:pPr>
        <w:pStyle w:val="BodyofResearch"/>
        <w:keepNext/>
        <w:keepLines/>
        <w:spacing w:before="140" w:after="100"/>
        <w:ind w:left="360"/>
        <w:jc w:val="left"/>
      </w:pPr>
      <w:r>
        <w:rPr>
          <w:b/>
          <w:i/>
        </w:rPr>
        <w:t xml:space="preserve">Scene 7: Coverage Plan and Proceed</w:t>
      </w:r>
    </w:p>
    <w:p>
      <w:pPr>
        <w:pStyle w:val="BodyofResearch"/>
        <w:jc w:val="both"/>
      </w:pPr>
      <w:r>
        <w:rPr>
          <w:b w:val="0"/>
        </w:rPr>
        <w:t xml:space="preserve">After the interview, CRMC records the PhilHealth coverage already applied to the bill and endorses the residual to one or more agencies. The patient then sees a coverage plan in the active-request panel showing the bill, the PhilHealth first charge, the residual endorsed, and each endorsed agency with its procedure and requirements — together with a per-slice compliance checklist that flags any missing document with a direct upload button. The patient taps Proceed, which atomically advances every endorsed slice from endorsed to reviewing in a single batch and notifies each agency's coordinators.</w:t>
      </w:r>
    </w:p>
    <w:p>
      <w:pPr>
        <w:pStyle w:val="BodyofResearch"/>
        <w:keepNext/>
        <w:keepLines/>
        <w:spacing w:before="140" w:after="100"/>
        <w:ind w:left="360"/>
        <w:jc w:val="left"/>
      </w:pPr>
      <w:r>
        <w:rPr>
          <w:b/>
          <w:i/>
        </w:rPr>
        <w:t xml:space="preserve">Scene 8: Track Request and Slices</w:t>
      </w:r>
    </w:p>
    <w:p>
      <w:pPr>
        <w:pStyle w:val="BodyofResearch"/>
        <w:jc w:val="both"/>
      </w:pPr>
      <w:r>
        <w:rPr>
          <w:b w:val="0"/>
        </w:rPr>
        <w:t xml:space="preserve">On My Application the patient sees the overall request lifecycle stepper (Submitted, Under Review, Assessment, Endorsed, Partially or Fully Funded) and, below it, a card per endorsed agency with its own four-stage slice stepper (Endorsed, Funding Review, Approved, GL Issued) and a context-aware banner. All updates arrive in real time through Firestore listeners without a page refresh.</w:t>
      </w:r>
    </w:p>
    <w:p>
      <w:pPr>
        <w:pStyle w:val="BodyofResearch"/>
        <w:keepNext/>
        <w:keepLines/>
        <w:spacing w:before="140" w:after="100"/>
        <w:ind w:left="360"/>
        <w:jc w:val="left"/>
      </w:pPr>
      <w:r>
        <w:rPr>
          <w:b/>
          <w:i/>
        </w:rPr>
        <w:t xml:space="preserve">Scene 9: Guarantee Letter Download</w:t>
      </w:r>
    </w:p>
    <w:p>
      <w:pPr>
        <w:pStyle w:val="BodyofResearch"/>
        <w:jc w:val="both"/>
      </w:pPr>
      <w:r>
        <w:rPr>
          <w:b w:val="0"/>
        </w:rPr>
        <w:t xml:space="preserve">When an agency uploads its signed Guarantee Letter, the patient receives an in-app and email notification and the signed document appears on My Application as a thumbnail or PDF chip. The patient downloads each Guarantee Letter and presents it, digitally or printed, at the named provider — for example the CRMC Billing Department or a partner pharmacy — for off-system settlement. Each Guarantee Letter is valid for 30 days from issuance.</w:t>
      </w:r>
    </w:p>
    <w:p>
      <w:pPr>
        <w:pStyle w:val="BodyofResearch"/>
        <w:keepNext/>
        <w:keepLines/>
        <w:spacing w:before="140" w:after="100"/>
        <w:ind w:left="360"/>
        <w:jc w:val="left"/>
      </w:pPr>
      <w:r>
        <w:rPr>
          <w:b/>
          <w:i/>
        </w:rPr>
        <w:t xml:space="preserve">Scene 10: Messages, More, and Notifications</w:t>
      </w:r>
    </w:p>
    <w:p>
      <w:pPr>
        <w:pStyle w:val="BodyofResearch"/>
        <w:jc w:val="both"/>
      </w:pPr>
      <w:r>
        <w:rPr>
          <w:b w:val="0"/>
        </w:rPr>
        <w:t xml:space="preserve">The Messages page lists conversations with CRMC administrators and any agency endorsed on the request, with a bottom-right compose action; patient-to-patient messaging is blocked. The mobile-only More page groups navigation, account, settings (language toggle, privacy notice, data access log, download my data, help, report a problem), and logout. The Notifications page lists all in-app notifications with category filters, mark-all-read, and clear-all, and tapping a notification opens the related page.</w:t>
      </w:r>
    </w:p>
    <w:p>
      <w:r>
        <w:br w:type="page"/>
      </w:r>
    </w:p>
    <w:p>
      <w:pPr>
        <w:pStyle w:val="BodyofResearch"/>
        <w:keepNext/>
        <w:keepLines/>
        <w:spacing w:before="160" w:after="120"/>
        <w:jc w:val="left"/>
      </w:pPr>
      <w:r>
        <w:rPr>
          <w:b/>
          <w:i/>
        </w:rPr>
        <w:t xml:space="preserve">Part 2: Agency Personnel — Web Portal</w:t>
      </w:r>
    </w:p>
    <w:p>
      <w:pPr>
        <w:pStyle w:val="BodyofResearch"/>
        <w:jc w:val="both"/>
      </w:pPr>
      <w:r>
        <w:rPr>
          <w:b w:val="0"/>
        </w:rPr>
        <w:t xml:space="preserve">Agency coordinators and agency administrators access all functions through a desktop or laptop browser with a left-sidebar navigation. Administrators have all coordinator functions plus Budget Allocation, Team, and Agency Audit Log. Because CRMC owns intake and verification, the agency's work begins only after the patient confirms the coverage plan.</w:t>
      </w:r>
    </w:p>
    <w:p>
      <w:pPr>
        <w:pStyle w:val="BodyofResearch"/>
        <w:keepNext/>
        <w:keepLines/>
        <w:spacing w:before="140" w:after="100"/>
        <w:ind w:left="360"/>
        <w:jc w:val="left"/>
      </w:pPr>
      <w:r>
        <w:rPr>
          <w:b/>
          <w:i/>
        </w:rPr>
        <w:t xml:space="preserve">Scene 11: Agency Dashboard</w:t>
      </w:r>
    </w:p>
    <w:p>
      <w:pPr>
        <w:pStyle w:val="BodyofResearch"/>
        <w:jc w:val="both"/>
      </w:pPr>
      <w:r>
        <w:rPr>
          <w:b w:val="0"/>
        </w:rPr>
        <w:t xml:space="preserve">After login — completing the time-based one-time password challenge if enrolled — the coordinator lands on the Agency Dashboard, which shows today's remaining slots, this period's remaining budget, and the counts of slices For Funding and Needs Info, with quick-action cards to the Funding Inbox, Slot Management, Guarantee Letters, and Funds. A stale-period banner appears when the budget period clock is past its window.</w:t>
      </w:r>
    </w:p>
    <w:p>
      <w:pPr>
        <w:pStyle w:val="BodyofResearch"/>
        <w:keepNext/>
        <w:keepLines/>
        <w:spacing w:before="140" w:after="100"/>
        <w:ind w:left="360"/>
        <w:jc w:val="left"/>
      </w:pPr>
      <w:r>
        <w:rPr>
          <w:b/>
          <w:i/>
        </w:rPr>
        <w:t xml:space="preserve">Scene 12: Funding Inbox</w:t>
      </w:r>
    </w:p>
    <w:p>
      <w:pPr>
        <w:pStyle w:val="BodyofResearch"/>
        <w:jc w:val="both"/>
      </w:pPr>
      <w:r>
        <w:rPr>
          <w:b w:val="0"/>
        </w:rPr>
        <w:t xml:space="preserve">The Funding Inbox is the coordinator's primary work surface, listing all slices CRMC endorsed to this agency and already past the patient's Proceed gate. Status filter chips (For Funding, Needs Info, Approved, Rejected) double as count tiles. Each row shows the patient, slice ID, days-waiting (amber at 3 days, red at 7), a duplicate-patient flag, and an Open button.</w:t>
      </w:r>
    </w:p>
    <w:p>
      <w:pPr>
        <w:pStyle w:val="BodyofResearch"/>
        <w:keepNext/>
        <w:keepLines/>
        <w:spacing w:before="140" w:after="100"/>
        <w:ind w:left="360"/>
        <w:jc w:val="left"/>
      </w:pPr>
      <w:r>
        <w:rPr>
          <w:b/>
          <w:i/>
        </w:rPr>
        <w:t xml:space="preserve">Scene 13: Application Detail and Co-funding Picture</w:t>
      </w:r>
    </w:p>
    <w:p>
      <w:pPr>
        <w:pStyle w:val="BodyofResearch"/>
        <w:jc w:val="both"/>
      </w:pPr>
      <w:r>
        <w:rPr>
          <w:b w:val="0"/>
        </w:rPr>
        <w:t xml:space="preserve">The Application Detail opens in four tabs — Overview, Assessment, Documents, and Timeline and Notes. The Overview tab shows the co-funding picture (total bill, PhilHealth coverage applied, residual endorsed, committed across sibling slices, in-review, and still-open) and a status-gated action banner. The Documents tab is read-only, since CRMC verifies; re-uploaded files are flagged pending re-verification and surface live without a page reload. The Assessment tab shows the CRMC-completed Unified Intake Sheet and interview outcome on a read-only basis. The Timeline tab renders a chronological cross-agency event feed so the coordinator can see what CRMC and the sibling agencies have already done on the same case.</w:t>
      </w:r>
    </w:p>
    <w:p>
      <w:pPr>
        <w:pStyle w:val="BodyofResearch"/>
        <w:keepNext/>
        <w:keepLines/>
        <w:spacing w:before="140" w:after="100"/>
        <w:ind w:left="360"/>
        <w:jc w:val="left"/>
      </w:pPr>
      <w:r>
        <w:rPr>
          <w:b/>
          <w:i/>
        </w:rPr>
        <w:t xml:space="preserve">Scene 14: Approve and Issue GL</w:t>
      </w:r>
    </w:p>
    <w:p>
      <w:pPr>
        <w:pStyle w:val="BodyofResearch"/>
        <w:jc w:val="both"/>
      </w:pPr>
      <w:r>
        <w:rPr>
          <w:b w:val="0"/>
        </w:rPr>
        <w:t xml:space="preserve">From the Overview action banner, the coordinator opens the Approve modal, which pre-fills the agency's per-applicant cap as a hard ceiling and shows the remaining budget. As the coordinator types an amount, a live over-commitment guard displays the running co-funding total against the residual balance in three color-coded states. The coordinator enters the approved amount, picks one or more purposes, enters the payable-to provider, and confirms. The system runs the cooldown checks and, in one transaction, sets the slice to approved with the Guarantee Letter issued, increments the agency's committed budget, advances the parent request's committed amount (flipping it to partially or fully funded), stamps the Hospital ID to start the cross-agency cooldown, and notifies the patient, the endorsing CRMC social worker, and the coordinators of the sibling agencies watching the case.</w:t>
      </w:r>
    </w:p>
    <w:p>
      <w:pPr>
        <w:pStyle w:val="BodyofResearch"/>
        <w:keepNext/>
        <w:keepLines/>
        <w:spacing w:before="140" w:after="100"/>
        <w:ind w:left="360"/>
        <w:jc w:val="left"/>
      </w:pPr>
      <w:r>
        <w:rPr>
          <w:b/>
          <w:i/>
        </w:rPr>
        <w:t xml:space="preserve">Scene 15: GL Print, Upload, and Lifecycle</w:t>
      </w:r>
    </w:p>
    <w:p>
      <w:pPr>
        <w:pStyle w:val="BodyofResearch"/>
        <w:jc w:val="both"/>
      </w:pPr>
      <w:r>
        <w:rPr>
          <w:b w:val="0"/>
        </w:rPr>
        <w:t xml:space="preserve">The coordinator opens the GL Viewer, which renders the Guarantee Letter exactly as it will print, and prints it through the browser dialog. After wet-signing and scanning, the coordinator uploads the signed scan, and the patient is notified that the Guarantee Letter is ready to download. On the Guarantee Letters list the coordinator later marks the Guarantee Letter Redeemed when the provider has billed (moving the budget from committed to disbursed), or the scheduled expiry sweep marks it Expired after 30 days, or the coordinator reverses an erroneous approval (releasing the budget while preserving the patient's cooldown).</w:t>
      </w:r>
    </w:p>
    <w:p>
      <w:pPr>
        <w:pStyle w:val="BodyofResearch"/>
        <w:keepNext/>
        <w:keepLines/>
        <w:spacing w:before="140" w:after="100"/>
        <w:ind w:left="360"/>
        <w:jc w:val="left"/>
      </w:pPr>
      <w:r>
        <w:rPr>
          <w:b/>
          <w:i/>
        </w:rPr>
        <w:t xml:space="preserve">Scene 16: Request More Info, Rejection, and Referral</w:t>
      </w:r>
    </w:p>
    <w:p>
      <w:pPr>
        <w:pStyle w:val="BodyofResearch"/>
        <w:jc w:val="both"/>
      </w:pPr>
      <w:r>
        <w:rPr>
          <w:b w:val="0"/>
        </w:rPr>
        <w:t xml:space="preserve">When the agency needs something further, the coordinator chooses Request More Info, enters a templated or free-text message, and the slice moves to awaiting-info; the patient sees a Needs Info banner with a View Details action, responds, and the coordinator resumes the review. To decline, the coordinator rejects the slice with a reason, after which CRMC sees a cross-slice coverage warning on its Requests list and may re-endorse the balance to another agency. Where the coordinator knows of a better-suited program, they may instead raise a structured referral suggestion to CRMC rather than simply rejecting.</w:t>
      </w:r>
    </w:p>
    <w:p>
      <w:pPr>
        <w:pStyle w:val="BodyofResearch"/>
        <w:keepNext/>
        <w:keepLines/>
        <w:spacing w:before="140" w:after="100"/>
        <w:ind w:left="360"/>
        <w:jc w:val="left"/>
      </w:pPr>
      <w:r>
        <w:rPr>
          <w:b/>
          <w:i/>
        </w:rPr>
        <w:t xml:space="preserve">Scene 17: Slot Management and Messages</w:t>
      </w:r>
    </w:p>
    <w:p>
      <w:pPr>
        <w:pStyle w:val="BodyofResearch"/>
        <w:jc w:val="both"/>
      </w:pPr>
      <w:r>
        <w:rPr>
          <w:b w:val="0"/>
        </w:rPr>
        <w:t xml:space="preserve">On Slot Management the coordinator sets the daily default capacity and views recent adjustments, each requiring an audit-logged reason. The Messages page uses a two-pane layout for composing and replying to both patient- and CRMC-initiated conversations.</w:t>
      </w:r>
    </w:p>
    <w:p>
      <w:pPr>
        <w:pStyle w:val="BodyofResearch"/>
        <w:keepNext/>
        <w:keepLines/>
        <w:spacing w:before="140" w:after="100"/>
        <w:ind w:left="360"/>
        <w:jc w:val="left"/>
      </w:pPr>
      <w:r>
        <w:rPr>
          <w:b/>
          <w:i/>
        </w:rPr>
        <w:t xml:space="preserve">Scene 18: Agency Administrator — Additional Functions</w:t>
      </w:r>
    </w:p>
    <w:p>
      <w:pPr>
        <w:pStyle w:val="BodyofResearch"/>
        <w:jc w:val="both"/>
      </w:pPr>
      <w:r>
        <w:rPr>
          <w:b w:val="0"/>
        </w:rPr>
        <w:t xml:space="preserve">The agency administrator additionally manages Budget Allocation (period type, allocated amount, per-applicant cap, and fund source, with a new period resetting committed and disbursed while preserving the allocation), Team (create, edit, deactivate, reset, promote, and demote coordinator accounts, with guards against self-demotion and demotion of the last administrator), and the Agency Audit Log (an append-only record of approvals, rejections, slot adjustments, budget changes, team changes, and Guarantee Letter state transitions).</w:t>
      </w:r>
    </w:p>
    <w:p>
      <w:r>
        <w:br w:type="page"/>
      </w:r>
    </w:p>
    <w:p>
      <w:pPr>
        <w:pStyle w:val="BodyofResearch"/>
        <w:keepNext/>
        <w:keepLines/>
        <w:spacing w:before="160" w:after="120"/>
        <w:jc w:val="left"/>
      </w:pPr>
      <w:r>
        <w:rPr>
          <w:b/>
          <w:i/>
        </w:rPr>
        <w:t xml:space="preserve">Part 3: CRMC Administrator — Web Portal</w:t>
      </w:r>
    </w:p>
    <w:p>
      <w:pPr>
        <w:pStyle w:val="BodyofResearch"/>
        <w:jc w:val="both"/>
      </w:pPr>
      <w:r>
        <w:rPr>
          <w:b w:val="0"/>
        </w:rPr>
        <w:t xml:space="preserve">Staff administrators and super administrators access all functions through a desktop or laptop browser. Super administrators have all staff functions plus Admin Accounts, the platform Audit Log, patient data erasure, and additional configuration authority. All staff roles complete a time-based one-time password challenge at login where enrolled.</w:t>
      </w:r>
    </w:p>
    <w:p>
      <w:pPr>
        <w:pStyle w:val="BodyofResearch"/>
        <w:keepNext/>
        <w:keepLines/>
        <w:spacing w:before="140" w:after="100"/>
        <w:ind w:left="360"/>
        <w:jc w:val="left"/>
      </w:pPr>
      <w:r>
        <w:rPr>
          <w:b/>
          <w:i/>
        </w:rPr>
        <w:t xml:space="preserve">Scene 19: Admin Dashboard</w:t>
      </w:r>
    </w:p>
    <w:p>
      <w:pPr>
        <w:pStyle w:val="BodyofResearch"/>
        <w:jc w:val="both"/>
      </w:pPr>
      <w:r>
        <w:rPr>
          <w:b w:val="0"/>
        </w:rPr>
        <w:t xml:space="preserve">After login the administrator lands on the Admin Dashboard, a platform-wide overview with summary tiles (registered patients, open requests, enabled agencies, pending document reviews, notification delivery health, and super-admin service-level tiles) and quick-action cards to all major surfaces. Counters route through real-time listeners with error fallbacks rather than hanging.</w:t>
      </w:r>
    </w:p>
    <w:p>
      <w:pPr>
        <w:pStyle w:val="BodyofResearch"/>
        <w:keepNext/>
        <w:keepLines/>
        <w:spacing w:before="140" w:after="100"/>
        <w:ind w:left="360"/>
        <w:jc w:val="left"/>
      </w:pPr>
      <w:r>
        <w:rPr>
          <w:b/>
          <w:i/>
        </w:rPr>
        <w:t xml:space="preserve">Scene 20: Requests Workspace</w:t>
      </w:r>
    </w:p>
    <w:p>
      <w:pPr>
        <w:pStyle w:val="BodyofResearch"/>
        <w:jc w:val="both"/>
      </w:pPr>
      <w:r>
        <w:rPr>
          <w:b w:val="0"/>
        </w:rPr>
        <w:t xml:space="preserve">The Requests workspace is CRMC's primary surface. It lists all patient requests with filters and search, each row showing the patient, the funding picture (needed, secured, progress), the pipeline stage, and any coverage warning such as rejected — re-endorse or awaiting patient acceptance. The detail view is a guided stepper: verify documents, open interview booking and conduct the interview, record coverage and complete the intake, then endorse.</w:t>
      </w:r>
    </w:p>
    <w:p>
      <w:pPr>
        <w:pStyle w:val="BodyofResearch"/>
        <w:keepNext/>
        <w:keepLines/>
        <w:spacing w:before="140" w:after="100"/>
        <w:ind w:left="360"/>
        <w:jc w:val="left"/>
      </w:pPr>
      <w:r>
        <w:rPr>
          <w:b/>
          <w:i/>
        </w:rPr>
        <w:t xml:space="preserve">Scene 21: Document Verification</w:t>
      </w:r>
    </w:p>
    <w:p>
      <w:pPr>
        <w:pStyle w:val="BodyofResearch"/>
        <w:jc w:val="both"/>
      </w:pPr>
      <w:r>
        <w:rPr>
          <w:b w:val="0"/>
        </w:rPr>
        <w:t xml:space="preserve">In the first step the administrator reviews each attached document with its OCR advisory for ID types, marking it verified, rejected with a reason that flows to the patient and persists on the document, or reset to pending for accident recovery. Each verification stamps a reviewer trail shown inline, and a presence indicator shows when another administrator is already reviewing the same document.</w:t>
      </w:r>
    </w:p>
    <w:p>
      <w:pPr>
        <w:pStyle w:val="BodyofResearch"/>
        <w:keepNext/>
        <w:keepLines/>
        <w:spacing w:before="140" w:after="100"/>
        <w:ind w:left="360"/>
        <w:jc w:val="left"/>
      </w:pPr>
      <w:r>
        <w:rPr>
          <w:b/>
          <w:i/>
        </w:rPr>
        <w:t xml:space="preserve">Scene 22: Interview Slots and Unified Intake Sheet</w:t>
      </w:r>
    </w:p>
    <w:p>
      <w:pPr>
        <w:pStyle w:val="BodyofResearch"/>
        <w:jc w:val="both"/>
      </w:pPr>
      <w:r>
        <w:rPr>
          <w:b w:val="0"/>
        </w:rPr>
        <w:t xml:space="preserve">Once all documents are verified, the administrator publishes assessment-interview slots for the coming days — setting the date, time, duration, and mode — and opens booking on the request, and the patient is notified. At the scheduled time the administrator conducts the interview at the Medical Social Service office, or over Google Meet where the online fallback applies, records the outcome (Completed, No-show, or Reschedule), enters the PhilHealth coverage already applied to the bill, and completes the assessment portion of the Unified Intake Sheet, preserving the factual portion the patient filled through the wizard. A Print Form action generates a printout matching CRMC's paper layout.</w:t>
      </w:r>
    </w:p>
    <w:p>
      <w:pPr>
        <w:pStyle w:val="BodyofResearch"/>
        <w:keepNext/>
        <w:keepLines/>
        <w:spacing w:before="140" w:after="100"/>
        <w:ind w:left="360"/>
        <w:jc w:val="left"/>
      </w:pPr>
      <w:r>
        <w:rPr>
          <w:b/>
          <w:i/>
        </w:rPr>
        <w:t xml:space="preserve">Scene 23: Endorsement</w:t>
      </w:r>
    </w:p>
    <w:p>
      <w:pPr>
        <w:pStyle w:val="BodyofResearch"/>
        <w:jc w:val="both"/>
      </w:pPr>
      <w:r>
        <w:rPr>
          <w:b w:val="0"/>
        </w:rPr>
        <w:t xml:space="preserve">When the documents are verified, the intake is complete, the coverage is recorded, and the interview outcome is captured, the Endorse button unlocks. The Endorse modal shows the funding summary — bill, PhilHealth first charge, residual endorsable headroom — and lists eligible agencies sorted by best fit, each with its open slots, remaining budget, and per-applicant cap. This is a pure selection: the administrator ticks one or more agencies without entering peso amounts and may attach an optional note that surfaces in each agency's Approve modal. On confirm, one slice per agency is created, each agency's slot is decremented atomically, the document agency-scoping list is stamped, and the patient is notified to review the coverage plan.</w:t>
      </w:r>
    </w:p>
    <w:p>
      <w:pPr>
        <w:pStyle w:val="BodyofResearch"/>
        <w:keepNext/>
        <w:keepLines/>
        <w:spacing w:before="140" w:after="100"/>
        <w:ind w:left="360"/>
        <w:jc w:val="left"/>
      </w:pPr>
      <w:r>
        <w:rPr>
          <w:b/>
          <w:i/>
        </w:rPr>
        <w:t xml:space="preserve">Scene 24: Hospital IDs and Patients</w:t>
      </w:r>
    </w:p>
    <w:p>
      <w:pPr>
        <w:pStyle w:val="BodyofResearch"/>
        <w:jc w:val="both"/>
      </w:pPr>
      <w:r>
        <w:rPr>
          <w:b w:val="0"/>
        </w:rPr>
        <w:t xml:space="preserve">On Hospital IDs the administrator issues and manages Patient Access Codes in the format CRMC-YYYY-NNNNN, with collision-safe bulk creation, QR generation for printing on a patient slip or armband, and atomic revoke and delete. On Patients the administrator searches all registered patients and views their requests, slices, document history, and Hospital ID; personal details are view-only and deactivate and delete actions are audit-logged. A super administrator may commit a permanent erasure, which cascades across every patient-keyed collection and removes the authentication account.</w:t>
      </w:r>
    </w:p>
    <w:p>
      <w:pPr>
        <w:pStyle w:val="BodyofResearch"/>
        <w:keepNext/>
        <w:keepLines/>
        <w:spacing w:before="140" w:after="100"/>
        <w:ind w:left="360"/>
        <w:jc w:val="left"/>
      </w:pPr>
      <w:r>
        <w:rPr>
          <w:b/>
          <w:i/>
        </w:rPr>
        <w:t xml:space="preserve">Scene 25: Agencies</w:t>
      </w:r>
    </w:p>
    <w:p>
      <w:pPr>
        <w:pStyle w:val="BodyofResearch"/>
        <w:jc w:val="both"/>
      </w:pPr>
      <w:r>
        <w:rPr>
          <w:b w:val="0"/>
        </w:rPr>
        <w:t xml:space="preserve">On Agencies the administrator lists all partner agencies; super administrators add new agencies through a step-by-step form. Agency Detail provides the full profile, a read-only budget view, inline team management, and an enable/disable toggle whose confirmation dialog offers two handling methods for in-flight applications — auto-reject without cooldown, or hold pending re-enable — notifying the affected coordinators.</w:t>
      </w:r>
    </w:p>
    <w:p>
      <w:pPr>
        <w:pStyle w:val="BodyofResearch"/>
        <w:keepNext/>
        <w:keepLines/>
        <w:spacing w:before="140" w:after="100"/>
        <w:ind w:left="360"/>
        <w:jc w:val="left"/>
      </w:pPr>
      <w:r>
        <w:rPr>
          <w:b/>
          <w:i/>
        </w:rPr>
        <w:t xml:space="preserve">Scene 26: Logs, Reports, and Export</w:t>
      </w:r>
    </w:p>
    <w:p>
      <w:pPr>
        <w:pStyle w:val="BodyofResearch"/>
        <w:jc w:val="both"/>
      </w:pPr>
      <w:r>
        <w:rPr>
          <w:b w:val="0"/>
        </w:rPr>
        <w:t xml:space="preserve">Application Logs gives a cross-agency view of all applications with co-funding statuses, filters, and CSV export. Reports show aggregate statistics by agency, status, and period along with submitted bug reports. Export is a CSV hub where the administrator selects a data type and date range and previews the data before download.</w:t>
      </w:r>
    </w:p>
    <w:p>
      <w:pPr>
        <w:pStyle w:val="BodyofResearch"/>
        <w:keepNext/>
        <w:keepLines/>
        <w:spacing w:before="140" w:after="100"/>
        <w:ind w:left="360"/>
        <w:jc w:val="left"/>
      </w:pPr>
      <w:r>
        <w:rPr>
          <w:b/>
          <w:i/>
        </w:rPr>
        <w:t xml:space="preserve">Scene 27: Announcements and Audit Log</w:t>
      </w:r>
    </w:p>
    <w:p>
      <w:pPr>
        <w:pStyle w:val="BodyofResearch"/>
        <w:jc w:val="both"/>
      </w:pPr>
      <w:r>
        <w:rPr>
          <w:b w:val="0"/>
        </w:rPr>
        <w:t xml:space="preserve">On Announcements a super or staff administrator creates a system-wide banner (Information, Warning, or Maintenance) with a start and end time, shown to all authenticated users within the window, with a 24-hour-before reminder. The Audit Log, available to super administrators, displays the complete immutable platform-wide history with filters; the collection is append-only and enforced at the Firestore Security Rules level, with the actor identity bound to the authenticated user.</w:t>
      </w:r>
    </w:p>
    <w:p>
      <w:pPr>
        <w:pStyle w:val="BodyofResearch"/>
        <w:keepNext/>
        <w:keepLines/>
        <w:spacing w:before="140" w:after="100"/>
        <w:ind w:left="360"/>
        <w:jc w:val="left"/>
      </w:pPr>
      <w:r>
        <w:rPr>
          <w:b/>
          <w:i/>
        </w:rPr>
        <w:t xml:space="preserve">Scene 28: Admin Accounts, Messages, and Notifications</w:t>
      </w:r>
    </w:p>
    <w:p>
      <w:pPr>
        <w:pStyle w:val="BodyofResearch"/>
        <w:jc w:val="both"/>
      </w:pPr>
      <w:r>
        <w:rPr>
          <w:b w:val="0"/>
        </w:rPr>
        <w:t xml:space="preserve">Admin Accounts, available to super administrators, manages CRMC administrator accounts at super and staff levels, with account creation rolling back the authentication user on a Firestore failure. Each staff account can enrol in two-step verification from the profile menu. The Messages page mirrors the agency two-pane layout with admin-level visibility, and the Notifications page is available to all roles across both interfaces.</w:t>
      </w:r>
    </w:p>
    <w:p>
      <w:r>
        <w:br w:type="page"/>
      </w:r>
    </w:p>
    <w:p>
      <w:pPr>
        <w:pStyle w:val="Heading2"/>
        <w:keepNext/>
        <w:keepLines/>
        <w:spacing w:before="240" w:after="240"/>
        <w:jc w:val="left"/>
      </w:pPr>
      <w:r>
        <w:rPr>
          <w:b/>
        </w:rPr>
        <w:t xml:space="preserve">Development</w:t>
      </w:r>
    </w:p>
    <w:p>
      <w:pPr>
        <w:pStyle w:val="BodyofResearch"/>
        <w:ind w:firstLine="720"/>
        <w:jc w:val="both"/>
      </w:pPr>
      <w:r>
        <w:rPr>
          <w:b w:val="0"/>
        </w:rPr>
        <w:t xml:space="preserve">This section describes how the system was developed: the process model followed, the way the codebase is organized, the standards applied while writing code, and the practices used to keep the system correct and secure as it changed.</w:t>
      </w:r>
    </w:p>
    <w:p>
      <w:pPr>
        <w:pStyle w:val="BodyofResearch"/>
        <w:keepNext/>
        <w:keepLines/>
        <w:spacing w:before="180" w:after="120"/>
        <w:jc w:val="left"/>
      </w:pPr>
      <w:r>
        <w:rPr>
          <w:b/>
        </w:rPr>
        <w:t xml:space="preserve">Development Methodology</w:t>
      </w:r>
    </w:p>
    <w:p>
      <w:pPr>
        <w:pStyle w:val="BodyofResearch"/>
        <w:ind w:firstLine="720"/>
        <w:jc w:val="both"/>
      </w:pPr>
      <w:r>
        <w:rPr>
          <w:b w:val="0"/>
        </w:rPr>
        <w:t xml:space="preserve">The project followed an iterative and incremental development model rather than a single-pass waterfall. This choice was driven by the nature of the problem: the proponents began with an incomplete understanding of how medical financial assistance is actually administered at CRMC, and each round of consultation and defense produced corrections that changed the system's structure, not merely its surface. Development proceeded in increments, each producing a working system that could be demonstrated, criticized, and revised.</w:t>
      </w:r>
    </w:p>
    <w:p>
      <w:pPr>
        <w:pStyle w:val="BodyofResearch"/>
        <w:ind w:firstLine="720"/>
        <w:jc w:val="both"/>
      </w:pPr>
      <w:r>
        <w:rPr>
          <w:b w:val="0"/>
        </w:rPr>
        <w:t xml:space="preserve">Four increments are worth distinguishing. The first, from March to April 2026, produced the initial working platform in which patients applied to each agency separately — a faithful digitization of the existing process. The pre-defense in April 2026 established that digitizing the fragmented process preserved its central defect, and the second increment, from April to May 2026, restructured the platform around the CRMC-gateway co-funding model in which one request is verified once and endorsed to several funders. The third increment, following the final defense and re-defense in May and June 2026, addressed correctness and robustness: a page-by-page review series, the response to a security incident described in the Results and Discussion chapter, and the construction of the automated test suites. The fourth increment, from July to September 2026, reconciled the agency model with Republic Act No. 11463 and the Order of Charging, migrated the backend to a metered service tier so that server-side functions could be deployed, built the self-service interview appointment system, and completed the security hardening.</w:t>
      </w:r>
    </w:p>
    <w:p>
      <w:pPr>
        <w:pStyle w:val="BodyofResearch"/>
        <w:ind w:firstLine="720"/>
        <w:jc w:val="both"/>
      </w:pPr>
      <w:r>
        <w:rPr>
          <w:b w:val="0"/>
        </w:rPr>
        <w:t xml:space="preserve">Two practices shaped the increments. First, each significant change was recorded in a running revision log with the reason for the change stated alongside it, so that a decision made in one increment could be re-examined in the next without reconstructing the reasoning from memory. Second, the proponents adopted the rule that a defect found during review was to be recorded with a description of the incorrect behavior, an explanation of why it was incorrect, and the corrected behavior — a discipline that produced the defect inventory reported in the following chapter.</w:t>
      </w:r>
    </w:p>
    <w:p>
      <w:pPr>
        <w:pStyle w:val="BodyofResearch"/>
        <w:keepNext/>
        <w:keepLines/>
        <w:spacing w:before="180" w:after="120"/>
        <w:jc w:val="left"/>
      </w:pPr>
      <w:r>
        <w:rPr>
          <w:b/>
        </w:rPr>
        <w:t xml:space="preserve">System Development Environment</w:t>
      </w:r>
    </w:p>
    <w:p>
      <w:pPr>
        <w:pStyle w:val="BodyofResearch"/>
        <w:ind w:firstLine="720"/>
        <w:jc w:val="both"/>
      </w:pPr>
      <w:r>
        <w:rPr>
          <w:b w:val="0"/>
        </w:rPr>
        <w:t xml:space="preserve">Development was carried out in Visual Studio Code on Windows 11 with Node.js and npm managing the toolchain. The Vite development server provided hot module replacement against a live Firebase project, and the Firebase Local Emulator Suite hosted a Firestore instance for running the security-rules tests without touching production data. Source control was Git with the repository hosted on GitHub.</w:t>
      </w:r>
    </w:p>
    <w:p>
      <w:pPr>
        <w:pStyle w:val="BodyofResearch"/>
        <w:keepNext/>
        <w:keepLines/>
        <w:spacing w:before="180" w:after="120"/>
        <w:jc w:val="left"/>
      </w:pPr>
      <w:r>
        <w:rPr>
          <w:b/>
        </w:rPr>
        <w:t xml:space="preserve">Code Organization</w:t>
      </w:r>
    </w:p>
    <w:p>
      <w:pPr>
        <w:pStyle w:val="BodyofResearch"/>
        <w:ind w:firstLine="720"/>
        <w:jc w:val="both"/>
      </w:pPr>
      <w:r>
        <w:rPr>
          <w:b w:val="0"/>
        </w:rPr>
        <w:t xml:space="preserve">The codebase follows a role-partitioned structure. React components live under a components directory, with role-specific subdirectories for patient, agency, and admin surfaces and a shared user-interface directory for primitives such as form fields, status badges, and the peso input. Page components live under a pages directory partitioned the same way, plus an auth directory for the public landing, install, login, and registration pages. Firestore queries and pure business logic are grouped in a utils directory, so that the functions driving the funding computation, the request stage derivation, the appointment model, the intake sheet, and the data export are independent of any component and can be tested directly. Cloud Functions live in a separate functions directory, each written as a testable handler with a thin trigger wrapper so the handler can be exercised without deploying. Translations live in a locales directory as two JSON files, one per language.</w:t>
      </w:r>
    </w:p>
    <w:p>
      <w:pPr>
        <w:pStyle w:val="BodyofResearch"/>
        <w:keepNext/>
        <w:keepLines/>
        <w:spacing w:before="180" w:after="120"/>
        <w:jc w:val="left"/>
      </w:pPr>
      <w:r>
        <w:rPr>
          <w:b/>
        </w:rPr>
        <w:t xml:space="preserve">Coding Standards and Conventions</w:t>
      </w:r>
    </w:p>
    <w:p>
      <w:pPr>
        <w:pStyle w:val="BodyofResearch"/>
        <w:numPr>
          <w:ilvl w:val="0"/>
          <w:numId w:val="3"/>
        </w:numPr>
        <w:spacing w:after="120"/>
        <w:ind w:left="1080" w:hanging="360"/>
        <w:jc w:val="both"/>
      </w:pPr>
      <w:r>
        <w:rPr>
          <w:b w:val="0"/>
        </w:rPr>
        <w:t xml:space="preserve">All administrative actions call a shared audit-logging utility, so that the audit trail is a property of the action rather than something each page remembers to do.</w:t>
      </w:r>
    </w:p>
    <w:p>
      <w:pPr>
        <w:pStyle w:val="BodyofResearch"/>
        <w:numPr>
          <w:ilvl w:val="0"/>
          <w:numId w:val="3"/>
        </w:numPr>
        <w:spacing w:after="120"/>
        <w:ind w:left="1080" w:hanging="360"/>
        <w:jc w:val="both"/>
      </w:pPr>
      <w:r>
        <w:rPr>
          <w:b w:val="0"/>
        </w:rPr>
        <w:t xml:space="preserve">All notifications are emitted through a single notify utility that writes the in-app record and dispatches the email, with SMS available as an explicit opt-in per call.</w:t>
      </w:r>
    </w:p>
    <w:p>
      <w:pPr>
        <w:pStyle w:val="BodyofResearch"/>
        <w:numPr>
          <w:ilvl w:val="0"/>
          <w:numId w:val="3"/>
        </w:numPr>
        <w:spacing w:after="120"/>
        <w:ind w:left="1080" w:hanging="360"/>
        <w:jc w:val="both"/>
      </w:pPr>
      <w:r>
        <w:rPr>
          <w:b w:val="0"/>
        </w:rPr>
        <w:t xml:space="preserve">Styling uses Tailwind utility classes exclusively; no inline styles are used, so that spacing, color, and typography remain governed by the shared configuration.</w:t>
      </w:r>
    </w:p>
    <w:p>
      <w:pPr>
        <w:pStyle w:val="BodyofResearch"/>
        <w:numPr>
          <w:ilvl w:val="0"/>
          <w:numId w:val="3"/>
        </w:numPr>
        <w:spacing w:after="120"/>
        <w:ind w:left="1080" w:hanging="360"/>
        <w:jc w:val="both"/>
      </w:pPr>
      <w:r>
        <w:rPr>
          <w:b w:val="0"/>
        </w:rPr>
        <w:t xml:space="preserve">Patient-facing strings are externalized as translation keys rather than written inline, and an automated lint rule enforces this across the patient pages, patient components, and the shared shell components patients see.</w:t>
      </w:r>
    </w:p>
    <w:p>
      <w:pPr>
        <w:pStyle w:val="BodyofResearch"/>
        <w:numPr>
          <w:ilvl w:val="0"/>
          <w:numId w:val="3"/>
        </w:numPr>
        <w:spacing w:after="120"/>
        <w:ind w:left="1080" w:hanging="360"/>
        <w:jc w:val="both"/>
      </w:pPr>
      <w:r>
        <w:rPr>
          <w:b w:val="0"/>
        </w:rPr>
        <w:t xml:space="preserve">Patient-facing interactive elements are built to a 44-pixel minimum touch target, and hover-only interactions are avoided on surfaces that patients use on a phone.</w:t>
      </w:r>
    </w:p>
    <w:p>
      <w:pPr>
        <w:pStyle w:val="BodyofResearch"/>
        <w:numPr>
          <w:ilvl w:val="0"/>
          <w:numId w:val="3"/>
        </w:numPr>
        <w:spacing w:after="120"/>
        <w:ind w:left="1080" w:hanging="360"/>
        <w:jc w:val="both"/>
      </w:pPr>
      <w:r>
        <w:rPr>
          <w:b w:val="0"/>
        </w:rPr>
        <w:t xml:space="preserve">Multi-document writes that must not partially apply — endorsement, approval, registration, the Proceed batch, and Hospital ID revocation — are written as Firestore transactions or batched writes rather than sequential updates.</w:t>
      </w:r>
    </w:p>
    <w:p>
      <w:pPr>
        <w:pStyle w:val="BodyofResearch"/>
        <w:numPr>
          <w:ilvl w:val="0"/>
          <w:numId w:val="3"/>
        </w:numPr>
        <w:spacing w:after="120"/>
        <w:ind w:left="1080" w:hanging="360"/>
        <w:jc w:val="both"/>
      </w:pPr>
      <w:r>
        <w:rPr>
          <w:b w:val="0"/>
        </w:rPr>
        <w:t xml:space="preserve">Real-time listeners are always registered with an error callback, so that a permission failure clears the loading state and reports the error instead of leaving the interface indefinitely in a loading state.</w:t>
      </w:r>
    </w:p>
    <w:p>
      <w:pPr>
        <w:pStyle w:val="BodyofResearch"/>
        <w:keepNext/>
        <w:keepLines/>
        <w:spacing w:before="180" w:after="120"/>
        <w:jc w:val="left"/>
      </w:pPr>
      <w:r>
        <w:rPr>
          <w:b/>
        </w:rPr>
        <w:t xml:space="preserve">Version Control and Continuous Integration</w:t>
      </w:r>
    </w:p>
    <w:p>
      <w:pPr>
        <w:pStyle w:val="BodyofResearch"/>
        <w:ind w:firstLine="720"/>
        <w:jc w:val="both"/>
      </w:pPr>
      <w:r>
        <w:rPr>
          <w:b w:val="0"/>
        </w:rPr>
        <w:t xml:space="preserve">The project uses Git with a single main branch for released work and feature branches for larger changes. A pre-commit hook runs the unit test suite before every commit, so that a broken utility cannot enter the history unnoticed. GitHub Actions runs the full pipeline — production build, unit tests, component tests, Cloud Function tests, security-rules tests, an end-to-end browser smoke suite, and a dependency vulnerability check — on every push to main and every pull request. A separate workflow gates the deployment of Firestore Security Rules on the rules test suite passing, so that a rule change cannot reach production without its tests. Vercel deploys the frontend automatically on every push to main, and Dependabot raises pull requests for vulnerable dependencies.</w:t>
      </w:r>
    </w:p>
    <w:p>
      <w:pPr>
        <w:pStyle w:val="BodyofResearch"/>
        <w:keepNext/>
        <w:keepLines/>
        <w:spacing w:before="180" w:after="120"/>
        <w:jc w:val="left"/>
      </w:pPr>
      <w:r>
        <w:rPr>
          <w:b/>
        </w:rPr>
        <w:t xml:space="preserve">Security Development Practices</w:t>
      </w:r>
    </w:p>
    <w:p>
      <w:pPr>
        <w:pStyle w:val="BodyofResearch"/>
        <w:ind w:firstLine="720"/>
        <w:jc w:val="both"/>
      </w:pPr>
      <w:r>
        <w:rPr>
          <w:b w:val="0"/>
        </w:rPr>
        <w:t xml:space="preserve">Three practices govern how security-relevant code is written. First, authorization is expressed in Firestore Security Rules rather than in the user interface, on the principle that the interface is a convenience and the rules are the boundary; a rule that would allow a write the interface never performs is treated as a defect even though no screen exercises it. Second, every rule that grants a write is accompanied by a test that attempts the write it is meant to forbid, and the security incident described in the following chapter was closed by adding, for each hardened rule, a regression test that replays the original attack. Third, credentials are never placed in the client bundle: outbound electronic mail and SMS are relayed through serverless functions that hold the credentials on the server and verify the caller's Firebase identity token, rejecting anonymous sessions, before relaying anything.</w:t>
      </w:r>
    </w:p>
    <w:p>
      <w:pPr>
        <w:pStyle w:val="BodyofResearch"/>
        <w:keepNext/>
        <w:keepLines/>
        <w:spacing w:before="180" w:after="120"/>
        <w:jc w:val="left"/>
      </w:pPr>
      <w:r>
        <w:rPr>
          <w:b/>
        </w:rPr>
        <w:t xml:space="preserve">Deployment</w:t>
      </w:r>
    </w:p>
    <w:p>
      <w:pPr>
        <w:pStyle w:val="BodyofResearch"/>
        <w:ind w:firstLine="720"/>
        <w:jc w:val="both"/>
      </w:pPr>
      <w:r>
        <w:rPr>
          <w:b w:val="0"/>
        </w:rPr>
        <w:t xml:space="preserve">The production system is deployed as a static frontend on Vercel's content delivery network with two serverless relay functions, a Cloud Firestore database with deployed security rules and composite indexes, seven Cloud Functions in the asia-southeast1 region, Firebase Authentication with Identity Platform multi-factor authentication for staff roles, and Firebase App Check in monitor mode. Scheduled Firestore backups are enabled. Environment configuration — the SMTP credentials, the SMS gateway key, the App Check site key, and the error tracking endpoint — is held in Vercel environment variables rather than in the repository, and each integration is written to no-op safely when its variable is unset, so that a missing credential degrades one channel rather than breaking the system.</w:t>
      </w:r>
    </w:p>
    <w:p>
      <w:pPr>
        <w:pStyle w:val="Heading1"/>
        <w:spacing w:before="0" w:after="360"/>
        <w:jc w:val="center"/>
      </w:pPr>
      <w:r>
        <w:rPr>
          <w:b/>
        </w:rPr>
        <w:t xml:space="preserve">Results and Discussion</w:t>
      </w:r>
    </w:p>
    <w:p>
      <w:pPr>
        <w:pStyle w:val="Heading2"/>
        <w:keepNext/>
        <w:keepLines/>
        <w:spacing w:before="240" w:after="240"/>
        <w:jc w:val="left"/>
      </w:pPr>
      <w:r>
        <w:rPr>
          <w:b/>
        </w:rPr>
        <w:t xml:space="preserve">Testing</w:t>
      </w:r>
    </w:p>
    <w:p>
      <w:pPr>
        <w:pStyle w:val="BodyofResearch"/>
        <w:ind w:firstLine="720"/>
        <w:jc w:val="both"/>
      </w:pPr>
      <w:r>
        <w:rPr>
          <w:b w:val="0"/>
        </w:rPr>
        <w:t xml:space="preserve">This section presents the verification performed on MAPA and the results obtained. Verification combined four methods: an automated regression suite executed on every change, scenario-based manual testing on real devices, a structured read-pass review of every page in the system, and a security incident response that produced its own regression tests. Each is reported below with the results it produced.</w:t>
      </w:r>
    </w:p>
    <w:p>
      <w:pPr>
        <w:pStyle w:val="BodyofResearch"/>
        <w:keepNext/>
        <w:keepLines/>
        <w:spacing w:before="180" w:after="120"/>
        <w:jc w:val="left"/>
      </w:pPr>
      <w:r>
        <w:rPr>
          <w:b/>
        </w:rPr>
        <w:t xml:space="preserve">Testing Approach</w:t>
      </w:r>
    </w:p>
    <w:p>
      <w:pPr>
        <w:pStyle w:val="BodyofResearch"/>
        <w:ind w:firstLine="720"/>
        <w:jc w:val="both"/>
      </w:pPr>
      <w:r>
        <w:rPr>
          <w:b w:val="0"/>
        </w:rPr>
        <w:t xml:space="preserve">Testing was organized around the observation that the riskiest part of MAPA is not its user interface but its money arithmetic and its authorization boundary. A miscomputed funding tally produces a Guarantee Letter for an amount the patient does not owe; a permissive security rule exposes patient records regardless of what the interface shows. The test strategy therefore weights these two areas most heavily: the pure functions that compute funding, request stage, and eligibility are covered by unit tests, and every write-side security rule is covered by a test that attempts the write the rule is meant to forbid.</w:t>
      </w:r>
    </w:p>
    <w:p>
      <w:pPr>
        <w:pStyle w:val="BodyofResearch"/>
        <w:ind w:firstLine="720"/>
        <w:jc w:val="both"/>
      </w:pPr>
      <w:r>
        <w:rPr>
          <w:b w:val="0"/>
        </w:rPr>
        <w:t xml:space="preserve">Four automated suites are complemented by an end-to-end browser smoke suite. All are executed by continuous integration on every push and every pull request, and the unit suite additionally runs in a pre-commit hook. Table 9 presents the suites and their results.</w:t>
      </w:r>
    </w:p>
    <w:p>
      <w:pPr>
        <w:pStyle w:val="BodyofResearch"/>
        <w:keepNext/>
        <w:keepLines/>
        <w:spacing w:before="180" w:after="60"/>
        <w:jc w:val="left"/>
      </w:pPr>
      <w:r>
        <w:rPr>
          <w:b w:val="0"/>
          <w:i/>
        </w:rPr>
        <w:t xml:space="preserve">Table 9. Automated Test Suites and Results</w:t>
      </w:r>
    </w:p>
    <w:tbl>
      <w:tblPr>
        <w:tblStyle w:val="TableGrid"/>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6" w:type="dxa"/>
          <w:bottom w:w="40" w:type="dxa"/>
          <w:right w:w="86" w:type="dxa"/>
        </w:tblCellMar>
        <w:tblLook w:val="04A0" w:firstRow="1" w:lastRow="0" w:firstColumn="1" w:lastColumn="0" w:noHBand="0" w:noVBand="1"/>
      </w:tblPr>
      <w:tblGrid>
        <w:gridCol w:w="1750"/>
        <w:gridCol w:w="5000"/>
        <w:gridCol w:w="1150"/>
        <w:gridCol w:w="1500"/>
      </w:tblGrid>
      <w:tr>
        <w:trPr>
          <w:tblHeader/>
          <w:cantSplit/>
        </w:trPr>
        <w:tc>
          <w:tcPr>
            <w:tcW w:w="1750" w:type="dxa"/>
            <w:vAlign w:val="center"/>
          </w:tcPr>
          <w:p>
            <w:pPr>
              <w:spacing w:after="0" w:line="240" w:lineRule="auto"/>
              <w:jc w:val="center"/>
            </w:pPr>
            <w:r>
              <w:rPr>
                <w:b/>
                <w:sz w:val="20"/>
                <w:szCs w:val="20"/>
              </w:rPr>
              <w:t xml:space="preserve">Suite</w:t>
            </w:r>
          </w:p>
        </w:tc>
        <w:tc>
          <w:tcPr>
            <w:tcW w:w="5000" w:type="dxa"/>
            <w:vAlign w:val="center"/>
          </w:tcPr>
          <w:p>
            <w:pPr>
              <w:spacing w:after="0" w:line="240" w:lineRule="auto"/>
              <w:jc w:val="center"/>
            </w:pPr>
            <w:r>
              <w:rPr>
                <w:b/>
                <w:sz w:val="20"/>
                <w:szCs w:val="20"/>
              </w:rPr>
              <w:t xml:space="preserve">Scope</w:t>
            </w:r>
          </w:p>
        </w:tc>
        <w:tc>
          <w:tcPr>
            <w:tcW w:w="1150" w:type="dxa"/>
            <w:vAlign w:val="center"/>
          </w:tcPr>
          <w:p>
            <w:pPr>
              <w:spacing w:after="0" w:line="240" w:lineRule="auto"/>
              <w:jc w:val="center"/>
            </w:pPr>
            <w:r>
              <w:rPr>
                <w:b/>
                <w:sz w:val="20"/>
                <w:szCs w:val="20"/>
              </w:rPr>
              <w:t xml:space="preserve">Tests</w:t>
            </w:r>
          </w:p>
        </w:tc>
        <w:tc>
          <w:tcPr>
            <w:tcW w:w="1500" w:type="dxa"/>
            <w:vAlign w:val="center"/>
          </w:tcPr>
          <w:p>
            <w:pPr>
              <w:spacing w:after="0" w:line="240" w:lineRule="auto"/>
              <w:jc w:val="center"/>
            </w:pPr>
            <w:r>
              <w:rPr>
                <w:b/>
                <w:sz w:val="20"/>
                <w:szCs w:val="20"/>
              </w:rPr>
              <w:t xml:space="preserve">Result</w:t>
            </w:r>
          </w:p>
        </w:tc>
      </w:tr>
      <w:tr>
        <w:tc>
          <w:tcPr>
            <w:tcW w:w="1750" w:type="dxa"/>
            <w:vAlign w:val="center"/>
          </w:tcPr>
          <w:p>
            <w:pPr>
              <w:spacing w:after="0" w:line="240" w:lineRule="auto"/>
              <w:jc w:val="center"/>
            </w:pPr>
            <w:r>
              <w:rPr>
                <w:b w:val="0"/>
                <w:sz w:val="20"/>
                <w:szCs w:val="20"/>
              </w:rPr>
              <w:t xml:space="preserve">Unit (utils)</w:t>
            </w:r>
          </w:p>
        </w:tc>
        <w:tc>
          <w:tcPr>
            <w:tcW w:w="5000" w:type="dxa"/>
            <w:vAlign w:val="center"/>
          </w:tcPr>
          <w:p>
            <w:pPr>
              <w:spacing w:after="0" w:line="240" w:lineRule="auto"/>
              <w:jc w:val="left"/>
            </w:pPr>
            <w:r>
              <w:rPr>
                <w:b w:val="0"/>
                <w:sz w:val="20"/>
                <w:szCs w:val="20"/>
              </w:rPr>
              <w:t xml:space="preserve">Pure business logic: funding computation, request stage derivation, appointment and slot model, intake sheet assembly, queue bucketing, service-level computation, name handling, date handling, analytics aggregation, and data export.</w:t>
            </w:r>
          </w:p>
        </w:tc>
        <w:tc>
          <w:tcPr>
            <w:tcW w:w="1150" w:type="dxa"/>
            <w:vAlign w:val="center"/>
          </w:tcPr>
          <w:p>
            <w:pPr>
              <w:spacing w:after="0" w:line="240" w:lineRule="auto"/>
              <w:jc w:val="left"/>
            </w:pPr>
            <w:r>
              <w:rPr>
                <w:b w:val="0"/>
                <w:sz w:val="20"/>
                <w:szCs w:val="20"/>
              </w:rPr>
              <w:t xml:space="preserve">35</w:t>
            </w:r>
          </w:p>
        </w:tc>
        <w:tc>
          <w:tcPr>
            <w:tcW w:w="1500" w:type="dxa"/>
            <w:vAlign w:val="center"/>
          </w:tcPr>
          <w:p>
            <w:pPr>
              <w:spacing w:after="0" w:line="240" w:lineRule="auto"/>
              <w:jc w:val="center"/>
            </w:pPr>
            <w:r>
              <w:rPr>
                <w:b w:val="0"/>
                <w:sz w:val="20"/>
                <w:szCs w:val="20"/>
              </w:rPr>
              <w:t xml:space="preserve">Pass</w:t>
            </w:r>
          </w:p>
        </w:tc>
      </w:tr>
      <w:tr>
        <w:tc>
          <w:tcPr>
            <w:tcW w:w="1750" w:type="dxa"/>
            <w:vAlign w:val="center"/>
          </w:tcPr>
          <w:p>
            <w:pPr>
              <w:spacing w:after="0" w:line="240" w:lineRule="auto"/>
              <w:jc w:val="center"/>
            </w:pPr>
            <w:r>
              <w:rPr>
                <w:b w:val="0"/>
                <w:sz w:val="20"/>
                <w:szCs w:val="20"/>
              </w:rPr>
              <w:t xml:space="preserve">Component</w:t>
            </w:r>
          </w:p>
        </w:tc>
        <w:tc>
          <w:tcPr>
            <w:tcW w:w="5000" w:type="dxa"/>
            <w:vAlign w:val="center"/>
          </w:tcPr>
          <w:p>
            <w:pPr>
              <w:spacing w:after="0" w:line="240" w:lineRule="auto"/>
              <w:jc w:val="left"/>
            </w:pPr>
            <w:r>
              <w:rPr>
                <w:b w:val="0"/>
                <w:sz w:val="20"/>
                <w:szCs w:val="20"/>
              </w:rPr>
              <w:t xml:space="preserve">Rendered behavior of user-interface components under jsdom with React Testing Library: address picker, admin queue, agency capacity overview, announcement feed, assessment snapshot, case timeline, charts, command palette, compose modals, conversation thread, path-to-zero-balance panel, patient access log, peso input, pipeline funnel, request stage rail, and referral suggestion modal.</w:t>
            </w:r>
          </w:p>
        </w:tc>
        <w:tc>
          <w:tcPr>
            <w:tcW w:w="1150" w:type="dxa"/>
            <w:vAlign w:val="center"/>
          </w:tcPr>
          <w:p>
            <w:pPr>
              <w:spacing w:after="0" w:line="240" w:lineRule="auto"/>
              <w:jc w:val="left"/>
            </w:pPr>
            <w:r>
              <w:rPr>
                <w:b w:val="0"/>
                <w:sz w:val="20"/>
                <w:szCs w:val="20"/>
              </w:rPr>
              <w:t xml:space="preserve">64</w:t>
            </w:r>
          </w:p>
        </w:tc>
        <w:tc>
          <w:tcPr>
            <w:tcW w:w="1500" w:type="dxa"/>
            <w:vAlign w:val="center"/>
          </w:tcPr>
          <w:p>
            <w:pPr>
              <w:spacing w:after="0" w:line="240" w:lineRule="auto"/>
              <w:jc w:val="center"/>
            </w:pPr>
            <w:r>
              <w:rPr>
                <w:b w:val="0"/>
                <w:sz w:val="20"/>
                <w:szCs w:val="20"/>
              </w:rPr>
              <w:t xml:space="preserve">Pass</w:t>
            </w:r>
          </w:p>
        </w:tc>
      </w:tr>
      <w:tr>
        <w:tc>
          <w:tcPr>
            <w:tcW w:w="1750" w:type="dxa"/>
            <w:vAlign w:val="center"/>
          </w:tcPr>
          <w:p>
            <w:pPr>
              <w:spacing w:after="0" w:line="240" w:lineRule="auto"/>
              <w:jc w:val="center"/>
            </w:pPr>
            <w:r>
              <w:rPr>
                <w:b w:val="0"/>
                <w:sz w:val="20"/>
                <w:szCs w:val="20"/>
              </w:rPr>
              <w:t xml:space="preserve">Cloud Functions</w:t>
            </w:r>
          </w:p>
        </w:tc>
        <w:tc>
          <w:tcPr>
            <w:tcW w:w="5000" w:type="dxa"/>
            <w:vAlign w:val="center"/>
          </w:tcPr>
          <w:p>
            <w:pPr>
              <w:spacing w:after="0" w:line="240" w:lineRule="auto"/>
              <w:jc w:val="left"/>
            </w:pPr>
            <w:r>
              <w:rPr>
                <w:b w:val="0"/>
                <w:sz w:val="20"/>
                <w:szCs w:val="20"/>
              </w:rPr>
              <w:t xml:space="preserve">Server-side handlers exercised without deployment: access code verification and throttling, request financial synchronization, interview slot write handling and queue assignment, interview reminders, agency slot reset, Guarantee Letter expiry sweep, and authentication account deletion.</w:t>
            </w:r>
          </w:p>
        </w:tc>
        <w:tc>
          <w:tcPr>
            <w:tcW w:w="1150" w:type="dxa"/>
            <w:vAlign w:val="center"/>
          </w:tcPr>
          <w:p>
            <w:pPr>
              <w:spacing w:after="0" w:line="240" w:lineRule="auto"/>
              <w:jc w:val="left"/>
            </w:pPr>
            <w:r>
              <w:rPr>
                <w:b w:val="0"/>
                <w:sz w:val="20"/>
                <w:szCs w:val="20"/>
              </w:rPr>
              <w:t xml:space="preserve">49</w:t>
            </w:r>
          </w:p>
        </w:tc>
        <w:tc>
          <w:tcPr>
            <w:tcW w:w="1500" w:type="dxa"/>
            <w:vAlign w:val="center"/>
          </w:tcPr>
          <w:p>
            <w:pPr>
              <w:spacing w:after="0" w:line="240" w:lineRule="auto"/>
              <w:jc w:val="center"/>
            </w:pPr>
            <w:r>
              <w:rPr>
                <w:b w:val="0"/>
                <w:sz w:val="20"/>
                <w:szCs w:val="20"/>
              </w:rPr>
              <w:t xml:space="preserve">Pass</w:t>
            </w:r>
          </w:p>
        </w:tc>
      </w:tr>
      <w:tr>
        <w:tc>
          <w:tcPr>
            <w:tcW w:w="1750" w:type="dxa"/>
            <w:vAlign w:val="center"/>
          </w:tcPr>
          <w:p>
            <w:pPr>
              <w:spacing w:after="0" w:line="240" w:lineRule="auto"/>
              <w:jc w:val="center"/>
            </w:pPr>
            <w:r>
              <w:rPr>
                <w:b w:val="0"/>
                <w:sz w:val="20"/>
                <w:szCs w:val="20"/>
              </w:rPr>
              <w:t xml:space="preserve">Security Rules</w:t>
            </w:r>
          </w:p>
        </w:tc>
        <w:tc>
          <w:tcPr>
            <w:tcW w:w="5000" w:type="dxa"/>
            <w:vAlign w:val="center"/>
          </w:tcPr>
          <w:p>
            <w:pPr>
              <w:spacing w:after="0" w:line="240" w:lineRule="auto"/>
              <w:jc w:val="left"/>
            </w:pPr>
            <w:r>
              <w:rPr>
                <w:b w:val="0"/>
                <w:sz w:val="20"/>
                <w:szCs w:val="20"/>
              </w:rPr>
              <w:t xml:space="preserve">Every write-side constraint exercised against the Firestore emulator across the audit log, certificates, documents and document contents, hospital IDs, interview slots, messages, reports, users, and the consolidated write-sink suite.</w:t>
            </w:r>
          </w:p>
        </w:tc>
        <w:tc>
          <w:tcPr>
            <w:tcW w:w="1150" w:type="dxa"/>
            <w:vAlign w:val="center"/>
          </w:tcPr>
          <w:p>
            <w:pPr>
              <w:spacing w:after="0" w:line="240" w:lineRule="auto"/>
              <w:jc w:val="left"/>
            </w:pPr>
            <w:r>
              <w:rPr>
                <w:b w:val="0"/>
                <w:sz w:val="20"/>
                <w:szCs w:val="20"/>
              </w:rPr>
              <w:t xml:space="preserve">138</w:t>
            </w:r>
          </w:p>
        </w:tc>
        <w:tc>
          <w:tcPr>
            <w:tcW w:w="1500" w:type="dxa"/>
            <w:vAlign w:val="center"/>
          </w:tcPr>
          <w:p>
            <w:pPr>
              <w:spacing w:after="0" w:line="240" w:lineRule="auto"/>
              <w:jc w:val="center"/>
            </w:pPr>
            <w:r>
              <w:rPr>
                <w:b w:val="0"/>
                <w:sz w:val="20"/>
                <w:szCs w:val="20"/>
              </w:rPr>
              <w:t xml:space="preserve">Pass</w:t>
            </w:r>
          </w:p>
        </w:tc>
      </w:tr>
      <w:tr>
        <w:tc>
          <w:tcPr>
            <w:tcW w:w="1750" w:type="dxa"/>
            <w:vAlign w:val="center"/>
          </w:tcPr>
          <w:p>
            <w:pPr>
              <w:spacing w:after="0" w:line="240" w:lineRule="auto"/>
              <w:jc w:val="center"/>
            </w:pPr>
            <w:r>
              <w:rPr>
                <w:b w:val="0"/>
                <w:sz w:val="20"/>
                <w:szCs w:val="20"/>
              </w:rPr>
              <w:t xml:space="preserve">Total automated</w:t>
            </w:r>
          </w:p>
        </w:tc>
        <w:tc>
          <w:tcPr>
            <w:tcW w:w="5000" w:type="dxa"/>
            <w:vAlign w:val="center"/>
          </w:tcPr>
          <w:p>
            <w:pPr>
              <w:spacing w:after="0" w:line="240" w:lineRule="auto"/>
              <w:jc w:val="left"/>
            </w:pPr>
            <w:r>
              <w:rPr>
                <w:b w:val="0"/>
              </w:rPr>
              <w:t xml:space="preserve"/>
            </w:r>
          </w:p>
        </w:tc>
        <w:tc>
          <w:tcPr>
            <w:tcW w:w="1150" w:type="dxa"/>
            <w:vAlign w:val="center"/>
          </w:tcPr>
          <w:p>
            <w:pPr>
              <w:spacing w:after="0" w:line="240" w:lineRule="auto"/>
              <w:jc w:val="left"/>
            </w:pPr>
            <w:r>
              <w:rPr>
                <w:b w:val="0"/>
                <w:sz w:val="20"/>
                <w:szCs w:val="20"/>
              </w:rPr>
              <w:t xml:space="preserve">286</w:t>
            </w:r>
          </w:p>
        </w:tc>
        <w:tc>
          <w:tcPr>
            <w:tcW w:w="1500" w:type="dxa"/>
            <w:vAlign w:val="center"/>
          </w:tcPr>
          <w:p>
            <w:pPr>
              <w:spacing w:after="0" w:line="240" w:lineRule="auto"/>
              <w:jc w:val="center"/>
            </w:pPr>
            <w:r>
              <w:rPr>
                <w:b w:val="0"/>
                <w:sz w:val="20"/>
                <w:szCs w:val="20"/>
              </w:rPr>
              <w:t xml:space="preserve">Pass</w:t>
            </w:r>
          </w:p>
        </w:tc>
      </w:tr>
      <w:tr>
        <w:tc>
          <w:tcPr>
            <w:tcW w:w="1750" w:type="dxa"/>
            <w:vAlign w:val="center"/>
          </w:tcPr>
          <w:p>
            <w:pPr>
              <w:spacing w:after="0" w:line="240" w:lineRule="auto"/>
              <w:jc w:val="center"/>
            </w:pPr>
            <w:r>
              <w:rPr>
                <w:b w:val="0"/>
                <w:sz w:val="20"/>
                <w:szCs w:val="20"/>
              </w:rPr>
              <w:t xml:space="preserve">End-to-end (Playwright)</w:t>
            </w:r>
          </w:p>
        </w:tc>
        <w:tc>
          <w:tcPr>
            <w:tcW w:w="5000" w:type="dxa"/>
            <w:vAlign w:val="center"/>
          </w:tcPr>
          <w:p>
            <w:pPr>
              <w:spacing w:after="0" w:line="240" w:lineRule="auto"/>
              <w:jc w:val="left"/>
            </w:pPr>
            <w:r>
              <w:rPr>
                <w:b w:val="0"/>
                <w:sz w:val="20"/>
                <w:szCs w:val="20"/>
              </w:rPr>
              <w:t xml:space="preserve">Browser smoke suite over the public routes — landing, login, register, and install — catching blank-screen and routing regressions.</w:t>
            </w:r>
          </w:p>
        </w:tc>
        <w:tc>
          <w:tcPr>
            <w:tcW w:w="1150" w:type="dxa"/>
            <w:vAlign w:val="center"/>
          </w:tcPr>
          <w:p>
            <w:pPr>
              <w:spacing w:after="0" w:line="240" w:lineRule="auto"/>
              <w:jc w:val="left"/>
            </w:pPr>
            <w:r>
              <w:rPr>
                <w:b w:val="0"/>
                <w:sz w:val="20"/>
                <w:szCs w:val="20"/>
              </w:rPr>
              <w:t xml:space="preserve">Smoke suite</w:t>
            </w:r>
          </w:p>
        </w:tc>
        <w:tc>
          <w:tcPr>
            <w:tcW w:w="1500" w:type="dxa"/>
            <w:vAlign w:val="center"/>
          </w:tcPr>
          <w:p>
            <w:pPr>
              <w:spacing w:after="0" w:line="240" w:lineRule="auto"/>
              <w:jc w:val="center"/>
            </w:pPr>
            <w:r>
              <w:rPr>
                <w:b w:val="0"/>
                <w:sz w:val="20"/>
                <w:szCs w:val="20"/>
              </w:rPr>
              <w:t xml:space="preserve">Pass</w:t>
            </w:r>
          </w:p>
        </w:tc>
      </w:tr>
    </w:tbl>
    <w:p>
      <w:pPr>
        <w:pStyle w:val="BodyofResearch"/>
        <w:spacing w:after="0" w:line="240" w:lineRule="auto"/>
      </w:pPr>
    </w:p>
    <w:p>
      <w:pPr>
        <w:pStyle w:val="BodyofResearch"/>
        <w:ind w:firstLine="720"/>
        <w:jc w:val="both"/>
      </w:pPr>
      <w:r>
        <w:rPr>
          <w:b w:val="0"/>
        </w:rPr>
        <w:t xml:space="preserve">The unit suite completes in approximately one second and the component suite in approximately fifteen; the rules suite takes roughly thirty seconds including emulator startup. The practical significance of these figures is that the full regression net is fast enough to run on every commit rather than being deferred to a nightly build, which is what makes the pre-commit hook viable.</w:t>
      </w:r>
    </w:p>
    <w:p>
      <w:r>
        <w:br w:type="page"/>
      </w:r>
    </w:p>
    <w:p>
      <w:pPr>
        <w:pStyle w:val="BodyofResearch"/>
        <w:keepNext/>
        <w:keepLines/>
        <w:spacing w:before="180" w:after="120"/>
        <w:jc w:val="left"/>
      </w:pPr>
      <w:r>
        <w:rPr>
          <w:b/>
        </w:rPr>
        <w:t xml:space="preserve">Security-Rules Testing</w:t>
      </w:r>
    </w:p>
    <w:p>
      <w:pPr>
        <w:pStyle w:val="BodyofResearch"/>
        <w:ind w:firstLine="720"/>
        <w:jc w:val="both"/>
      </w:pPr>
      <w:r>
        <w:rPr>
          <w:b w:val="0"/>
        </w:rPr>
        <w:t xml:space="preserve">Because Firestore Security Rules constitute the entire server-side authorization surface of the system, they receive the largest share of test coverage. The rules file runs to approximately 930 lines and is deny-by-default: no collection is readable or writable unless a rule explicitly permits it. Each test authenticates as a specific role and attempts an operation, asserting that it either succeeds or is denied. Table 10 presents representative cases from the suite.</w:t>
      </w:r>
    </w:p>
    <w:p>
      <w:pPr>
        <w:pStyle w:val="BodyofResearch"/>
        <w:keepNext/>
        <w:keepLines/>
        <w:spacing w:before="180" w:after="60"/>
        <w:jc w:val="left"/>
      </w:pPr>
      <w:r>
        <w:rPr>
          <w:b w:val="0"/>
          <w:i/>
        </w:rPr>
        <w:t xml:space="preserve">Table 10. Representative Security-Rules Test Cases</w:t>
      </w:r>
    </w:p>
    <w:tbl>
      <w:tblPr>
        <w:tblStyle w:val="TableGrid"/>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6" w:type="dxa"/>
          <w:bottom w:w="40" w:type="dxa"/>
          <w:right w:w="86" w:type="dxa"/>
        </w:tblCellMar>
        <w:tblLook w:val="04A0" w:firstRow="1" w:lastRow="0" w:firstColumn="1" w:lastColumn="0" w:noHBand="0" w:noVBand="1"/>
      </w:tblPr>
      <w:tblGrid>
        <w:gridCol w:w="5900"/>
        <w:gridCol w:w="1750"/>
        <w:gridCol w:w="1750"/>
      </w:tblGrid>
      <w:tr>
        <w:trPr>
          <w:tblHeader/>
          <w:cantSplit/>
        </w:trPr>
        <w:tc>
          <w:tcPr>
            <w:tcW w:w="5900" w:type="dxa"/>
            <w:vAlign w:val="center"/>
          </w:tcPr>
          <w:p>
            <w:pPr>
              <w:spacing w:after="0" w:line="240" w:lineRule="auto"/>
              <w:jc w:val="center"/>
            </w:pPr>
            <w:r>
              <w:rPr>
                <w:b/>
                <w:sz w:val="20"/>
                <w:szCs w:val="20"/>
              </w:rPr>
              <w:t xml:space="preserve">Test case</w:t>
            </w:r>
          </w:p>
        </w:tc>
        <w:tc>
          <w:tcPr>
            <w:tcW w:w="1750" w:type="dxa"/>
            <w:vAlign w:val="center"/>
          </w:tcPr>
          <w:p>
            <w:pPr>
              <w:spacing w:after="0" w:line="240" w:lineRule="auto"/>
              <w:jc w:val="center"/>
            </w:pPr>
            <w:r>
              <w:rPr>
                <w:b/>
                <w:sz w:val="20"/>
                <w:szCs w:val="20"/>
              </w:rPr>
              <w:t xml:space="preserve">Expected</w:t>
            </w:r>
          </w:p>
        </w:tc>
        <w:tc>
          <w:tcPr>
            <w:tcW w:w="1750" w:type="dxa"/>
            <w:vAlign w:val="center"/>
          </w:tcPr>
          <w:p>
            <w:pPr>
              <w:spacing w:after="0" w:line="240" w:lineRule="auto"/>
              <w:jc w:val="center"/>
            </w:pPr>
            <w:r>
              <w:rPr>
                <w:b/>
                <w:sz w:val="20"/>
                <w:szCs w:val="20"/>
              </w:rPr>
              <w:t xml:space="preserve">Result</w:t>
            </w:r>
          </w:p>
        </w:tc>
      </w:tr>
      <w:tr>
        <w:tc>
          <w:tcPr>
            <w:tcW w:w="5900" w:type="dxa"/>
            <w:vAlign w:val="center"/>
          </w:tcPr>
          <w:p>
            <w:pPr>
              <w:spacing w:after="0" w:line="240" w:lineRule="auto"/>
              <w:jc w:val="center"/>
            </w:pPr>
            <w:r>
              <w:rPr>
                <w:b w:val="0"/>
                <w:sz w:val="20"/>
                <w:szCs w:val="20"/>
              </w:rPr>
              <w:t xml:space="preserve">An authenticated user writes an audit log entry naming a different actor</w:t>
            </w:r>
          </w:p>
        </w:tc>
        <w:tc>
          <w:tcPr>
            <w:tcW w:w="1750" w:type="dxa"/>
            <w:vAlign w:val="center"/>
          </w:tcPr>
          <w:p>
            <w:pPr>
              <w:spacing w:after="0" w:line="240" w:lineRule="auto"/>
              <w:jc w:val="left"/>
            </w:pPr>
            <w:r>
              <w:rPr>
                <w:b w:val="0"/>
                <w:sz w:val="20"/>
                <w:szCs w:val="20"/>
              </w:rPr>
              <w:t xml:space="preserve">Denied</w:t>
            </w:r>
          </w:p>
        </w:tc>
        <w:tc>
          <w:tcPr>
            <w:tcW w:w="1750" w:type="dxa"/>
            <w:vAlign w:val="center"/>
          </w:tcPr>
          <w:p>
            <w:pPr>
              <w:spacing w:after="0" w:line="240" w:lineRule="auto"/>
              <w:jc w:val="center"/>
            </w:pPr>
            <w:r>
              <w:rPr>
                <w:b w:val="0"/>
                <w:sz w:val="20"/>
                <w:szCs w:val="20"/>
              </w:rPr>
              <w:t xml:space="preserve">Pass</w:t>
            </w:r>
          </w:p>
        </w:tc>
      </w:tr>
      <w:tr>
        <w:tc>
          <w:tcPr>
            <w:tcW w:w="5900" w:type="dxa"/>
            <w:vAlign w:val="center"/>
          </w:tcPr>
          <w:p>
            <w:pPr>
              <w:spacing w:after="0" w:line="240" w:lineRule="auto"/>
              <w:jc w:val="center"/>
            </w:pPr>
            <w:r>
              <w:rPr>
                <w:b w:val="0"/>
                <w:sz w:val="20"/>
                <w:szCs w:val="20"/>
              </w:rPr>
              <w:t xml:space="preserve">An authenticated user writes an audit log entry naming themselves</w:t>
            </w:r>
          </w:p>
        </w:tc>
        <w:tc>
          <w:tcPr>
            <w:tcW w:w="1750" w:type="dxa"/>
            <w:vAlign w:val="center"/>
          </w:tcPr>
          <w:p>
            <w:pPr>
              <w:spacing w:after="0" w:line="240" w:lineRule="auto"/>
              <w:jc w:val="left"/>
            </w:pPr>
            <w:r>
              <w:rPr>
                <w:b w:val="0"/>
                <w:sz w:val="20"/>
                <w:szCs w:val="20"/>
              </w:rPr>
              <w:t xml:space="preserve">Allowed</w:t>
            </w:r>
          </w:p>
        </w:tc>
        <w:tc>
          <w:tcPr>
            <w:tcW w:w="1750" w:type="dxa"/>
            <w:vAlign w:val="center"/>
          </w:tcPr>
          <w:p>
            <w:pPr>
              <w:spacing w:after="0" w:line="240" w:lineRule="auto"/>
              <w:jc w:val="center"/>
            </w:pPr>
            <w:r>
              <w:rPr>
                <w:b w:val="0"/>
                <w:sz w:val="20"/>
                <w:szCs w:val="20"/>
              </w:rPr>
              <w:t xml:space="preserve">Pass</w:t>
            </w:r>
          </w:p>
        </w:tc>
      </w:tr>
      <w:tr>
        <w:tc>
          <w:tcPr>
            <w:tcW w:w="5900" w:type="dxa"/>
            <w:vAlign w:val="center"/>
          </w:tcPr>
          <w:p>
            <w:pPr>
              <w:spacing w:after="0" w:line="240" w:lineRule="auto"/>
              <w:jc w:val="center"/>
            </w:pPr>
            <w:r>
              <w:rPr>
                <w:b w:val="0"/>
                <w:sz w:val="20"/>
                <w:szCs w:val="20"/>
              </w:rPr>
              <w:t xml:space="preserve">Any user attempts to update or delete an existing audit log entry</w:t>
            </w:r>
          </w:p>
        </w:tc>
        <w:tc>
          <w:tcPr>
            <w:tcW w:w="1750" w:type="dxa"/>
            <w:vAlign w:val="center"/>
          </w:tcPr>
          <w:p>
            <w:pPr>
              <w:spacing w:after="0" w:line="240" w:lineRule="auto"/>
              <w:jc w:val="left"/>
            </w:pPr>
            <w:r>
              <w:rPr>
                <w:b w:val="0"/>
                <w:sz w:val="20"/>
                <w:szCs w:val="20"/>
              </w:rPr>
              <w:t xml:space="preserve">Denied</w:t>
            </w:r>
          </w:p>
        </w:tc>
        <w:tc>
          <w:tcPr>
            <w:tcW w:w="1750" w:type="dxa"/>
            <w:vAlign w:val="center"/>
          </w:tcPr>
          <w:p>
            <w:pPr>
              <w:spacing w:after="0" w:line="240" w:lineRule="auto"/>
              <w:jc w:val="center"/>
            </w:pPr>
            <w:r>
              <w:rPr>
                <w:b w:val="0"/>
                <w:sz w:val="20"/>
                <w:szCs w:val="20"/>
              </w:rPr>
              <w:t xml:space="preserve">Pass</w:t>
            </w:r>
          </w:p>
        </w:tc>
      </w:tr>
      <w:tr>
        <w:tc>
          <w:tcPr>
            <w:tcW w:w="5900" w:type="dxa"/>
            <w:vAlign w:val="center"/>
          </w:tcPr>
          <w:p>
            <w:pPr>
              <w:spacing w:after="0" w:line="240" w:lineRule="auto"/>
              <w:jc w:val="center"/>
            </w:pPr>
            <w:r>
              <w:rPr>
                <w:b w:val="0"/>
                <w:sz w:val="20"/>
                <w:szCs w:val="20"/>
              </w:rPr>
              <w:t xml:space="preserve">A patient uploads a document pre-stamped with an agency scoping list</w:t>
            </w:r>
          </w:p>
        </w:tc>
        <w:tc>
          <w:tcPr>
            <w:tcW w:w="1750" w:type="dxa"/>
            <w:vAlign w:val="center"/>
          </w:tcPr>
          <w:p>
            <w:pPr>
              <w:spacing w:after="0" w:line="240" w:lineRule="auto"/>
              <w:jc w:val="left"/>
            </w:pPr>
            <w:r>
              <w:rPr>
                <w:b w:val="0"/>
                <w:sz w:val="20"/>
                <w:szCs w:val="20"/>
              </w:rPr>
              <w:t xml:space="preserve">Denied</w:t>
            </w:r>
          </w:p>
        </w:tc>
        <w:tc>
          <w:tcPr>
            <w:tcW w:w="1750" w:type="dxa"/>
            <w:vAlign w:val="center"/>
          </w:tcPr>
          <w:p>
            <w:pPr>
              <w:spacing w:after="0" w:line="240" w:lineRule="auto"/>
              <w:jc w:val="center"/>
            </w:pPr>
            <w:r>
              <w:rPr>
                <w:b w:val="0"/>
                <w:sz w:val="20"/>
                <w:szCs w:val="20"/>
              </w:rPr>
              <w:t xml:space="preserve">Pass</w:t>
            </w:r>
          </w:p>
        </w:tc>
      </w:tr>
      <w:tr>
        <w:tc>
          <w:tcPr>
            <w:tcW w:w="5900" w:type="dxa"/>
            <w:vAlign w:val="center"/>
          </w:tcPr>
          <w:p>
            <w:pPr>
              <w:spacing w:after="0" w:line="240" w:lineRule="auto"/>
              <w:jc w:val="center"/>
            </w:pPr>
            <w:r>
              <w:rPr>
                <w:b w:val="0"/>
                <w:sz w:val="20"/>
                <w:szCs w:val="20"/>
              </w:rPr>
              <w:t xml:space="preserve">A patient marks their own document as verified</w:t>
            </w:r>
          </w:p>
        </w:tc>
        <w:tc>
          <w:tcPr>
            <w:tcW w:w="1750" w:type="dxa"/>
            <w:vAlign w:val="center"/>
          </w:tcPr>
          <w:p>
            <w:pPr>
              <w:spacing w:after="0" w:line="240" w:lineRule="auto"/>
              <w:jc w:val="left"/>
            </w:pPr>
            <w:r>
              <w:rPr>
                <w:b w:val="0"/>
                <w:sz w:val="20"/>
                <w:szCs w:val="20"/>
              </w:rPr>
              <w:t xml:space="preserve">Denied</w:t>
            </w:r>
          </w:p>
        </w:tc>
        <w:tc>
          <w:tcPr>
            <w:tcW w:w="1750" w:type="dxa"/>
            <w:vAlign w:val="center"/>
          </w:tcPr>
          <w:p>
            <w:pPr>
              <w:spacing w:after="0" w:line="240" w:lineRule="auto"/>
              <w:jc w:val="center"/>
            </w:pPr>
            <w:r>
              <w:rPr>
                <w:b w:val="0"/>
                <w:sz w:val="20"/>
                <w:szCs w:val="20"/>
              </w:rPr>
              <w:t xml:space="preserve">Pass</w:t>
            </w:r>
          </w:p>
        </w:tc>
      </w:tr>
      <w:tr>
        <w:tc>
          <w:tcPr>
            <w:tcW w:w="5900" w:type="dxa"/>
            <w:vAlign w:val="center"/>
          </w:tcPr>
          <w:p>
            <w:pPr>
              <w:spacing w:after="0" w:line="240" w:lineRule="auto"/>
              <w:jc w:val="center"/>
            </w:pPr>
            <w:r>
              <w:rPr>
                <w:b w:val="0"/>
                <w:sz w:val="20"/>
                <w:szCs w:val="20"/>
              </w:rPr>
              <w:t xml:space="preserve">An agency reads a certificate belonging to a different agency</w:t>
            </w:r>
          </w:p>
        </w:tc>
        <w:tc>
          <w:tcPr>
            <w:tcW w:w="1750" w:type="dxa"/>
            <w:vAlign w:val="center"/>
          </w:tcPr>
          <w:p>
            <w:pPr>
              <w:spacing w:after="0" w:line="240" w:lineRule="auto"/>
              <w:jc w:val="left"/>
            </w:pPr>
            <w:r>
              <w:rPr>
                <w:b w:val="0"/>
                <w:sz w:val="20"/>
                <w:szCs w:val="20"/>
              </w:rPr>
              <w:t xml:space="preserve">Denied</w:t>
            </w:r>
          </w:p>
        </w:tc>
        <w:tc>
          <w:tcPr>
            <w:tcW w:w="1750" w:type="dxa"/>
            <w:vAlign w:val="center"/>
          </w:tcPr>
          <w:p>
            <w:pPr>
              <w:spacing w:after="0" w:line="240" w:lineRule="auto"/>
              <w:jc w:val="center"/>
            </w:pPr>
            <w:r>
              <w:rPr>
                <w:b w:val="0"/>
                <w:sz w:val="20"/>
                <w:szCs w:val="20"/>
              </w:rPr>
              <w:t xml:space="preserve">Pass</w:t>
            </w:r>
          </w:p>
        </w:tc>
      </w:tr>
      <w:tr>
        <w:tc>
          <w:tcPr>
            <w:tcW w:w="5900" w:type="dxa"/>
            <w:vAlign w:val="center"/>
          </w:tcPr>
          <w:p>
            <w:pPr>
              <w:spacing w:after="0" w:line="240" w:lineRule="auto"/>
              <w:jc w:val="center"/>
            </w:pPr>
            <w:r>
              <w:rPr>
                <w:b w:val="0"/>
                <w:sz w:val="20"/>
                <w:szCs w:val="20"/>
              </w:rPr>
              <w:t xml:space="preserve">An agency coordinator writes to their agency's budget allocation</w:t>
            </w:r>
          </w:p>
        </w:tc>
        <w:tc>
          <w:tcPr>
            <w:tcW w:w="1750" w:type="dxa"/>
            <w:vAlign w:val="center"/>
          </w:tcPr>
          <w:p>
            <w:pPr>
              <w:spacing w:after="0" w:line="240" w:lineRule="auto"/>
              <w:jc w:val="left"/>
            </w:pPr>
            <w:r>
              <w:rPr>
                <w:b w:val="0"/>
                <w:sz w:val="20"/>
                <w:szCs w:val="20"/>
              </w:rPr>
              <w:t xml:space="preserve">Denied</w:t>
            </w:r>
          </w:p>
        </w:tc>
        <w:tc>
          <w:tcPr>
            <w:tcW w:w="1750" w:type="dxa"/>
            <w:vAlign w:val="center"/>
          </w:tcPr>
          <w:p>
            <w:pPr>
              <w:spacing w:after="0" w:line="240" w:lineRule="auto"/>
              <w:jc w:val="center"/>
            </w:pPr>
            <w:r>
              <w:rPr>
                <w:b w:val="0"/>
                <w:sz w:val="20"/>
                <w:szCs w:val="20"/>
              </w:rPr>
              <w:t xml:space="preserve">Pass</w:t>
            </w:r>
          </w:p>
        </w:tc>
      </w:tr>
      <w:tr>
        <w:tc>
          <w:tcPr>
            <w:tcW w:w="5900" w:type="dxa"/>
            <w:vAlign w:val="center"/>
          </w:tcPr>
          <w:p>
            <w:pPr>
              <w:spacing w:after="0" w:line="240" w:lineRule="auto"/>
              <w:jc w:val="center"/>
            </w:pPr>
            <w:r>
              <w:rPr>
                <w:b w:val="0"/>
                <w:sz w:val="20"/>
                <w:szCs w:val="20"/>
              </w:rPr>
              <w:t xml:space="preserve">An agency updates a slice to reassign it to another agency or raise the endorsed cap</w:t>
            </w:r>
          </w:p>
        </w:tc>
        <w:tc>
          <w:tcPr>
            <w:tcW w:w="1750" w:type="dxa"/>
            <w:vAlign w:val="center"/>
          </w:tcPr>
          <w:p>
            <w:pPr>
              <w:spacing w:after="0" w:line="240" w:lineRule="auto"/>
              <w:jc w:val="left"/>
            </w:pPr>
            <w:r>
              <w:rPr>
                <w:b w:val="0"/>
                <w:sz w:val="20"/>
                <w:szCs w:val="20"/>
              </w:rPr>
              <w:t xml:space="preserve">Denied</w:t>
            </w:r>
          </w:p>
        </w:tc>
        <w:tc>
          <w:tcPr>
            <w:tcW w:w="1750" w:type="dxa"/>
            <w:vAlign w:val="center"/>
          </w:tcPr>
          <w:p>
            <w:pPr>
              <w:spacing w:after="0" w:line="240" w:lineRule="auto"/>
              <w:jc w:val="center"/>
            </w:pPr>
            <w:r>
              <w:rPr>
                <w:b w:val="0"/>
                <w:sz w:val="20"/>
                <w:szCs w:val="20"/>
              </w:rPr>
              <w:t xml:space="preserve">Pass</w:t>
            </w:r>
          </w:p>
        </w:tc>
      </w:tr>
      <w:tr>
        <w:tc>
          <w:tcPr>
            <w:tcW w:w="5900" w:type="dxa"/>
            <w:vAlign w:val="center"/>
          </w:tcPr>
          <w:p>
            <w:pPr>
              <w:spacing w:after="0" w:line="240" w:lineRule="auto"/>
              <w:jc w:val="center"/>
            </w:pPr>
            <w:r>
              <w:rPr>
                <w:b w:val="0"/>
                <w:sz w:val="20"/>
                <w:szCs w:val="20"/>
              </w:rPr>
              <w:t xml:space="preserve">A user posts a message to a conversation they do not participate in</w:t>
            </w:r>
          </w:p>
        </w:tc>
        <w:tc>
          <w:tcPr>
            <w:tcW w:w="1750" w:type="dxa"/>
            <w:vAlign w:val="center"/>
          </w:tcPr>
          <w:p>
            <w:pPr>
              <w:spacing w:after="0" w:line="240" w:lineRule="auto"/>
              <w:jc w:val="left"/>
            </w:pPr>
            <w:r>
              <w:rPr>
                <w:b w:val="0"/>
                <w:sz w:val="20"/>
                <w:szCs w:val="20"/>
              </w:rPr>
              <w:t xml:space="preserve">Denied</w:t>
            </w:r>
          </w:p>
        </w:tc>
        <w:tc>
          <w:tcPr>
            <w:tcW w:w="1750" w:type="dxa"/>
            <w:vAlign w:val="center"/>
          </w:tcPr>
          <w:p>
            <w:pPr>
              <w:spacing w:after="0" w:line="240" w:lineRule="auto"/>
              <w:jc w:val="center"/>
            </w:pPr>
            <w:r>
              <w:rPr>
                <w:b w:val="0"/>
                <w:sz w:val="20"/>
                <w:szCs w:val="20"/>
              </w:rPr>
              <w:t xml:space="preserve">Pass</w:t>
            </w:r>
          </w:p>
        </w:tc>
      </w:tr>
      <w:tr>
        <w:tc>
          <w:tcPr>
            <w:tcW w:w="5900" w:type="dxa"/>
            <w:vAlign w:val="center"/>
          </w:tcPr>
          <w:p>
            <w:pPr>
              <w:spacing w:after="0" w:line="240" w:lineRule="auto"/>
              <w:jc w:val="center"/>
            </w:pPr>
            <w:r>
              <w:rPr>
                <w:b w:val="0"/>
                <w:sz w:val="20"/>
                <w:szCs w:val="20"/>
              </w:rPr>
              <w:t xml:space="preserve">A user posts a message attributed to another sender</w:t>
            </w:r>
          </w:p>
        </w:tc>
        <w:tc>
          <w:tcPr>
            <w:tcW w:w="1750" w:type="dxa"/>
            <w:vAlign w:val="center"/>
          </w:tcPr>
          <w:p>
            <w:pPr>
              <w:spacing w:after="0" w:line="240" w:lineRule="auto"/>
              <w:jc w:val="left"/>
            </w:pPr>
            <w:r>
              <w:rPr>
                <w:b w:val="0"/>
                <w:sz w:val="20"/>
                <w:szCs w:val="20"/>
              </w:rPr>
              <w:t xml:space="preserve">Denied</w:t>
            </w:r>
          </w:p>
        </w:tc>
        <w:tc>
          <w:tcPr>
            <w:tcW w:w="1750" w:type="dxa"/>
            <w:vAlign w:val="center"/>
          </w:tcPr>
          <w:p>
            <w:pPr>
              <w:spacing w:after="0" w:line="240" w:lineRule="auto"/>
              <w:jc w:val="center"/>
            </w:pPr>
            <w:r>
              <w:rPr>
                <w:b w:val="0"/>
                <w:sz w:val="20"/>
                <w:szCs w:val="20"/>
              </w:rPr>
              <w:t xml:space="preserve">Pass</w:t>
            </w:r>
          </w:p>
        </w:tc>
      </w:tr>
      <w:tr>
        <w:tc>
          <w:tcPr>
            <w:tcW w:w="5900" w:type="dxa"/>
            <w:vAlign w:val="center"/>
          </w:tcPr>
          <w:p>
            <w:pPr>
              <w:spacing w:after="0" w:line="240" w:lineRule="auto"/>
              <w:jc w:val="center"/>
            </w:pPr>
            <w:r>
              <w:rPr>
                <w:b w:val="0"/>
                <w:sz w:val="20"/>
                <w:szCs w:val="20"/>
              </w:rPr>
              <w:t xml:space="preserve">A user updates their own role field to escalate privilege</w:t>
            </w:r>
          </w:p>
        </w:tc>
        <w:tc>
          <w:tcPr>
            <w:tcW w:w="1750" w:type="dxa"/>
            <w:vAlign w:val="center"/>
          </w:tcPr>
          <w:p>
            <w:pPr>
              <w:spacing w:after="0" w:line="240" w:lineRule="auto"/>
              <w:jc w:val="left"/>
            </w:pPr>
            <w:r>
              <w:rPr>
                <w:b w:val="0"/>
                <w:sz w:val="20"/>
                <w:szCs w:val="20"/>
              </w:rPr>
              <w:t xml:space="preserve">Denied</w:t>
            </w:r>
          </w:p>
        </w:tc>
        <w:tc>
          <w:tcPr>
            <w:tcW w:w="1750" w:type="dxa"/>
            <w:vAlign w:val="center"/>
          </w:tcPr>
          <w:p>
            <w:pPr>
              <w:spacing w:after="0" w:line="240" w:lineRule="auto"/>
              <w:jc w:val="center"/>
            </w:pPr>
            <w:r>
              <w:rPr>
                <w:b w:val="0"/>
                <w:sz w:val="20"/>
                <w:szCs w:val="20"/>
              </w:rPr>
              <w:t xml:space="preserve">Pass</w:t>
            </w:r>
          </w:p>
        </w:tc>
      </w:tr>
      <w:tr>
        <w:tc>
          <w:tcPr>
            <w:tcW w:w="5900" w:type="dxa"/>
            <w:vAlign w:val="center"/>
          </w:tcPr>
          <w:p>
            <w:pPr>
              <w:spacing w:after="0" w:line="240" w:lineRule="auto"/>
              <w:jc w:val="center"/>
            </w:pPr>
            <w:r>
              <w:rPr>
                <w:b w:val="0"/>
                <w:sz w:val="20"/>
                <w:szCs w:val="20"/>
              </w:rPr>
              <w:t xml:space="preserve">A patient books an interview slot whose status is already booked</w:t>
            </w:r>
          </w:p>
        </w:tc>
        <w:tc>
          <w:tcPr>
            <w:tcW w:w="1750" w:type="dxa"/>
            <w:vAlign w:val="center"/>
          </w:tcPr>
          <w:p>
            <w:pPr>
              <w:spacing w:after="0" w:line="240" w:lineRule="auto"/>
              <w:jc w:val="left"/>
            </w:pPr>
            <w:r>
              <w:rPr>
                <w:b w:val="0"/>
                <w:sz w:val="20"/>
                <w:szCs w:val="20"/>
              </w:rPr>
              <w:t xml:space="preserve">Denied</w:t>
            </w:r>
          </w:p>
        </w:tc>
        <w:tc>
          <w:tcPr>
            <w:tcW w:w="1750" w:type="dxa"/>
            <w:vAlign w:val="center"/>
          </w:tcPr>
          <w:p>
            <w:pPr>
              <w:spacing w:after="0" w:line="240" w:lineRule="auto"/>
              <w:jc w:val="center"/>
            </w:pPr>
            <w:r>
              <w:rPr>
                <w:b w:val="0"/>
                <w:sz w:val="20"/>
                <w:szCs w:val="20"/>
              </w:rPr>
              <w:t xml:space="preserve">Pass</w:t>
            </w:r>
          </w:p>
        </w:tc>
      </w:tr>
      <w:tr>
        <w:tc>
          <w:tcPr>
            <w:tcW w:w="5900" w:type="dxa"/>
            <w:vAlign w:val="center"/>
          </w:tcPr>
          <w:p>
            <w:pPr>
              <w:spacing w:after="0" w:line="240" w:lineRule="auto"/>
              <w:jc w:val="center"/>
            </w:pPr>
            <w:r>
              <w:rPr>
                <w:b w:val="0"/>
                <w:sz w:val="20"/>
                <w:szCs w:val="20"/>
              </w:rPr>
              <w:t xml:space="preserve">A patient cancels an interview slot booked by another patient</w:t>
            </w:r>
          </w:p>
        </w:tc>
        <w:tc>
          <w:tcPr>
            <w:tcW w:w="1750" w:type="dxa"/>
            <w:vAlign w:val="center"/>
          </w:tcPr>
          <w:p>
            <w:pPr>
              <w:spacing w:after="0" w:line="240" w:lineRule="auto"/>
              <w:jc w:val="left"/>
            </w:pPr>
            <w:r>
              <w:rPr>
                <w:b w:val="0"/>
                <w:sz w:val="20"/>
                <w:szCs w:val="20"/>
              </w:rPr>
              <w:t xml:space="preserve">Denied</w:t>
            </w:r>
          </w:p>
        </w:tc>
        <w:tc>
          <w:tcPr>
            <w:tcW w:w="1750" w:type="dxa"/>
            <w:vAlign w:val="center"/>
          </w:tcPr>
          <w:p>
            <w:pPr>
              <w:spacing w:after="0" w:line="240" w:lineRule="auto"/>
              <w:jc w:val="center"/>
            </w:pPr>
            <w:r>
              <w:rPr>
                <w:b w:val="0"/>
                <w:sz w:val="20"/>
                <w:szCs w:val="20"/>
              </w:rPr>
              <w:t xml:space="preserve">Pass</w:t>
            </w:r>
          </w:p>
        </w:tc>
      </w:tr>
      <w:tr>
        <w:tc>
          <w:tcPr>
            <w:tcW w:w="5900" w:type="dxa"/>
            <w:vAlign w:val="center"/>
          </w:tcPr>
          <w:p>
            <w:pPr>
              <w:spacing w:after="0" w:line="240" w:lineRule="auto"/>
              <w:jc w:val="center"/>
            </w:pPr>
            <w:r>
              <w:rPr>
                <w:b w:val="0"/>
                <w:sz w:val="20"/>
                <w:szCs w:val="20"/>
              </w:rPr>
              <w:t xml:space="preserve">A non-administrator creates or deletes an interview slot</w:t>
            </w:r>
          </w:p>
        </w:tc>
        <w:tc>
          <w:tcPr>
            <w:tcW w:w="1750" w:type="dxa"/>
            <w:vAlign w:val="center"/>
          </w:tcPr>
          <w:p>
            <w:pPr>
              <w:spacing w:after="0" w:line="240" w:lineRule="auto"/>
              <w:jc w:val="left"/>
            </w:pPr>
            <w:r>
              <w:rPr>
                <w:b w:val="0"/>
                <w:sz w:val="20"/>
                <w:szCs w:val="20"/>
              </w:rPr>
              <w:t xml:space="preserve">Denied</w:t>
            </w:r>
          </w:p>
        </w:tc>
        <w:tc>
          <w:tcPr>
            <w:tcW w:w="1750" w:type="dxa"/>
            <w:vAlign w:val="center"/>
          </w:tcPr>
          <w:p>
            <w:pPr>
              <w:spacing w:after="0" w:line="240" w:lineRule="auto"/>
              <w:jc w:val="center"/>
            </w:pPr>
            <w:r>
              <w:rPr>
                <w:b w:val="0"/>
                <w:sz w:val="20"/>
                <w:szCs w:val="20"/>
              </w:rPr>
              <w:t xml:space="preserve">Pass</w:t>
            </w:r>
          </w:p>
        </w:tc>
      </w:tr>
      <w:tr>
        <w:tc>
          <w:tcPr>
            <w:tcW w:w="5900" w:type="dxa"/>
            <w:vAlign w:val="center"/>
          </w:tcPr>
          <w:p>
            <w:pPr>
              <w:spacing w:after="0" w:line="240" w:lineRule="auto"/>
              <w:jc w:val="center"/>
            </w:pPr>
            <w:r>
              <w:rPr>
                <w:b w:val="0"/>
                <w:sz w:val="20"/>
                <w:szCs w:val="20"/>
              </w:rPr>
              <w:t xml:space="preserve">A patient writes an oversized field to bypass display layer limits</w:t>
            </w:r>
          </w:p>
        </w:tc>
        <w:tc>
          <w:tcPr>
            <w:tcW w:w="1750" w:type="dxa"/>
            <w:vAlign w:val="center"/>
          </w:tcPr>
          <w:p>
            <w:pPr>
              <w:spacing w:after="0" w:line="240" w:lineRule="auto"/>
              <w:jc w:val="left"/>
            </w:pPr>
            <w:r>
              <w:rPr>
                <w:b w:val="0"/>
                <w:sz w:val="20"/>
                <w:szCs w:val="20"/>
              </w:rPr>
              <w:t xml:space="preserve">Denied</w:t>
            </w:r>
          </w:p>
        </w:tc>
        <w:tc>
          <w:tcPr>
            <w:tcW w:w="1750" w:type="dxa"/>
            <w:vAlign w:val="center"/>
          </w:tcPr>
          <w:p>
            <w:pPr>
              <w:spacing w:after="0" w:line="240" w:lineRule="auto"/>
              <w:jc w:val="center"/>
            </w:pPr>
            <w:r>
              <w:rPr>
                <w:b w:val="0"/>
                <w:sz w:val="20"/>
                <w:szCs w:val="20"/>
              </w:rPr>
              <w:t xml:space="preserve">Pass</w:t>
            </w:r>
          </w:p>
        </w:tc>
      </w:tr>
    </w:tbl>
    <w:p>
      <w:pPr>
        <w:pStyle w:val="BodyofResearch"/>
        <w:spacing w:after="0" w:line="240" w:lineRule="auto"/>
      </w:pPr>
    </w:p>
    <w:p>
      <w:pPr>
        <w:pStyle w:val="BodyofResearch"/>
        <w:ind w:firstLine="720"/>
        <w:jc w:val="both"/>
      </w:pPr>
      <w:r>
        <w:rPr>
          <w:b w:val="0"/>
        </w:rPr>
        <w:t xml:space="preserve">The slot-booking cases deserve particular comment because they demonstrate a concurrency property rather than a permission property. Booking is written as a compare-and-set against the slot's open status. If two patients select the same slot at the same moment, the second write finds the status already changed and is refused by the rule, which the interface reports as the slot having just been taken. The system therefore cannot double-book an interview slot even under a race, and it achieves this without a lock or a queue.</w:t>
      </w:r>
    </w:p>
    <w:p>
      <w:r>
        <w:br w:type="page"/>
      </w:r>
    </w:p>
    <w:p>
      <w:pPr>
        <w:pStyle w:val="BodyofResearch"/>
        <w:keepNext/>
        <w:keepLines/>
        <w:spacing w:before="180" w:after="120"/>
        <w:jc w:val="left"/>
      </w:pPr>
      <w:r>
        <w:rPr>
          <w:b/>
        </w:rPr>
        <w:t xml:space="preserve">Manual and Scenario-Based Testing</w:t>
      </w:r>
    </w:p>
    <w:p>
      <w:pPr>
        <w:pStyle w:val="BodyofResearch"/>
        <w:ind w:firstLine="720"/>
        <w:jc w:val="both"/>
      </w:pPr>
      <w:r>
        <w:rPr>
          <w:b w:val="0"/>
        </w:rPr>
        <w:t xml:space="preserve">Automated tests cover logic and authorization; they do not establish that a workflow is usable on a low-cost phone over a weak connection. Scenario-based manual testing was therefore conducted throughout development, using Chrome, Firefox, and Edge on Windows and Safari on macOS for the web portal, and Chrome on Android across several device sizes including 360-pixel-class devices, and Safari on iOS, for the patient experience. Installation of the Progressive Web Application was verified end-to-end on a physical Android device from the live deployment.</w:t>
      </w:r>
    </w:p>
    <w:p>
      <w:pPr>
        <w:pStyle w:val="BodyofResearch"/>
        <w:ind w:firstLine="720"/>
        <w:jc w:val="both"/>
      </w:pPr>
      <w:r>
        <w:rPr>
          <w:b w:val="0"/>
        </w:rPr>
        <w:t xml:space="preserve">Representative scenarios exercised across the three roles included: registering with valid, invalid, and already-claimed Patient Access Codes; filing a request through the four-step wizard and confirming the Request ID on the success screen; completing the household intake wizard and confirming that a missing required field returns the patient to the correct step with the field scrolled into view; booking, cancelling, and rebooking an interview slot and confirming that the queue number is assigned in booking order; confirming that reminders fire at 24 hours and 1 hour; confirming that the Proceed action advances every endorsed slice in a single batch; approving a slice and confirming that the transaction increments the agency's committed budget, advances the parent request's committed amount, flips the request to partially or fully funded, and stamps the Hospital ID to begin the cooldown; attempting an approval that exceeds the remaining budget and one that exceeds the per-applicant cap, and confirming both are blocked; approving the same patient twice within 30 days on different requests and confirming the cooldown blocks the second; approving sibling slices of the same request and confirming the co-funding exemption permits it; reversing an approval and confirming the cooldown is preserved while the budget is released; and disabling an agency with in-flight applications and confirming both handling paths behave as described.</w:t>
      </w:r>
    </w:p>
    <w:p>
      <w:r>
        <w:br w:type="page"/>
      </w:r>
    </w:p>
    <w:p>
      <w:pPr>
        <w:pStyle w:val="BodyofResearch"/>
        <w:keepNext/>
        <w:keepLines/>
        <w:spacing w:before="180" w:after="120"/>
        <w:jc w:val="left"/>
      </w:pPr>
      <w:r>
        <w:rPr>
          <w:b/>
        </w:rPr>
        <w:t xml:space="preserve">Read-Pass Review Series and Defects Found</w:t>
      </w:r>
    </w:p>
    <w:p>
      <w:pPr>
        <w:pStyle w:val="BodyofResearch"/>
        <w:ind w:firstLine="720"/>
        <w:jc w:val="both"/>
      </w:pPr>
      <w:r>
        <w:rPr>
          <w:b w:val="0"/>
        </w:rPr>
        <w:t xml:space="preserve">After the platform was restructured around the CRMC-gateway model, each page was read end-to-end against its source and reviewed for correctness, interface behavior, and consistency. This was followed by a second, full-system review covering all 46 pages in three batches — patient and public pages, agency pages, and administrator pages — conducted by reading each page directly rather than relying on summaries, a method adopted after the first pass produced false positives. A third round was driven by a live demonstration session in which the patient, agency, and administrator flows were exercised in a browser and every dead end, silent error, and data-cascade gap was triaged. Table 11 summarizes the outcome.</w:t>
      </w:r>
    </w:p>
    <w:p>
      <w:pPr>
        <w:pStyle w:val="BodyofResearch"/>
        <w:keepNext/>
        <w:keepLines/>
        <w:spacing w:before="180" w:after="60"/>
        <w:jc w:val="left"/>
      </w:pPr>
      <w:r>
        <w:rPr>
          <w:b w:val="0"/>
          <w:i/>
        </w:rPr>
        <w:t xml:space="preserve">Table 11. Correctness Defects Found and Resolved by Review Pass</w:t>
      </w:r>
    </w:p>
    <w:tbl>
      <w:tblPr>
        <w:tblStyle w:val="TableGrid"/>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6" w:type="dxa"/>
          <w:bottom w:w="40" w:type="dxa"/>
          <w:right w:w="86" w:type="dxa"/>
        </w:tblCellMar>
        <w:tblLook w:val="04A0" w:firstRow="1" w:lastRow="0" w:firstColumn="1" w:lastColumn="0" w:noHBand="0" w:noVBand="1"/>
      </w:tblPr>
      <w:tblGrid>
        <w:gridCol w:w="2400"/>
        <w:gridCol w:w="5200"/>
        <w:gridCol w:w="1800"/>
      </w:tblGrid>
      <w:tr>
        <w:trPr>
          <w:tblHeader/>
          <w:cantSplit/>
        </w:trPr>
        <w:tc>
          <w:tcPr>
            <w:tcW w:w="2400" w:type="dxa"/>
            <w:vAlign w:val="center"/>
          </w:tcPr>
          <w:p>
            <w:pPr>
              <w:spacing w:after="0" w:line="240" w:lineRule="auto"/>
              <w:jc w:val="center"/>
            </w:pPr>
            <w:r>
              <w:rPr>
                <w:b/>
                <w:sz w:val="20"/>
                <w:szCs w:val="20"/>
              </w:rPr>
              <w:t xml:space="preserve">Review pass</w:t>
            </w:r>
          </w:p>
        </w:tc>
        <w:tc>
          <w:tcPr>
            <w:tcW w:w="5200" w:type="dxa"/>
            <w:vAlign w:val="center"/>
          </w:tcPr>
          <w:p>
            <w:pPr>
              <w:spacing w:after="0" w:line="240" w:lineRule="auto"/>
              <w:jc w:val="center"/>
            </w:pPr>
            <w:r>
              <w:rPr>
                <w:b/>
                <w:sz w:val="20"/>
                <w:szCs w:val="20"/>
              </w:rPr>
              <w:t xml:space="preserve">Method</w:t>
            </w:r>
          </w:p>
        </w:tc>
        <w:tc>
          <w:tcPr>
            <w:tcW w:w="1800" w:type="dxa"/>
            <w:vAlign w:val="center"/>
          </w:tcPr>
          <w:p>
            <w:pPr>
              <w:spacing w:after="0" w:line="240" w:lineRule="auto"/>
              <w:jc w:val="center"/>
            </w:pPr>
            <w:r>
              <w:rPr>
                <w:b/>
                <w:sz w:val="20"/>
                <w:szCs w:val="20"/>
              </w:rPr>
              <w:t xml:space="preserve">Defects found and resolved</w:t>
            </w:r>
          </w:p>
        </w:tc>
      </w:tr>
      <w:tr>
        <w:tc>
          <w:tcPr>
            <w:tcW w:w="2400" w:type="dxa"/>
            <w:vAlign w:val="center"/>
          </w:tcPr>
          <w:p>
            <w:pPr>
              <w:spacing w:after="0" w:line="240" w:lineRule="auto"/>
              <w:jc w:val="center"/>
            </w:pPr>
            <w:r>
              <w:rPr>
                <w:b w:val="0"/>
                <w:sz w:val="20"/>
                <w:szCs w:val="20"/>
              </w:rPr>
              <w:t xml:space="preserve">Post-redesign read pass</w:t>
            </w:r>
          </w:p>
        </w:tc>
        <w:tc>
          <w:tcPr>
            <w:tcW w:w="5200" w:type="dxa"/>
            <w:vAlign w:val="center"/>
          </w:tcPr>
          <w:p>
            <w:pPr>
              <w:spacing w:after="0" w:line="240" w:lineRule="auto"/>
              <w:jc w:val="left"/>
            </w:pPr>
            <w:r>
              <w:rPr>
                <w:b w:val="0"/>
                <w:sz w:val="20"/>
                <w:szCs w:val="20"/>
              </w:rPr>
              <w:t xml:space="preserve">Page-by-page source review after the CRMC-gateway restructure</w:t>
            </w:r>
          </w:p>
        </w:tc>
        <w:tc>
          <w:tcPr>
            <w:tcW w:w="1800" w:type="dxa"/>
            <w:vAlign w:val="center"/>
          </w:tcPr>
          <w:p>
            <w:pPr>
              <w:spacing w:after="0" w:line="240" w:lineRule="auto"/>
              <w:jc w:val="center"/>
            </w:pPr>
            <w:r>
              <w:rPr>
                <w:b w:val="0"/>
                <w:sz w:val="20"/>
                <w:szCs w:val="20"/>
              </w:rPr>
              <w:t xml:space="preserve">16</w:t>
            </w:r>
          </w:p>
        </w:tc>
      </w:tr>
      <w:tr>
        <w:tc>
          <w:tcPr>
            <w:tcW w:w="2400" w:type="dxa"/>
            <w:vAlign w:val="center"/>
          </w:tcPr>
          <w:p>
            <w:pPr>
              <w:spacing w:after="0" w:line="240" w:lineRule="auto"/>
              <w:jc w:val="center"/>
            </w:pPr>
            <w:r>
              <w:rPr>
                <w:b w:val="0"/>
                <w:sz w:val="20"/>
                <w:szCs w:val="20"/>
              </w:rPr>
              <w:t xml:space="preserve">Full-system audit (46 pages)</w:t>
            </w:r>
          </w:p>
        </w:tc>
        <w:tc>
          <w:tcPr>
            <w:tcW w:w="5200" w:type="dxa"/>
            <w:vAlign w:val="center"/>
          </w:tcPr>
          <w:p>
            <w:pPr>
              <w:spacing w:after="0" w:line="240" w:lineRule="auto"/>
              <w:jc w:val="left"/>
            </w:pPr>
            <w:r>
              <w:rPr>
                <w:b w:val="0"/>
                <w:sz w:val="20"/>
                <w:szCs w:val="20"/>
              </w:rPr>
              <w:t xml:space="preserve">Three-batch direct source review of every page</w:t>
            </w:r>
          </w:p>
        </w:tc>
        <w:tc>
          <w:tcPr>
            <w:tcW w:w="1800" w:type="dxa"/>
            <w:vAlign w:val="center"/>
          </w:tcPr>
          <w:p>
            <w:pPr>
              <w:spacing w:after="0" w:line="240" w:lineRule="auto"/>
              <w:jc w:val="center"/>
            </w:pPr>
            <w:r>
              <w:rPr>
                <w:b w:val="0"/>
                <w:sz w:val="20"/>
                <w:szCs w:val="20"/>
              </w:rPr>
              <w:t xml:space="preserve">9</w:t>
            </w:r>
          </w:p>
        </w:tc>
      </w:tr>
      <w:tr>
        <w:tc>
          <w:tcPr>
            <w:tcW w:w="2400" w:type="dxa"/>
            <w:vAlign w:val="center"/>
          </w:tcPr>
          <w:p>
            <w:pPr>
              <w:spacing w:after="0" w:line="240" w:lineRule="auto"/>
              <w:jc w:val="center"/>
            </w:pPr>
            <w:r>
              <w:rPr>
                <w:b w:val="0"/>
                <w:sz w:val="20"/>
                <w:szCs w:val="20"/>
              </w:rPr>
              <w:t xml:space="preserve">Live-session audit</w:t>
            </w:r>
          </w:p>
        </w:tc>
        <w:tc>
          <w:tcPr>
            <w:tcW w:w="5200" w:type="dxa"/>
            <w:vAlign w:val="center"/>
          </w:tcPr>
          <w:p>
            <w:pPr>
              <w:spacing w:after="0" w:line="240" w:lineRule="auto"/>
              <w:jc w:val="left"/>
            </w:pPr>
            <w:r>
              <w:rPr>
                <w:b w:val="0"/>
                <w:sz w:val="20"/>
                <w:szCs w:val="20"/>
              </w:rPr>
              <w:t xml:space="preserve">Exercising the three role flows against a running system</w:t>
            </w:r>
          </w:p>
        </w:tc>
        <w:tc>
          <w:tcPr>
            <w:tcW w:w="1800" w:type="dxa"/>
            <w:vAlign w:val="center"/>
          </w:tcPr>
          <w:p>
            <w:pPr>
              <w:spacing w:after="0" w:line="240" w:lineRule="auto"/>
              <w:jc w:val="center"/>
            </w:pPr>
            <w:r>
              <w:rPr>
                <w:b w:val="0"/>
                <w:sz w:val="20"/>
                <w:szCs w:val="20"/>
              </w:rPr>
              <w:t xml:space="preserve">29</w:t>
            </w:r>
          </w:p>
        </w:tc>
      </w:tr>
      <w:tr>
        <w:tc>
          <w:tcPr>
            <w:tcW w:w="2400" w:type="dxa"/>
            <w:vAlign w:val="center"/>
          </w:tcPr>
          <w:p>
            <w:pPr>
              <w:spacing w:after="0" w:line="240" w:lineRule="auto"/>
              <w:jc w:val="center"/>
            </w:pPr>
            <w:r>
              <w:rPr>
                <w:b w:val="0"/>
                <w:sz w:val="20"/>
                <w:szCs w:val="20"/>
              </w:rPr>
              <w:t xml:space="preserve">Security sweeps</w:t>
            </w:r>
          </w:p>
        </w:tc>
        <w:tc>
          <w:tcPr>
            <w:tcW w:w="5200" w:type="dxa"/>
            <w:vAlign w:val="center"/>
          </w:tcPr>
          <w:p>
            <w:pPr>
              <w:spacing w:after="0" w:line="240" w:lineRule="auto"/>
              <w:jc w:val="left"/>
            </w:pPr>
            <w:r>
              <w:rPr>
                <w:b w:val="0"/>
                <w:sz w:val="20"/>
                <w:szCs w:val="20"/>
              </w:rPr>
              <w:t xml:space="preserve">Rule-by-rule review following the injection incident, each closure accompanied by a regression test</w:t>
            </w:r>
          </w:p>
        </w:tc>
        <w:tc>
          <w:tcPr>
            <w:tcW w:w="1800" w:type="dxa"/>
            <w:vAlign w:val="center"/>
          </w:tcPr>
          <w:p>
            <w:pPr>
              <w:spacing w:after="0" w:line="240" w:lineRule="auto"/>
              <w:jc w:val="center"/>
            </w:pPr>
            <w:r>
              <w:rPr>
                <w:b w:val="0"/>
                <w:sz w:val="20"/>
                <w:szCs w:val="20"/>
              </w:rPr>
              <w:t xml:space="preserve">See below</w:t>
            </w:r>
          </w:p>
        </w:tc>
      </w:tr>
    </w:tbl>
    <w:p>
      <w:pPr>
        <w:pStyle w:val="BodyofResearch"/>
        <w:spacing w:after="0" w:line="240" w:lineRule="auto"/>
      </w:pPr>
    </w:p>
    <w:p>
      <w:pPr>
        <w:pStyle w:val="BodyofResearch"/>
        <w:ind w:firstLine="720"/>
        <w:jc w:val="both"/>
      </w:pPr>
      <w:r>
        <w:rPr>
          <w:b w:val="0"/>
        </w:rPr>
        <w:t xml:space="preserve">The defects found were not cosmetic. Representative examples include an administrator query for active applicants that omitted the endorsed status, rendering patients with endorsed slices invisible in the administrator list; a slice classification error that filed a case with a live, downloadable Guarantee Letter under Past applications; a patient deletion cascade that removed documents and applications but left requests, conversations, and certificates behind, orphaning patient personal information after an erasure; and twenty real-time listeners registered without an error callback, each of which would leave the interface in a permanent loading state on a permission failure. The last of these was fixed as a class rather than individually, and the convention was added to the coding standards.</w:t>
      </w:r>
    </w:p>
    <w:p>
      <w:pPr>
        <w:pStyle w:val="BodyofResearch"/>
        <w:ind w:firstLine="720"/>
        <w:jc w:val="both"/>
      </w:pPr>
      <w:r>
        <w:rPr>
          <w:b w:val="0"/>
        </w:rPr>
        <w:t xml:space="preserve">The review series also produced a documentation defect worth recording: the technical documentation still described audit log fields by names the code had since changed. This is reported here because it is the same class of error this manuscript revision addresses — documentation drifting behind an evolving system — and it is the reason the proponents adopted the practice of reconciling the written record against the source before each submission.</w:t>
      </w:r>
    </w:p>
    <w:p>
      <w:r>
        <w:br w:type="page"/>
      </w:r>
    </w:p>
    <w:p>
      <w:pPr>
        <w:pStyle w:val="BodyofResearch"/>
        <w:keepNext/>
        <w:keepLines/>
        <w:spacing w:before="180" w:after="120"/>
        <w:jc w:val="left"/>
      </w:pPr>
      <w:r>
        <w:rPr>
          <w:b/>
        </w:rPr>
        <w:t xml:space="preserve">Security Incident and Response</w:t>
      </w:r>
    </w:p>
    <w:p>
      <w:pPr>
        <w:pStyle w:val="BodyofResearch"/>
        <w:ind w:firstLine="720"/>
        <w:jc w:val="both"/>
      </w:pPr>
      <w:r>
        <w:rPr>
          <w:b w:val="0"/>
        </w:rPr>
        <w:t xml:space="preserve">On 1 June 2026, during a routine review of the administrator Audit Log page, eighteen entries were discovered in the audit log collection bearing fabricated actor names such as “System,” “Recovery Engine,” and “Migration Daemon,” and carrying shell-command payloads written to be read and acted upon by a human administrator or an automated agent reviewing the dashboard. The payloads included recursive command invocations and an attempt to induce a redeployment of the security rules. None of the payloads was executed.</w:t>
      </w:r>
    </w:p>
    <w:p>
      <w:pPr>
        <w:pStyle w:val="BodyofResearch"/>
        <w:ind w:firstLine="720"/>
        <w:jc w:val="both"/>
      </w:pPr>
      <w:r>
        <w:rPr>
          <w:b w:val="0"/>
        </w:rPr>
        <w:t xml:space="preserve">The root cause was a permissive rule: creation of audit log entries required only that the writer be authenticated, placing no constraint on the actor name or the payload. Any authenticated user of any role could therefore write an entry attributed to anyone. The vulnerability is worth stating plainly because it illustrates a general principle rather than an isolated slip: the audit log had been treated as an output of the system rather than as an input to it, and inputs require validation regardless of where they are displayed.</w:t>
      </w:r>
    </w:p>
    <w:p>
      <w:pPr>
        <w:pStyle w:val="BodyofResearch"/>
        <w:ind w:firstLine="720"/>
        <w:jc w:val="both"/>
      </w:pPr>
      <w:r>
        <w:rPr>
          <w:b w:val="0"/>
        </w:rPr>
        <w:t xml:space="preserve">The response proceeded in four steps. First, creation of audit log entries was constrained so that the recorded actor must equal the authenticated user's identity, and the detail field was bounded in length, with the display layer additionally clamping the rendered text behind a Show more control. A companion attack — registering accounts with role-impersonating display names such as “CRMC Admin” or “System Diagnostics” — was closed by a reserved-name guard at registration. Second, the same hardening pattern was applied to every other collection sharing the permissive create pattern: notifications, conversations, notification errors, and reports. Third, patient-write constraints were added to documents, an ownership guard to certificates, and attribution and size constraints to conversation messages. Fourth, an administrative script purged the eighteen planted entries from the production database.</w:t>
      </w:r>
    </w:p>
    <w:p>
      <w:pPr>
        <w:pStyle w:val="BodyofResearch"/>
        <w:ind w:firstLine="720"/>
        <w:jc w:val="both"/>
      </w:pPr>
      <w:r>
        <w:rPr>
          <w:b w:val="0"/>
        </w:rPr>
        <w:t xml:space="preserve">A further sweep on 24 July 2026, prompted by the discovery of orphaned document-content records and forged report records written under the same attacker identity, found the same permissive-create pattern in additional rules and closed them systematically. Each closure was accompanied by a regression test that replays the original attack, which is why the security-rules suite is the largest of the four. A final identity lock on slice updates, preventing an agency from reassigning a slice or inflating its endorsed ceiling, was added on 25 August 2026.</w:t>
      </w:r>
    </w:p>
    <w:p>
      <w:pPr>
        <w:pStyle w:val="BodyofResearch"/>
        <w:ind w:firstLine="720"/>
        <w:jc w:val="both"/>
      </w:pPr>
      <w:r>
        <w:rPr>
          <w:b w:val="0"/>
        </w:rPr>
        <w:t xml:space="preserve">The proponents report this incident rather than omitting it because the response is the more instructive part. A vulnerability discovered in a student project is unremarkable; what the response demonstrates is that the root cause was generalized rather than patched at the point of discovery, and that each fix was made permanent by a test that would fail if the rule regressed.</w:t>
      </w:r>
    </w:p>
    <w:p>
      <w:r>
        <w:br w:type="page"/>
      </w:r>
    </w:p>
    <w:p>
      <w:pPr>
        <w:pStyle w:val="BodyofResearch"/>
        <w:keepNext/>
        <w:keepLines/>
        <w:spacing w:before="180" w:after="120"/>
        <w:jc w:val="left"/>
      </w:pPr>
      <w:r>
        <w:rPr>
          <w:b/>
        </w:rPr>
        <w:t xml:space="preserve">Compliance Verification</w:t>
      </w:r>
    </w:p>
    <w:p>
      <w:pPr>
        <w:pStyle w:val="BodyofResearch"/>
        <w:ind w:firstLine="720"/>
        <w:jc w:val="both"/>
      </w:pPr>
      <w:r>
        <w:rPr>
          <w:b w:val="0"/>
        </w:rPr>
        <w:t xml:space="preserve">The obligations arising from Republic Act No. 10173 were verified as functional requirements rather than treated as documentation. The right to information under Section 16(a) and (c) is served by a Data Privacy notice presented at registration and at request submission, and by a patient-facing access log showing which staff accounts have opened the patient's request and documents. The right to data portability under Section 16(f) is served by a Download my data action that assembles every patient-keyed record — profile, requests, slices, documents with content, certificates, notifications, and both sides of every conversation — into a single versioned JSON document with timestamps normalized to ISO format. The right to erasure under Section 16(e) is served by a super-administrator cascade that removes every patient-keyed record across all collections and then removes the authentication account through a privileged Cloud Function, closing what had previously been an acknowledged residual in which the patient's electronic mail address remained registered after erasure. A documented incident-response procedure operationalizes the 72-hour breach notification duty.</w:t>
      </w:r>
    </w:p>
    <w:p>
      <w:r>
        <w:br w:type="page"/>
      </w:r>
    </w:p>
    <w:p>
      <w:pPr>
        <w:pStyle w:val="Heading2"/>
        <w:keepNext/>
        <w:keepLines/>
        <w:spacing w:before="240" w:after="240"/>
        <w:jc w:val="left"/>
      </w:pPr>
      <w:r>
        <w:rPr>
          <w:b/>
        </w:rPr>
        <w:t xml:space="preserve">Description of Prototype</w:t>
      </w:r>
    </w:p>
    <w:p>
      <w:pPr>
        <w:pStyle w:val="BodyofResearch"/>
        <w:ind w:firstLine="720"/>
        <w:jc w:val="both"/>
      </w:pPr>
      <w:r>
        <w:rPr>
          <w:b w:val="0"/>
        </w:rPr>
        <w:t xml:space="preserve">This section describes the delivered prototype: what a user encounters, what the system requires to run, and how it was evaluated.</w:t>
      </w:r>
    </w:p>
    <w:p>
      <w:pPr>
        <w:pStyle w:val="BodyofResearch"/>
        <w:keepNext/>
        <w:keepLines/>
        <w:spacing w:before="180" w:after="120"/>
        <w:jc w:val="left"/>
      </w:pPr>
      <w:r>
        <w:rPr>
          <w:b/>
        </w:rPr>
        <w:t xml:space="preserve">System Requirements</w:t>
      </w:r>
    </w:p>
    <w:p>
      <w:pPr>
        <w:pStyle w:val="BodyofResearch"/>
        <w:ind w:firstLine="720"/>
        <w:jc w:val="both"/>
      </w:pPr>
      <w:r>
        <w:rPr>
          <w:b w:val="0"/>
        </w:rPr>
        <w:t xml:space="preserve">For patients, the system requires a smartphone or computer with a modern browser — Chrome, Edge, Firefox, or Safari in a current version — and an internet connection. No installation is required to use the system; installation to the home screen is optional and is offered through the browser's standard Add-to-Home-Screen flow on Android and iOS. A device camera is required for the live selfie step. For agency personnel and administrators, the system requires a desktop or laptop with a modern browser, and an authenticator application on a mobile device for the two-step verification challenge. On the server side the system requires a Firebase project on a metered plan with Firestore, Authentication with Identity Platform, Cloud Functions, App Check, and Cloud Storage enabled, and a Vercel project with the electronic mail and SMS credentials configured as environment variables.</w:t>
      </w:r>
    </w:p>
    <w:p>
      <w:pPr>
        <w:pStyle w:val="BodyofResearch"/>
        <w:keepNext/>
        <w:keepLines/>
        <w:spacing w:before="180" w:after="120"/>
        <w:jc w:val="left"/>
      </w:pPr>
      <w:r>
        <w:rPr>
          <w:b/>
        </w:rPr>
        <w:t xml:space="preserve">Preliminary Design and Interface Experience</w:t>
      </w:r>
    </w:p>
    <w:p>
      <w:pPr>
        <w:pStyle w:val="BodyofResearch"/>
        <w:ind w:firstLine="720"/>
        <w:jc w:val="both"/>
      </w:pPr>
      <w:r>
        <w:rPr>
          <w:b w:val="0"/>
        </w:rPr>
        <w:t xml:space="preserve">The prototype delivers two interface experiences from one codebase. The patient experience is phone-first: a bottom tab bar provides the five destinations a patient needs, a status hero names the current step out of six and the single next action, and a journey strip visualizes the request lifecycle. A deliberate color language distinguishes progress from money — one hue family carries lifecycle stage and a separate one carries peso amounts — so that a patient scanning the screen can tell at a glance whether something moved or something was funded. Patient surfaces are bilingual with a language toggle that preserves state, and interactive elements meet a 44-pixel minimum touch target.</w:t>
      </w:r>
    </w:p>
    <w:p>
      <w:pPr>
        <w:pStyle w:val="BodyofResearch"/>
        <w:ind w:firstLine="720"/>
        <w:jc w:val="both"/>
      </w:pPr>
      <w:r>
        <w:rPr>
          <w:b w:val="0"/>
        </w:rPr>
        <w:t xml:space="preserve">The staff experience is desktop-first: a left sidebar navigation, denser tables, and a guided stepper on the CRMC request detail that makes the gateway sequence explicit — verify, book and interview, assess and record coverage, endorse — with each step unlocking only when its predecessor is complete. Staff surfaces are in English by design, on the reasoning stated in the limitations.</w:t>
      </w:r>
    </w:p>
    <w:p>
      <w:pPr>
        <w:pStyle w:val="BodyofResearch"/>
        <w:ind w:firstLine="720"/>
        <w:jc w:val="both"/>
      </w:pPr>
      <w:r>
        <w:rPr>
          <w:b w:val="0"/>
        </w:rPr>
        <w:t xml:space="preserve">Two design decisions in the prototype are worth stating because they were arrived at through revision rather than chosen at the outset. First, endorsement is a pure selection: CRMC chooses which agencies should fund a case but never enters a peso amount, because the amount is the agency's statutory decision and encoding it at CRMC would have made the platform an instrument of the hospital directing agency funds. Second, the interview is booked rather than assigned, because a system that assigns appointments to indigent patients without their input produces the same wasted journeys it was built to eliminate.</w:t>
      </w:r>
    </w:p>
    <w:p>
      <w:pPr>
        <w:pStyle w:val="BodyofResearch"/>
        <w:keepNext/>
        <w:keepLines/>
        <w:spacing w:before="180" w:after="120"/>
        <w:jc w:val="left"/>
      </w:pPr>
      <w:r>
        <w:rPr>
          <w:b/>
        </w:rPr>
        <w:t xml:space="preserve">Evaluation Method</w:t>
      </w:r>
    </w:p>
    <w:p>
      <w:pPr>
        <w:pStyle w:val="BodyofResearch"/>
        <w:ind w:firstLine="720"/>
        <w:jc w:val="both"/>
      </w:pPr>
      <w:r>
        <w:rPr>
          <w:b w:val="0"/>
        </w:rPr>
        <w:t xml:space="preserve">The prototype was evaluated along three dimensions. Functional correctness was evaluated by the automated suites and the review series reported in the preceding section. Operational readiness was evaluated against a deployment checklist covering security, reliability, governance, reachability, and quality assurance, reported in the Implementation Plan below. Stakeholder acceptability was evaluated through the structured interview-questionnaire administered to nine CRMC stakeholders, reported in the Implementation Results below.</w:t>
      </w:r>
    </w:p>
    <w:p>
      <w:r>
        <w:br w:type="page"/>
      </w:r>
    </w:p>
    <w:p>
      <w:pPr>
        <w:pStyle w:val="Heading2"/>
        <w:keepNext/>
        <w:keepLines/>
        <w:spacing w:before="240" w:after="240"/>
        <w:jc w:val="left"/>
      </w:pPr>
      <w:r>
        <w:rPr>
          <w:b/>
        </w:rPr>
        <w:t xml:space="preserve">Implementation Plan</w:t>
      </w:r>
    </w:p>
    <w:p>
      <w:pPr>
        <w:pStyle w:val="BodyofResearch"/>
        <w:ind w:firstLine="720"/>
        <w:jc w:val="both"/>
      </w:pPr>
      <w:r>
        <w:rPr>
          <w:b w:val="0"/>
        </w:rPr>
        <w:t xml:space="preserve">This section describes how MAPA is deployed, installed, and transitioned into operational use at CRMC, the resources required to support that effort, and the site-specific requirements that must be satisfied before the system can be relied upon for real patient transactions.</w:t>
      </w:r>
    </w:p>
    <w:p>
      <w:pPr>
        <w:pStyle w:val="BodyofResearch"/>
        <w:keepNext/>
        <w:keepLines/>
        <w:spacing w:before="180" w:after="120"/>
        <w:jc w:val="left"/>
      </w:pPr>
      <w:r>
        <w:rPr>
          <w:b/>
        </w:rPr>
        <w:t xml:space="preserve">Overview of the Deployment</w:t>
      </w:r>
    </w:p>
    <w:p>
      <w:pPr>
        <w:pStyle w:val="BodyofResearch"/>
        <w:ind w:firstLine="720"/>
        <w:jc w:val="both"/>
      </w:pPr>
      <w:r>
        <w:rPr>
          <w:b w:val="0"/>
        </w:rPr>
        <w:t xml:space="preserve">MAPA is deployed as a static frontend on Vercel's global content delivery network together with two serverless relay functions, backed by a Firebase project hosting Cloud Firestore with deployed security rules and composite indexes, seven Cloud Functions in the asia-southeast1 region, Firebase Authentication with Identity Platform multi-factor authentication for staff roles, Firebase App Check, and Cloud Storage. There is no application server to provision and no hospital-side hardware to install; the system is reached through a browser.</w:t>
      </w:r>
    </w:p>
    <w:p>
      <w:pPr>
        <w:pStyle w:val="BodyofResearch"/>
        <w:keepNext/>
        <w:keepLines/>
        <w:spacing w:before="180" w:after="120"/>
        <w:jc w:val="left"/>
      </w:pPr>
      <w:r>
        <w:rPr>
          <w:b/>
        </w:rPr>
        <w:t xml:space="preserve">Major Implementation Tasks</w:t>
      </w:r>
    </w:p>
    <w:p>
      <w:pPr>
        <w:pStyle w:val="BodyofResearch"/>
        <w:numPr>
          <w:ilvl w:val="0"/>
          <w:numId w:val="2"/>
        </w:numPr>
        <w:spacing w:after="120"/>
        <w:ind w:left="1080" w:hanging="360"/>
        <w:jc w:val="both"/>
      </w:pPr>
      <w:r>
        <w:rPr>
          <w:b/>
        </w:rPr>
        <w:t xml:space="preserve">Reference data seeding.</w:t>
      </w:r>
      <w:r>
        <w:rPr>
          <w:b w:val="0"/>
        </w:rPr>
        <w:t xml:space="preserve"> The four Guarantee-Letter-issuing agencies, the document type catalog, the assistance type catalog, and the initial pool of Patient Access Codes are seeded through idempotent administrative scripts, so that the deployment can be rebuilt reproducibly rather than configured by hand.</w:t>
      </w:r>
    </w:p>
    <w:p>
      <w:pPr>
        <w:pStyle w:val="BodyofResearch"/>
        <w:numPr>
          <w:ilvl w:val="0"/>
          <w:numId w:val="2"/>
        </w:numPr>
        <w:spacing w:after="120"/>
        <w:ind w:left="1080" w:hanging="360"/>
        <w:jc w:val="both"/>
      </w:pPr>
      <w:r>
        <w:rPr>
          <w:b/>
        </w:rPr>
        <w:t xml:space="preserve">Account provisioning.</w:t>
      </w:r>
      <w:r>
        <w:rPr>
          <w:b w:val="0"/>
        </w:rPr>
        <w:t xml:space="preserve"> CRMC administrator accounts are created at staff and super levels, and each partner agency receives an agency administrator account which then creates its own coordinator accounts. Every staff account enrols in two-step verification during onboarding.</w:t>
      </w:r>
    </w:p>
    <w:p>
      <w:pPr>
        <w:pStyle w:val="BodyofResearch"/>
        <w:numPr>
          <w:ilvl w:val="0"/>
          <w:numId w:val="2"/>
        </w:numPr>
        <w:spacing w:after="120"/>
        <w:ind w:left="1080" w:hanging="360"/>
        <w:jc w:val="both"/>
      </w:pPr>
      <w:r>
        <w:rPr>
          <w:b/>
        </w:rPr>
        <w:t xml:space="preserve">Access code issuance workflow.</w:t>
      </w:r>
      <w:r>
        <w:rPr>
          <w:b w:val="0"/>
        </w:rPr>
        <w:t xml:space="preserve"> CRMC Medical Social Services generates an initial batch of Patient Access Codes and establishes the desk procedure for issuing them — printed slip with QR code — as part of existing patient intake.</w:t>
      </w:r>
    </w:p>
    <w:p>
      <w:pPr>
        <w:pStyle w:val="BodyofResearch"/>
        <w:numPr>
          <w:ilvl w:val="0"/>
          <w:numId w:val="2"/>
        </w:numPr>
        <w:spacing w:after="120"/>
        <w:ind w:left="1080" w:hanging="360"/>
        <w:jc w:val="both"/>
      </w:pPr>
      <w:r>
        <w:rPr>
          <w:b/>
        </w:rPr>
        <w:t xml:space="preserve">Interview slot publication.</w:t>
      </w:r>
      <w:r>
        <w:rPr>
          <w:b w:val="0"/>
        </w:rPr>
        <w:t xml:space="preserve"> CRMC publishes the first weeks of assessment-interview slots, setting the daily capacity to match the number of interviews the Medical Social Service office can actually conduct.</w:t>
      </w:r>
    </w:p>
    <w:p>
      <w:pPr>
        <w:pStyle w:val="BodyofResearch"/>
        <w:numPr>
          <w:ilvl w:val="0"/>
          <w:numId w:val="2"/>
        </w:numPr>
        <w:spacing w:after="120"/>
        <w:ind w:left="1080" w:hanging="360"/>
        <w:jc w:val="both"/>
      </w:pPr>
      <w:r>
        <w:rPr>
          <w:b/>
        </w:rPr>
        <w:t xml:space="preserve">Staff training.</w:t>
      </w:r>
      <w:r>
        <w:rPr>
          <w:b w:val="0"/>
        </w:rPr>
        <w:t xml:space="preserve"> Three role-specific training sessions are delivered — patients' frontline assistants, agency coordinators, and CRMC administrators — each built around the in-system guided tour and the role guide pages rather than a separate manual, so that the training artifact and the system stay in step.</w:t>
      </w:r>
    </w:p>
    <w:p>
      <w:pPr>
        <w:pStyle w:val="BodyofResearch"/>
        <w:numPr>
          <w:ilvl w:val="0"/>
          <w:numId w:val="2"/>
        </w:numPr>
        <w:spacing w:after="120"/>
        <w:ind w:left="1080" w:hanging="360"/>
        <w:jc w:val="both"/>
      </w:pPr>
      <w:r>
        <w:rPr>
          <w:b/>
        </w:rPr>
        <w:t xml:space="preserve">Pilot operation.</w:t>
      </w:r>
      <w:r>
        <w:rPr>
          <w:b w:val="0"/>
        </w:rPr>
        <w:t xml:space="preserve"> The system runs in parallel with the existing paper process for an agreed pilot period, so that no patient is disadvantaged by a system fault and the two records can be reconciled.</w:t>
      </w:r>
    </w:p>
    <w:p>
      <w:pPr>
        <w:pStyle w:val="BodyofResearch"/>
        <w:numPr>
          <w:ilvl w:val="0"/>
          <w:numId w:val="2"/>
        </w:numPr>
        <w:spacing w:after="120"/>
        <w:ind w:left="1080" w:hanging="360"/>
        <w:jc w:val="both"/>
      </w:pPr>
      <w:r>
        <w:rPr>
          <w:b/>
        </w:rPr>
        <w:t xml:space="preserve">Cutover review.</w:t>
      </w:r>
      <w:r>
        <w:rPr>
          <w:b w:val="0"/>
        </w:rPr>
        <w:t xml:space="preserve"> At the end of the pilot, CRMC and the partner agencies review the reconciliation and decide whether to retire the parallel paper process.</w:t>
      </w:r>
    </w:p>
    <w:p>
      <w:pPr>
        <w:pStyle w:val="BodyofResearch"/>
        <w:keepNext/>
        <w:keepLines/>
        <w:spacing w:before="180" w:after="120"/>
        <w:jc w:val="left"/>
      </w:pPr>
      <w:r>
        <w:rPr>
          <w:b/>
        </w:rPr>
        <w:t xml:space="preserve">Resources Required</w:t>
      </w:r>
    </w:p>
    <w:p>
      <w:pPr>
        <w:pStyle w:val="BodyofResearch"/>
        <w:ind w:firstLine="720"/>
        <w:jc w:val="both"/>
      </w:pPr>
      <w:r>
        <w:rPr>
          <w:b w:val="0"/>
        </w:rPr>
        <w:t xml:space="preserve">The system requires no server hardware. The resources that must be committed are a metered Firebase project with a billing account and a budget alert, a Vercel project, a transactional electronic mail sender on a CRMC-controlled domain, an SMS gateway account with an approved sender name, workstations and internet access at the Medical Social Service and partner agency desks, a printer and scanner for the wet-signed Guarantee Letter step, and named CRMC personnel for system administration and for data protection.</w:t>
      </w:r>
    </w:p>
    <w:p>
      <w:pPr>
        <w:pStyle w:val="BodyofResearch"/>
        <w:keepNext/>
        <w:keepLines/>
        <w:spacing w:before="180" w:after="120"/>
        <w:jc w:val="left"/>
      </w:pPr>
      <w:r>
        <w:rPr>
          <w:b/>
        </w:rPr>
        <w:t xml:space="preserve">Site-Specific Requirements and Readiness Gates</w:t>
      </w:r>
    </w:p>
    <w:p>
      <w:pPr>
        <w:pStyle w:val="BodyofResearch"/>
        <w:ind w:firstLine="720"/>
        <w:jc w:val="both"/>
      </w:pPr>
      <w:r>
        <w:rPr>
          <w:b w:val="0"/>
        </w:rPr>
        <w:t xml:space="preserve">Certain conditions must be satisfied before the system can carry real patient data at scale. These are stated as gates rather than as recommendations because each represents an institutional commitment that no amount of engineering can substitute for.</w:t>
      </w:r>
    </w:p>
    <w:p>
      <w:pPr>
        <w:pStyle w:val="BodyofResearch"/>
        <w:numPr>
          <w:ilvl w:val="0"/>
          <w:numId w:val="3"/>
        </w:numPr>
        <w:spacing w:after="120"/>
        <w:ind w:left="1080" w:hanging="360"/>
        <w:jc w:val="both"/>
      </w:pPr>
      <w:r>
        <w:rPr>
          <w:b/>
        </w:rPr>
        <w:t xml:space="preserve">Institutional ownership.</w:t>
      </w:r>
      <w:r>
        <w:rPr>
          <w:b w:val="0"/>
        </w:rPr>
        <w:t xml:space="preserve"> The Firebase and Vercel projects are currently held under a personal developer account. Ownership must transfer to a CRMC-controlled account with a named maintenance owner, since a project tied to a graduating student is a single point of failure.</w:t>
      </w:r>
    </w:p>
    <w:p>
      <w:pPr>
        <w:pStyle w:val="BodyofResearch"/>
        <w:numPr>
          <w:ilvl w:val="0"/>
          <w:numId w:val="3"/>
        </w:numPr>
        <w:spacing w:after="120"/>
        <w:ind w:left="1080" w:hanging="360"/>
        <w:jc w:val="both"/>
      </w:pPr>
      <w:r>
        <w:rPr>
          <w:b/>
        </w:rPr>
        <w:t xml:space="preserve">Data Protection Officer sign-off and retention policy.</w:t>
      </w:r>
      <w:r>
        <w:rPr>
          <w:b w:val="0"/>
        </w:rPr>
        <w:t xml:space="preserve"> CRMC's Data Protection Officer must approve the processing and set a retention period for identification documents and live selfies, with a scheduled purge implemented against it. This is non-negotiable for a system holding real personal information.</w:t>
      </w:r>
    </w:p>
    <w:p>
      <w:pPr>
        <w:pStyle w:val="BodyofResearch"/>
        <w:numPr>
          <w:ilvl w:val="0"/>
          <w:numId w:val="3"/>
        </w:numPr>
        <w:spacing w:after="120"/>
        <w:ind w:left="1080" w:hanging="360"/>
        <w:jc w:val="both"/>
      </w:pPr>
      <w:r>
        <w:rPr>
          <w:b/>
        </w:rPr>
        <w:t xml:space="preserve">Transactional electronic mail sender.</w:t>
      </w:r>
      <w:r>
        <w:rPr>
          <w:b w:val="0"/>
        </w:rPr>
        <w:t xml:space="preserve"> Notification mail currently relies on a single mailbox application password with no domain authentication records, which limits daily volume and risks spam classification. A transactional sender on a CRMC domain must be provisioned before scaling.</w:t>
      </w:r>
    </w:p>
    <w:p>
      <w:pPr>
        <w:pStyle w:val="BodyofResearch"/>
        <w:numPr>
          <w:ilvl w:val="0"/>
          <w:numId w:val="3"/>
        </w:numPr>
        <w:spacing w:after="120"/>
        <w:ind w:left="1080" w:hanging="360"/>
        <w:jc w:val="both"/>
      </w:pPr>
      <w:r>
        <w:rPr>
          <w:b/>
        </w:rPr>
        <w:t xml:space="preserve">SMS activation.</w:t>
      </w:r>
      <w:r>
        <w:rPr>
          <w:b w:val="0"/>
        </w:rPr>
        <w:t xml:space="preserve"> The SMS channel is implemented but inactive pending gateway approval of the sender name; until it is live, a patient with no reliable electronic mail is the weakest link in reachability.</w:t>
      </w:r>
    </w:p>
    <w:p>
      <w:pPr>
        <w:pStyle w:val="BodyofResearch"/>
        <w:numPr>
          <w:ilvl w:val="0"/>
          <w:numId w:val="3"/>
        </w:numPr>
        <w:spacing w:after="120"/>
        <w:ind w:left="1080" w:hanging="360"/>
        <w:jc w:val="both"/>
      </w:pPr>
      <w:r>
        <w:rPr>
          <w:b/>
        </w:rPr>
        <w:t xml:space="preserve">Backup and restore verification.</w:t>
      </w:r>
      <w:r>
        <w:rPr>
          <w:b w:val="0"/>
        </w:rPr>
        <w:t xml:space="preserve"> Scheduled database backups are enabled, but the retention window must be widened and a restore must be performed and verified, on the principle that an untested backup is not a backup.</w:t>
      </w:r>
    </w:p>
    <w:p>
      <w:pPr>
        <w:pStyle w:val="BodyofResearch"/>
        <w:numPr>
          <w:ilvl w:val="0"/>
          <w:numId w:val="3"/>
        </w:numPr>
        <w:spacing w:after="120"/>
        <w:ind w:left="1080" w:hanging="360"/>
        <w:jc w:val="both"/>
      </w:pPr>
      <w:r>
        <w:rPr>
          <w:b/>
        </w:rPr>
        <w:t xml:space="preserve">Monitoring activation.</w:t>
      </w:r>
      <w:r>
        <w:rPr>
          <w:b w:val="0"/>
        </w:rPr>
        <w:t xml:space="preserve"> Error tracking and application attestation are integrated but require console registration and environment configuration to become active, and an external uptime check should be added for the site and the mail route.</w:t>
      </w:r>
    </w:p>
    <w:p>
      <w:pPr>
        <w:pStyle w:val="BodyofResearch"/>
        <w:numPr>
          <w:ilvl w:val="0"/>
          <w:numId w:val="3"/>
        </w:numPr>
        <w:spacing w:after="120"/>
        <w:ind w:left="1080" w:hanging="360"/>
        <w:jc w:val="both"/>
      </w:pPr>
      <w:r>
        <w:rPr>
          <w:b/>
        </w:rPr>
        <w:t xml:space="preserve">Budget alert.</w:t>
      </w:r>
      <w:r>
        <w:rPr>
          <w:b w:val="0"/>
        </w:rPr>
        <w:t xml:space="preserve"> A spending alert must be configured on the metered plan so that an unexpected cost is surfaced before it becomes a bill.</w:t>
      </w:r>
    </w:p>
    <w:p>
      <w:pPr>
        <w:pStyle w:val="BodyofResearch"/>
        <w:keepNext/>
        <w:keepLines/>
        <w:spacing w:before="180" w:after="120"/>
        <w:jc w:val="left"/>
      </w:pPr>
      <w:r>
        <w:rPr>
          <w:b/>
        </w:rPr>
        <w:t xml:space="preserve">Risks and Contingencies</w:t>
      </w:r>
    </w:p>
    <w:p>
      <w:pPr>
        <w:pStyle w:val="BodyofResearch"/>
        <w:ind w:firstLine="720"/>
        <w:jc w:val="both"/>
      </w:pPr>
      <w:r>
        <w:rPr>
          <w:b w:val="0"/>
        </w:rPr>
        <w:t xml:space="preserve">Three risks warrant a stated contingency. If connectivity at the Medical Social Service desk fails, document verification and endorsement stall; the contingency is the parallel paper process retained through the pilot. If a patient cannot access the system at all — no smartphone, no electronic mail, or no literacy in either interface language — the contingency is assisted filing at the CRMC desk, with the representative-filing feature covering the case where a relative files on the patient's behalf. If an agency withdraws from the platform, the contingency is the agency-disable workflow, which offers an explicit choice between auto-rejecting in-flight applications without imposing a cooldown on the affected patients, or holding them pending re-enablement.</w:t>
      </w:r>
    </w:p>
    <w:p>
      <w:r>
        <w:br w:type="page"/>
      </w:r>
    </w:p>
    <w:p>
      <w:pPr>
        <w:pStyle w:val="Heading2"/>
        <w:keepNext/>
        <w:keepLines/>
        <w:spacing w:before="240" w:after="240"/>
        <w:jc w:val="left"/>
      </w:pPr>
      <w:r>
        <w:rPr>
          <w:b/>
        </w:rPr>
        <w:t xml:space="preserve">Implementation Results</w:t>
      </w:r>
    </w:p>
    <w:p>
      <w:pPr>
        <w:pStyle w:val="BodyofResearch"/>
        <w:ind w:firstLine="720"/>
        <w:jc w:val="both"/>
      </w:pPr>
      <w:r>
        <w:rPr>
          <w:b w:val="0"/>
        </w:rPr>
        <w:t xml:space="preserve">This section presents the outcomes obtained from the implementation: the state of the deployed system, its measured performance, the results of the stakeholder interview-questionnaire, and the traceability of the project's objectives to delivered features.</w:t>
      </w:r>
    </w:p>
    <w:p>
      <w:pPr>
        <w:pStyle w:val="BodyofResearch"/>
        <w:keepNext/>
        <w:keepLines/>
        <w:spacing w:before="180" w:after="120"/>
        <w:jc w:val="left"/>
      </w:pPr>
      <w:r>
        <w:rPr>
          <w:b/>
        </w:rPr>
        <w:t xml:space="preserve">State of the Deployed System</w:t>
      </w:r>
    </w:p>
    <w:p>
      <w:pPr>
        <w:pStyle w:val="BodyofResearch"/>
        <w:ind w:firstLine="720"/>
        <w:jc w:val="both"/>
      </w:pPr>
      <w:r>
        <w:rPr>
          <w:b w:val="0"/>
        </w:rPr>
        <w:t xml:space="preserve">At the time of writing, the system is deployed and operating with the following components live: the patient, agency, and administrator interfaces across 46 pages; five enforced user roles; approximately eighteen Firestore collections governed by roughly 930 lines of security rules; seven Cloud Functions in the asia-southeast1 region; two serverless relay functions; scheduled database backups; staff two-step verification; application attestation in monitor mode; HTTP security headers with a report-only Content Security Policy; and a continuous integration pipeline executing 286 automated tests plus an end-to-end smoke suite on every change. The patient-facing interface is available in Filipino and English, and the Progressive Web Application install flow has been verified on physical Android hardware from the live deployment.</w:t>
      </w:r>
    </w:p>
    <w:p>
      <w:pPr>
        <w:pStyle w:val="BodyofResearch"/>
        <w:keepNext/>
        <w:keepLines/>
        <w:spacing w:before="180" w:after="120"/>
        <w:jc w:val="left"/>
      </w:pPr>
      <w:r>
        <w:rPr>
          <w:b/>
        </w:rPr>
        <w:t xml:space="preserve">Measured Performance</w:t>
      </w:r>
    </w:p>
    <w:p>
      <w:pPr>
        <w:pStyle w:val="BodyofResearch"/>
        <w:ind w:firstLine="720"/>
        <w:jc w:val="both"/>
      </w:pPr>
      <w:r>
        <w:rPr>
          <w:b w:val="0"/>
        </w:rPr>
        <w:t xml:space="preserve">Performance was measured against the targets stated in the non-functional requirements. Table 12 presents the results.</w:t>
      </w:r>
    </w:p>
    <w:p>
      <w:pPr>
        <w:pStyle w:val="BodyofResearch"/>
        <w:keepNext/>
        <w:keepLines/>
        <w:spacing w:before="180" w:after="60"/>
        <w:jc w:val="left"/>
      </w:pPr>
      <w:r>
        <w:rPr>
          <w:b w:val="0"/>
          <w:i/>
        </w:rPr>
        <w:t xml:space="preserve">Table 12. Measured Performance Against Targets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6" w:type="dxa"/>
          <w:bottom w:w="40" w:type="dxa"/>
          <w:right w:w="86" w:type="dxa"/>
        </w:tblCellMar>
        <w:tblLook w:val="04A0" w:firstRow="1" w:lastRow="0" w:firstColumn="1" w:lastColumn="0" w:noHBand="0" w:noVBand="1"/>
      </w:tblPr>
      <w:tblGrid>
        <w:gridCol w:w="3700"/>
        <w:gridCol w:w="1900"/>
        <w:gridCol w:w="2100"/>
        <w:gridCol w:w="1300"/>
      </w:tblGrid>
      <w:tr>
        <w:trPr>
          <w:tblHeader/>
          <w:cantSplit/>
        </w:trPr>
        <w:tc>
          <w:tcPr>
            <w:tcW w:w="3700" w:type="dxa"/>
            <w:vAlign w:val="center"/>
          </w:tcPr>
          <w:p>
            <w:pPr>
              <w:spacing w:after="0" w:line="240" w:lineRule="auto"/>
              <w:jc w:val="center"/>
            </w:pPr>
            <w:r>
              <w:rPr>
                <w:b/>
                <w:sz w:val="20"/>
                <w:szCs w:val="20"/>
              </w:rPr>
              <w:t xml:space="preserve">Metric</w:t>
            </w:r>
          </w:p>
        </w:tc>
        <w:tc>
          <w:tcPr>
            <w:tcW w:w="1900" w:type="dxa"/>
            <w:vAlign w:val="center"/>
          </w:tcPr>
          <w:p>
            <w:pPr>
              <w:spacing w:after="0" w:line="240" w:lineRule="auto"/>
              <w:jc w:val="center"/>
            </w:pPr>
            <w:r>
              <w:rPr>
                <w:b/>
                <w:sz w:val="20"/>
                <w:szCs w:val="20"/>
              </w:rPr>
              <w:t xml:space="preserve">Measured</w:t>
            </w:r>
          </w:p>
        </w:tc>
        <w:tc>
          <w:tcPr>
            <w:tcW w:w="2100" w:type="dxa"/>
            <w:vAlign w:val="center"/>
          </w:tcPr>
          <w:p>
            <w:pPr>
              <w:spacing w:after="0" w:line="240" w:lineRule="auto"/>
              <w:jc w:val="center"/>
            </w:pPr>
            <w:r>
              <w:rPr>
                <w:b/>
                <w:sz w:val="20"/>
                <w:szCs w:val="20"/>
              </w:rPr>
              <w:t xml:space="preserve">Target</w:t>
            </w:r>
          </w:p>
        </w:tc>
        <w:tc>
          <w:tcPr>
            <w:tcW w:w="1300" w:type="dxa"/>
            <w:vAlign w:val="center"/>
          </w:tcPr>
          <w:p>
            <w:pPr>
              <w:spacing w:after="0" w:line="240" w:lineRule="auto"/>
              <w:jc w:val="center"/>
            </w:pPr>
            <w:r>
              <w:rPr>
                <w:b/>
                <w:sz w:val="20"/>
                <w:szCs w:val="20"/>
              </w:rPr>
              <w:t xml:space="preserve">Result</w:t>
            </w:r>
          </w:p>
        </w:tc>
      </w:tr>
      <w:tr>
        <w:tc>
          <w:tcPr>
            <w:tcW w:w="3700" w:type="dxa"/>
            <w:vAlign w:val="center"/>
          </w:tcPr>
          <w:p>
            <w:pPr>
              <w:spacing w:after="0" w:line="240" w:lineRule="auto"/>
              <w:jc w:val="center"/>
            </w:pPr>
            <w:r>
              <w:rPr>
                <w:b w:val="0"/>
                <w:sz w:val="20"/>
                <w:szCs w:val="20"/>
              </w:rPr>
              <w:t xml:space="preserve">Initial patient bundle, compressed</w:t>
            </w:r>
          </w:p>
        </w:tc>
        <w:tc>
          <w:tcPr>
            <w:tcW w:w="1900" w:type="dxa"/>
            <w:vAlign w:val="center"/>
          </w:tcPr>
          <w:p>
            <w:pPr>
              <w:spacing w:after="0" w:line="240" w:lineRule="auto"/>
              <w:jc w:val="left"/>
            </w:pPr>
            <w:r>
              <w:rPr>
                <w:b w:val="0"/>
                <w:sz w:val="20"/>
                <w:szCs w:val="20"/>
              </w:rPr>
              <w:t xml:space="preserve">≈315 KB</w:t>
            </w:r>
          </w:p>
        </w:tc>
        <w:tc>
          <w:tcPr>
            <w:tcW w:w="2100" w:type="dxa"/>
            <w:vAlign w:val="center"/>
          </w:tcPr>
          <w:p>
            <w:pPr>
              <w:spacing w:after="0" w:line="240" w:lineRule="auto"/>
              <w:jc w:val="left"/>
            </w:pPr>
            <w:r>
              <w:rPr>
                <w:b w:val="0"/>
                <w:sz w:val="20"/>
                <w:szCs w:val="20"/>
              </w:rPr>
              <w:t xml:space="preserve">Under 400 KB</w:t>
            </w:r>
          </w:p>
        </w:tc>
        <w:tc>
          <w:tcPr>
            <w:tcW w:w="1300" w:type="dxa"/>
            <w:vAlign w:val="center"/>
          </w:tcPr>
          <w:p>
            <w:pPr>
              <w:spacing w:after="0" w:line="240" w:lineRule="auto"/>
              <w:jc w:val="center"/>
            </w:pPr>
            <w:r>
              <w:rPr>
                <w:b w:val="0"/>
                <w:sz w:val="20"/>
                <w:szCs w:val="20"/>
              </w:rPr>
              <w:t xml:space="preserve">Met</w:t>
            </w:r>
          </w:p>
        </w:tc>
      </w:tr>
      <w:tr>
        <w:tc>
          <w:tcPr>
            <w:tcW w:w="3700" w:type="dxa"/>
            <w:vAlign w:val="center"/>
          </w:tcPr>
          <w:p>
            <w:pPr>
              <w:spacing w:after="0" w:line="240" w:lineRule="auto"/>
              <w:jc w:val="center"/>
            </w:pPr>
            <w:r>
              <w:rPr>
                <w:b w:val="0"/>
                <w:sz w:val="20"/>
                <w:szCs w:val="20"/>
              </w:rPr>
              <w:t xml:space="preserve">Patient dashboard time-to-interactive on 4G</w:t>
            </w:r>
          </w:p>
        </w:tc>
        <w:tc>
          <w:tcPr>
            <w:tcW w:w="1900" w:type="dxa"/>
            <w:vAlign w:val="center"/>
          </w:tcPr>
          <w:p>
            <w:pPr>
              <w:spacing w:after="0" w:line="240" w:lineRule="auto"/>
              <w:jc w:val="left"/>
            </w:pPr>
            <w:r>
              <w:rPr>
                <w:b w:val="0"/>
                <w:sz w:val="20"/>
                <w:szCs w:val="20"/>
              </w:rPr>
              <w:t xml:space="preserve">≈2.5 s</w:t>
            </w:r>
          </w:p>
        </w:tc>
        <w:tc>
          <w:tcPr>
            <w:tcW w:w="2100" w:type="dxa"/>
            <w:vAlign w:val="center"/>
          </w:tcPr>
          <w:p>
            <w:pPr>
              <w:spacing w:after="0" w:line="240" w:lineRule="auto"/>
              <w:jc w:val="left"/>
            </w:pPr>
            <w:r>
              <w:rPr>
                <w:b w:val="0"/>
                <w:sz w:val="20"/>
                <w:szCs w:val="20"/>
              </w:rPr>
              <w:t xml:space="preserve">Under 4 s</w:t>
            </w:r>
          </w:p>
        </w:tc>
        <w:tc>
          <w:tcPr>
            <w:tcW w:w="1300" w:type="dxa"/>
            <w:vAlign w:val="center"/>
          </w:tcPr>
          <w:p>
            <w:pPr>
              <w:spacing w:after="0" w:line="240" w:lineRule="auto"/>
              <w:jc w:val="center"/>
            </w:pPr>
            <w:r>
              <w:rPr>
                <w:b w:val="0"/>
                <w:sz w:val="20"/>
                <w:szCs w:val="20"/>
              </w:rPr>
              <w:t xml:space="preserve">Met</w:t>
            </w:r>
          </w:p>
        </w:tc>
      </w:tr>
      <w:tr>
        <w:tc>
          <w:tcPr>
            <w:tcW w:w="3700" w:type="dxa"/>
            <w:vAlign w:val="center"/>
          </w:tcPr>
          <w:p>
            <w:pPr>
              <w:spacing w:after="0" w:line="240" w:lineRule="auto"/>
              <w:jc w:val="center"/>
            </w:pPr>
            <w:r>
              <w:rPr>
                <w:b w:val="0"/>
                <w:sz w:val="20"/>
                <w:szCs w:val="20"/>
              </w:rPr>
              <w:t xml:space="preserve">Find Programs render after navigation</w:t>
            </w:r>
          </w:p>
        </w:tc>
        <w:tc>
          <w:tcPr>
            <w:tcW w:w="1900" w:type="dxa"/>
            <w:vAlign w:val="center"/>
          </w:tcPr>
          <w:p>
            <w:pPr>
              <w:spacing w:after="0" w:line="240" w:lineRule="auto"/>
              <w:jc w:val="left"/>
            </w:pPr>
            <w:r>
              <w:rPr>
                <w:b w:val="0"/>
                <w:sz w:val="20"/>
                <w:szCs w:val="20"/>
              </w:rPr>
              <w:t xml:space="preserve">≈600 ms</w:t>
            </w:r>
          </w:p>
        </w:tc>
        <w:tc>
          <w:tcPr>
            <w:tcW w:w="2100" w:type="dxa"/>
            <w:vAlign w:val="center"/>
          </w:tcPr>
          <w:p>
            <w:pPr>
              <w:spacing w:after="0" w:line="240" w:lineRule="auto"/>
              <w:jc w:val="left"/>
            </w:pPr>
            <w:r>
              <w:rPr>
                <w:b w:val="0"/>
                <w:sz w:val="20"/>
                <w:szCs w:val="20"/>
              </w:rPr>
              <w:t xml:space="preserve">Under 1 s</w:t>
            </w:r>
          </w:p>
        </w:tc>
        <w:tc>
          <w:tcPr>
            <w:tcW w:w="1300" w:type="dxa"/>
            <w:vAlign w:val="center"/>
          </w:tcPr>
          <w:p>
            <w:pPr>
              <w:spacing w:after="0" w:line="240" w:lineRule="auto"/>
              <w:jc w:val="center"/>
            </w:pPr>
            <w:r>
              <w:rPr>
                <w:b w:val="0"/>
                <w:sz w:val="20"/>
                <w:szCs w:val="20"/>
              </w:rPr>
              <w:t xml:space="preserve">Met</w:t>
            </w:r>
          </w:p>
        </w:tc>
      </w:tr>
      <w:tr>
        <w:tc>
          <w:tcPr>
            <w:tcW w:w="3700" w:type="dxa"/>
            <w:vAlign w:val="center"/>
          </w:tcPr>
          <w:p>
            <w:pPr>
              <w:spacing w:after="0" w:line="240" w:lineRule="auto"/>
              <w:jc w:val="center"/>
            </w:pPr>
            <w:r>
              <w:rPr>
                <w:b w:val="0"/>
                <w:sz w:val="20"/>
                <w:szCs w:val="20"/>
              </w:rPr>
              <w:t xml:space="preserve">Firestore read latency, Manila to asia-southeast1</w:t>
            </w:r>
          </w:p>
        </w:tc>
        <w:tc>
          <w:tcPr>
            <w:tcW w:w="1900" w:type="dxa"/>
            <w:vAlign w:val="center"/>
          </w:tcPr>
          <w:p>
            <w:pPr>
              <w:spacing w:after="0" w:line="240" w:lineRule="auto"/>
              <w:jc w:val="left"/>
            </w:pPr>
            <w:r>
              <w:rPr>
                <w:b w:val="0"/>
                <w:sz w:val="20"/>
                <w:szCs w:val="20"/>
              </w:rPr>
              <w:t xml:space="preserve">≈80 ms</w:t>
            </w:r>
          </w:p>
        </w:tc>
        <w:tc>
          <w:tcPr>
            <w:tcW w:w="2100" w:type="dxa"/>
            <w:vAlign w:val="center"/>
          </w:tcPr>
          <w:p>
            <w:pPr>
              <w:spacing w:after="0" w:line="240" w:lineRule="auto"/>
              <w:jc w:val="left"/>
            </w:pPr>
            <w:r>
              <w:rPr>
                <w:b w:val="0"/>
                <w:sz w:val="20"/>
                <w:szCs w:val="20"/>
              </w:rPr>
              <w:t xml:space="preserve">Under 200 ms</w:t>
            </w:r>
          </w:p>
        </w:tc>
        <w:tc>
          <w:tcPr>
            <w:tcW w:w="1300" w:type="dxa"/>
            <w:vAlign w:val="center"/>
          </w:tcPr>
          <w:p>
            <w:pPr>
              <w:spacing w:after="0" w:line="240" w:lineRule="auto"/>
              <w:jc w:val="center"/>
            </w:pPr>
            <w:r>
              <w:rPr>
                <w:b w:val="0"/>
                <w:sz w:val="20"/>
                <w:szCs w:val="20"/>
              </w:rPr>
              <w:t xml:space="preserve">Met</w:t>
            </w:r>
          </w:p>
        </w:tc>
      </w:tr>
      <w:tr>
        <w:tc>
          <w:tcPr>
            <w:tcW w:w="3700" w:type="dxa"/>
            <w:vAlign w:val="center"/>
          </w:tcPr>
          <w:p>
            <w:pPr>
              <w:spacing w:after="0" w:line="240" w:lineRule="auto"/>
              <w:jc w:val="center"/>
            </w:pPr>
            <w:r>
              <w:rPr>
                <w:b w:val="0"/>
                <w:sz w:val="20"/>
                <w:szCs w:val="20"/>
              </w:rPr>
              <w:t xml:space="preserve">Page transition animation</w:t>
            </w:r>
          </w:p>
        </w:tc>
        <w:tc>
          <w:tcPr>
            <w:tcW w:w="1900" w:type="dxa"/>
            <w:vAlign w:val="center"/>
          </w:tcPr>
          <w:p>
            <w:pPr>
              <w:spacing w:after="0" w:line="240" w:lineRule="auto"/>
              <w:jc w:val="left"/>
            </w:pPr>
            <w:r>
              <w:rPr>
                <w:b w:val="0"/>
                <w:sz w:val="20"/>
                <w:szCs w:val="20"/>
              </w:rPr>
              <w:t xml:space="preserve">180 ms</w:t>
            </w:r>
          </w:p>
        </w:tc>
        <w:tc>
          <w:tcPr>
            <w:tcW w:w="2100" w:type="dxa"/>
            <w:vAlign w:val="center"/>
          </w:tcPr>
          <w:p>
            <w:pPr>
              <w:spacing w:after="0" w:line="240" w:lineRule="auto"/>
              <w:jc w:val="left"/>
            </w:pPr>
            <w:r>
              <w:rPr>
                <w:b w:val="0"/>
                <w:sz w:val="20"/>
                <w:szCs w:val="20"/>
              </w:rPr>
              <w:t xml:space="preserve">Under 250 ms</w:t>
            </w:r>
          </w:p>
        </w:tc>
        <w:tc>
          <w:tcPr>
            <w:tcW w:w="1300" w:type="dxa"/>
            <w:vAlign w:val="center"/>
          </w:tcPr>
          <w:p>
            <w:pPr>
              <w:spacing w:after="0" w:line="240" w:lineRule="auto"/>
              <w:jc w:val="center"/>
            </w:pPr>
            <w:r>
              <w:rPr>
                <w:b w:val="0"/>
                <w:sz w:val="20"/>
                <w:szCs w:val="20"/>
              </w:rPr>
              <w:t xml:space="preserve">Met</w:t>
            </w:r>
          </w:p>
        </w:tc>
      </w:tr>
      <w:tr>
        <w:tc>
          <w:tcPr>
            <w:tcW w:w="3700" w:type="dxa"/>
            <w:vAlign w:val="center"/>
          </w:tcPr>
          <w:p>
            <w:pPr>
              <w:spacing w:after="0" w:line="240" w:lineRule="auto"/>
              <w:jc w:val="center"/>
            </w:pPr>
            <w:r>
              <w:rPr>
                <w:b w:val="0"/>
                <w:sz w:val="20"/>
                <w:szCs w:val="20"/>
              </w:rPr>
              <w:t xml:space="preserve">Unit and component suite wall time</w:t>
            </w:r>
          </w:p>
        </w:tc>
        <w:tc>
          <w:tcPr>
            <w:tcW w:w="1900" w:type="dxa"/>
            <w:vAlign w:val="center"/>
          </w:tcPr>
          <w:p>
            <w:pPr>
              <w:spacing w:after="0" w:line="240" w:lineRule="auto"/>
              <w:jc w:val="left"/>
            </w:pPr>
            <w:r>
              <w:rPr>
                <w:b w:val="0"/>
                <w:sz w:val="20"/>
                <w:szCs w:val="20"/>
              </w:rPr>
              <w:t xml:space="preserve">≈16 s</w:t>
            </w:r>
          </w:p>
        </w:tc>
        <w:tc>
          <w:tcPr>
            <w:tcW w:w="2100" w:type="dxa"/>
            <w:vAlign w:val="center"/>
          </w:tcPr>
          <w:p>
            <w:pPr>
              <w:spacing w:after="0" w:line="240" w:lineRule="auto"/>
              <w:jc w:val="left"/>
            </w:pPr>
            <w:r>
              <w:rPr>
                <w:b w:val="0"/>
                <w:sz w:val="20"/>
                <w:szCs w:val="20"/>
              </w:rPr>
              <w:t xml:space="preserve">Fast enough for pre-commit</w:t>
            </w:r>
          </w:p>
        </w:tc>
        <w:tc>
          <w:tcPr>
            <w:tcW w:w="1300" w:type="dxa"/>
            <w:vAlign w:val="center"/>
          </w:tcPr>
          <w:p>
            <w:pPr>
              <w:spacing w:after="0" w:line="240" w:lineRule="auto"/>
              <w:jc w:val="center"/>
            </w:pPr>
            <w:r>
              <w:rPr>
                <w:b w:val="0"/>
                <w:sz w:val="20"/>
                <w:szCs w:val="20"/>
              </w:rPr>
              <w:t xml:space="preserve">Met</w:t>
            </w:r>
          </w:p>
        </w:tc>
      </w:tr>
    </w:tbl>
    <w:p>
      <w:pPr>
        <w:pStyle w:val="BodyofResearch"/>
        <w:spacing w:after="0" w:line="240" w:lineRule="auto"/>
      </w:pPr>
    </w:p>
    <w:p>
      <w:pPr>
        <w:pStyle w:val="BodyofResearch"/>
        <w:ind w:firstLine="720"/>
        <w:jc w:val="both"/>
      </w:pPr>
      <w:r>
        <w:rPr>
          <w:b w:val="0"/>
        </w:rPr>
        <w:t xml:space="preserve">The bundle figure warrants a qualification. The compressed patient bundle meets its target, but the shared vendor chunk remains dominated by the Firebase software development kit, and first paint on a slow 3G connection is heavier than the proponents would like. Code splitting per route and lazy loading of the optical character recognition module were applied to contain this; a formal performance budget with monitoring was not established within the study period and is carried forward as a recommendation.</w:t>
      </w:r>
    </w:p>
    <w:p>
      <w:pPr>
        <w:pStyle w:val="BodyofResearch"/>
        <w:keepNext/>
        <w:keepLines/>
        <w:spacing w:before="180" w:after="120"/>
        <w:jc w:val="left"/>
      </w:pPr>
      <w:r>
        <w:rPr>
          <w:b/>
        </w:rPr>
        <w:t xml:space="preserve">Stakeholder Interview-Questionnaire Results</w:t>
      </w:r>
    </w:p>
    <w:p>
      <w:pPr>
        <w:pStyle w:val="BodyofResearch"/>
        <w:ind w:firstLine="720"/>
        <w:jc w:val="both"/>
      </w:pPr>
      <w:r>
        <w:rPr>
          <w:b w:val="0"/>
        </w:rPr>
        <w:t xml:space="preserve">A structured interview-questionnaire was administered to nine respondents at CRMC — three patients, three social workers, and three supervisors — drawn from the Medical Social Service, the Malasakit Center, and the Municipal Social Welfare and Development Office. Responses were captured on a five-point Likert scale where 5 denotes Strongly Agree, 4 Agree, 3 Neutral, 2 Disagree, and 1 Strongly Disagree. Table 13 presents the group means.</w:t>
      </w:r>
    </w:p>
    <w:p>
      <w:pPr>
        <w:pStyle w:val="BodyofResearch"/>
        <w:keepNext/>
        <w:keepLines/>
        <w:spacing w:before="180" w:after="60"/>
        <w:jc w:val="left"/>
      </w:pPr>
      <w:r>
        <w:rPr>
          <w:b w:val="0"/>
          <w:i/>
        </w:rPr>
        <w:t xml:space="preserve">Table 13. Interview-Questionnaire Results by Respondent Group</w:t>
      </w:r>
    </w:p>
    <w:tbl>
      <w:tblPr>
        <w:tblStyle w:val="TableGrid"/>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6" w:type="dxa"/>
          <w:bottom w:w="40" w:type="dxa"/>
          <w:right w:w="86" w:type="dxa"/>
        </w:tblCellMar>
        <w:tblLook w:val="04A0" w:firstRow="1" w:lastRow="0" w:firstColumn="1" w:lastColumn="0" w:noHBand="0" w:noVBand="1"/>
      </w:tblPr>
      <w:tblGrid>
        <w:gridCol w:w="2100"/>
        <w:gridCol w:w="4600"/>
        <w:gridCol w:w="1150"/>
        <w:gridCol w:w="1550"/>
      </w:tblGrid>
      <w:tr>
        <w:trPr>
          <w:tblHeader/>
          <w:cantSplit/>
        </w:trPr>
        <w:tc>
          <w:tcPr>
            <w:tcW w:w="2100" w:type="dxa"/>
            <w:vAlign w:val="center"/>
          </w:tcPr>
          <w:p>
            <w:pPr>
              <w:spacing w:after="0" w:line="240" w:lineRule="auto"/>
              <w:jc w:val="center"/>
            </w:pPr>
            <w:r>
              <w:rPr>
                <w:b/>
                <w:sz w:val="20"/>
                <w:szCs w:val="20"/>
              </w:rPr>
              <w:t xml:space="preserve">Respondent group</w:t>
            </w:r>
          </w:p>
        </w:tc>
        <w:tc>
          <w:tcPr>
            <w:tcW w:w="4600" w:type="dxa"/>
            <w:vAlign w:val="center"/>
          </w:tcPr>
          <w:p>
            <w:pPr>
              <w:spacing w:after="0" w:line="240" w:lineRule="auto"/>
              <w:jc w:val="center"/>
            </w:pPr>
            <w:r>
              <w:rPr>
                <w:b/>
                <w:sz w:val="20"/>
                <w:szCs w:val="20"/>
              </w:rPr>
              <w:t xml:space="preserve">Item</w:t>
            </w:r>
          </w:p>
        </w:tc>
        <w:tc>
          <w:tcPr>
            <w:tcW w:w="1150" w:type="dxa"/>
            <w:vAlign w:val="center"/>
          </w:tcPr>
          <w:p>
            <w:pPr>
              <w:spacing w:after="0" w:line="240" w:lineRule="auto"/>
              <w:jc w:val="center"/>
            </w:pPr>
            <w:r>
              <w:rPr>
                <w:b/>
                <w:sz w:val="20"/>
                <w:szCs w:val="20"/>
              </w:rPr>
              <w:t xml:space="preserve">Mean</w:t>
            </w:r>
          </w:p>
        </w:tc>
        <w:tc>
          <w:tcPr>
            <w:tcW w:w="1550" w:type="dxa"/>
            <w:vAlign w:val="center"/>
          </w:tcPr>
          <w:p>
            <w:pPr>
              <w:spacing w:after="0" w:line="240" w:lineRule="auto"/>
              <w:jc w:val="center"/>
            </w:pPr>
            <w:r>
              <w:rPr>
                <w:b/>
                <w:sz w:val="20"/>
                <w:szCs w:val="20"/>
              </w:rPr>
              <w:t xml:space="preserve">Interpretation</w:t>
            </w:r>
          </w:p>
        </w:tc>
      </w:tr>
      <w:tr>
        <w:tc>
          <w:tcPr>
            <w:tcW w:w="2100" w:type="dxa"/>
            <w:vAlign w:val="center"/>
          </w:tcPr>
          <w:p>
            <w:pPr>
              <w:spacing w:after="0" w:line="240" w:lineRule="auto"/>
              <w:jc w:val="center"/>
            </w:pPr>
            <w:r>
              <w:rPr>
                <w:b w:val="0"/>
                <w:sz w:val="20"/>
                <w:szCs w:val="20"/>
              </w:rPr>
              <w:t xml:space="preserve">Patients (n = 3)</w:t>
            </w:r>
          </w:p>
        </w:tc>
        <w:tc>
          <w:tcPr>
            <w:tcW w:w="4600" w:type="dxa"/>
            <w:vAlign w:val="center"/>
          </w:tcPr>
          <w:p>
            <w:pPr>
              <w:spacing w:after="0" w:line="240" w:lineRule="auto"/>
              <w:jc w:val="left"/>
            </w:pPr>
            <w:r>
              <w:rPr>
                <w:b w:val="0"/>
                <w:sz w:val="20"/>
                <w:szCs w:val="20"/>
              </w:rPr>
              <w:t xml:space="preserve">Difficulty identifying the programs they qualify for</w:t>
            </w:r>
          </w:p>
        </w:tc>
        <w:tc>
          <w:tcPr>
            <w:tcW w:w="1150" w:type="dxa"/>
            <w:vAlign w:val="center"/>
          </w:tcPr>
          <w:p>
            <w:pPr>
              <w:spacing w:after="0" w:line="240" w:lineRule="auto"/>
              <w:jc w:val="left"/>
            </w:pPr>
            <w:r>
              <w:rPr>
                <w:b w:val="0"/>
                <w:sz w:val="20"/>
                <w:szCs w:val="20"/>
              </w:rPr>
              <w:t xml:space="preserve">4.00</w:t>
            </w:r>
          </w:p>
        </w:tc>
        <w:tc>
          <w:tcPr>
            <w:tcW w:w="1550" w:type="dxa"/>
            <w:vAlign w:val="center"/>
          </w:tcPr>
          <w:p>
            <w:pPr>
              <w:spacing w:after="0" w:line="240" w:lineRule="auto"/>
              <w:jc w:val="center"/>
            </w:pPr>
            <w:r>
              <w:rPr>
                <w:b w:val="0"/>
                <w:sz w:val="20"/>
                <w:szCs w:val="20"/>
              </w:rPr>
              <w:t xml:space="preserve">Agree</w:t>
            </w:r>
          </w:p>
        </w:tc>
      </w:tr>
      <w:tr>
        <w:tc>
          <w:tcPr>
            <w:tcW w:w="2100" w:type="dxa"/>
            <w:vAlign w:val="center"/>
          </w:tcPr>
          <w:p>
            <w:pPr>
              <w:spacing w:after="0" w:line="240" w:lineRule="auto"/>
              <w:jc w:val="center"/>
            </w:pPr>
            <w:r>
              <w:rPr>
                <w:b w:val="0"/>
                <w:sz w:val="20"/>
                <w:szCs w:val="20"/>
              </w:rPr>
              <w:t xml:space="preserve">Patients (n = 3)</w:t>
            </w:r>
          </w:p>
        </w:tc>
        <w:tc>
          <w:tcPr>
            <w:tcW w:w="4600" w:type="dxa"/>
            <w:vAlign w:val="center"/>
          </w:tcPr>
          <w:p>
            <w:pPr>
              <w:spacing w:after="0" w:line="240" w:lineRule="auto"/>
              <w:jc w:val="left"/>
            </w:pPr>
            <w:r>
              <w:rPr>
                <w:b w:val="0"/>
                <w:sz w:val="20"/>
                <w:szCs w:val="20"/>
              </w:rPr>
              <w:t xml:space="preserve">Overall rating of the proposed MAPA system features</w:t>
            </w:r>
          </w:p>
        </w:tc>
        <w:tc>
          <w:tcPr>
            <w:tcW w:w="1150" w:type="dxa"/>
            <w:vAlign w:val="center"/>
          </w:tcPr>
          <w:p>
            <w:pPr>
              <w:spacing w:after="0" w:line="240" w:lineRule="auto"/>
              <w:jc w:val="left"/>
            </w:pPr>
            <w:r>
              <w:rPr>
                <w:b w:val="0"/>
                <w:sz w:val="20"/>
                <w:szCs w:val="20"/>
              </w:rPr>
              <w:t xml:space="preserve">4.37</w:t>
            </w:r>
          </w:p>
        </w:tc>
        <w:tc>
          <w:tcPr>
            <w:tcW w:w="1550" w:type="dxa"/>
            <w:vAlign w:val="center"/>
          </w:tcPr>
          <w:p>
            <w:pPr>
              <w:spacing w:after="0" w:line="240" w:lineRule="auto"/>
              <w:jc w:val="center"/>
            </w:pPr>
            <w:r>
              <w:rPr>
                <w:b w:val="0"/>
                <w:sz w:val="20"/>
                <w:szCs w:val="20"/>
              </w:rPr>
              <w:t xml:space="preserve">Agree</w:t>
            </w:r>
          </w:p>
        </w:tc>
      </w:tr>
      <w:tr>
        <w:tc>
          <w:tcPr>
            <w:tcW w:w="2100" w:type="dxa"/>
            <w:vAlign w:val="center"/>
          </w:tcPr>
          <w:p>
            <w:pPr>
              <w:spacing w:after="0" w:line="240" w:lineRule="auto"/>
              <w:jc w:val="center"/>
            </w:pPr>
            <w:r>
              <w:rPr>
                <w:b w:val="0"/>
                <w:sz w:val="20"/>
                <w:szCs w:val="20"/>
              </w:rPr>
              <w:t xml:space="preserve">Social workers (n = 3)</w:t>
            </w:r>
          </w:p>
        </w:tc>
        <w:tc>
          <w:tcPr>
            <w:tcW w:w="4600" w:type="dxa"/>
            <w:vAlign w:val="center"/>
          </w:tcPr>
          <w:p>
            <w:pPr>
              <w:spacing w:after="0" w:line="240" w:lineRule="auto"/>
              <w:jc w:val="left"/>
            </w:pPr>
            <w:r>
              <w:rPr>
                <w:b w:val="0"/>
                <w:sz w:val="20"/>
                <w:szCs w:val="20"/>
              </w:rPr>
              <w:t xml:space="preserve">Patients arriving with incomplete documents is a significant operational challenge</w:t>
            </w:r>
          </w:p>
        </w:tc>
        <w:tc>
          <w:tcPr>
            <w:tcW w:w="1150" w:type="dxa"/>
            <w:vAlign w:val="center"/>
          </w:tcPr>
          <w:p>
            <w:pPr>
              <w:spacing w:after="0" w:line="240" w:lineRule="auto"/>
              <w:jc w:val="left"/>
            </w:pPr>
            <w:r>
              <w:rPr>
                <w:b w:val="0"/>
                <w:sz w:val="20"/>
                <w:szCs w:val="20"/>
              </w:rPr>
              <w:t xml:space="preserve">4.00</w:t>
            </w:r>
          </w:p>
        </w:tc>
        <w:tc>
          <w:tcPr>
            <w:tcW w:w="1550" w:type="dxa"/>
            <w:vAlign w:val="center"/>
          </w:tcPr>
          <w:p>
            <w:pPr>
              <w:spacing w:after="0" w:line="240" w:lineRule="auto"/>
              <w:jc w:val="center"/>
            </w:pPr>
            <w:r>
              <w:rPr>
                <w:b w:val="0"/>
                <w:sz w:val="20"/>
                <w:szCs w:val="20"/>
              </w:rPr>
              <w:t xml:space="preserve">Agree</w:t>
            </w:r>
          </w:p>
        </w:tc>
      </w:tr>
      <w:tr>
        <w:tc>
          <w:tcPr>
            <w:tcW w:w="2100" w:type="dxa"/>
            <w:vAlign w:val="center"/>
          </w:tcPr>
          <w:p>
            <w:pPr>
              <w:spacing w:after="0" w:line="240" w:lineRule="auto"/>
              <w:jc w:val="center"/>
            </w:pPr>
            <w:r>
              <w:rPr>
                <w:b w:val="0"/>
                <w:sz w:val="20"/>
                <w:szCs w:val="20"/>
              </w:rPr>
              <w:t xml:space="preserve">Social workers (n = 3)</w:t>
            </w:r>
          </w:p>
        </w:tc>
        <w:tc>
          <w:tcPr>
            <w:tcW w:w="4600" w:type="dxa"/>
            <w:vAlign w:val="center"/>
          </w:tcPr>
          <w:p>
            <w:pPr>
              <w:spacing w:after="0" w:line="240" w:lineRule="auto"/>
              <w:jc w:val="left"/>
            </w:pPr>
            <w:r>
              <w:rPr>
                <w:b w:val="0"/>
                <w:sz w:val="20"/>
                <w:szCs w:val="20"/>
              </w:rPr>
              <w:t xml:space="preserve">A dedicated digital workspace would improve efficiency</w:t>
            </w:r>
          </w:p>
        </w:tc>
        <w:tc>
          <w:tcPr>
            <w:tcW w:w="1150" w:type="dxa"/>
            <w:vAlign w:val="center"/>
          </w:tcPr>
          <w:p>
            <w:pPr>
              <w:spacing w:after="0" w:line="240" w:lineRule="auto"/>
              <w:jc w:val="left"/>
            </w:pPr>
            <w:r>
              <w:rPr>
                <w:b w:val="0"/>
                <w:sz w:val="20"/>
                <w:szCs w:val="20"/>
              </w:rPr>
              <w:t xml:space="preserve">4.00</w:t>
            </w:r>
          </w:p>
        </w:tc>
        <w:tc>
          <w:tcPr>
            <w:tcW w:w="1550" w:type="dxa"/>
            <w:vAlign w:val="center"/>
          </w:tcPr>
          <w:p>
            <w:pPr>
              <w:spacing w:after="0" w:line="240" w:lineRule="auto"/>
              <w:jc w:val="center"/>
            </w:pPr>
            <w:r>
              <w:rPr>
                <w:b w:val="0"/>
                <w:sz w:val="20"/>
                <w:szCs w:val="20"/>
              </w:rPr>
              <w:t xml:space="preserve">Agree</w:t>
            </w:r>
          </w:p>
        </w:tc>
      </w:tr>
      <w:tr>
        <w:tc>
          <w:tcPr>
            <w:tcW w:w="2100" w:type="dxa"/>
            <w:vAlign w:val="center"/>
          </w:tcPr>
          <w:p>
            <w:pPr>
              <w:spacing w:after="0" w:line="240" w:lineRule="auto"/>
              <w:jc w:val="center"/>
            </w:pPr>
            <w:r>
              <w:rPr>
                <w:b w:val="0"/>
                <w:sz w:val="20"/>
                <w:szCs w:val="20"/>
              </w:rPr>
              <w:t xml:space="preserve">Social workers (n = 3)</w:t>
            </w:r>
          </w:p>
        </w:tc>
        <w:tc>
          <w:tcPr>
            <w:tcW w:w="4600" w:type="dxa"/>
            <w:vAlign w:val="center"/>
          </w:tcPr>
          <w:p>
            <w:pPr>
              <w:spacing w:after="0" w:line="240" w:lineRule="auto"/>
              <w:jc w:val="left"/>
            </w:pPr>
            <w:r>
              <w:rPr>
                <w:b w:val="0"/>
                <w:sz w:val="20"/>
                <w:szCs w:val="20"/>
              </w:rPr>
              <w:t xml:space="preserve">Overall rating of the proposed MAPA system features</w:t>
            </w:r>
          </w:p>
        </w:tc>
        <w:tc>
          <w:tcPr>
            <w:tcW w:w="1150" w:type="dxa"/>
            <w:vAlign w:val="center"/>
          </w:tcPr>
          <w:p>
            <w:pPr>
              <w:spacing w:after="0" w:line="240" w:lineRule="auto"/>
              <w:jc w:val="left"/>
            </w:pPr>
            <w:r>
              <w:rPr>
                <w:b w:val="0"/>
                <w:sz w:val="20"/>
                <w:szCs w:val="20"/>
              </w:rPr>
              <w:t xml:space="preserve">3.90</w:t>
            </w:r>
          </w:p>
        </w:tc>
        <w:tc>
          <w:tcPr>
            <w:tcW w:w="1550" w:type="dxa"/>
            <w:vAlign w:val="center"/>
          </w:tcPr>
          <w:p>
            <w:pPr>
              <w:spacing w:after="0" w:line="240" w:lineRule="auto"/>
              <w:jc w:val="center"/>
            </w:pPr>
            <w:r>
              <w:rPr>
                <w:b w:val="0"/>
                <w:sz w:val="20"/>
                <w:szCs w:val="20"/>
              </w:rPr>
              <w:t xml:space="preserve">Agree</w:t>
            </w:r>
          </w:p>
        </w:tc>
      </w:tr>
      <w:tr>
        <w:tc>
          <w:tcPr>
            <w:tcW w:w="2100" w:type="dxa"/>
            <w:vAlign w:val="center"/>
          </w:tcPr>
          <w:p>
            <w:pPr>
              <w:spacing w:after="0" w:line="240" w:lineRule="auto"/>
              <w:jc w:val="center"/>
            </w:pPr>
            <w:r>
              <w:rPr>
                <w:b w:val="0"/>
                <w:sz w:val="20"/>
                <w:szCs w:val="20"/>
              </w:rPr>
              <w:t xml:space="preserve">Supervisors (n = 3)</w:t>
            </w:r>
          </w:p>
        </w:tc>
        <w:tc>
          <w:tcPr>
            <w:tcW w:w="4600" w:type="dxa"/>
            <w:vAlign w:val="center"/>
          </w:tcPr>
          <w:p>
            <w:pPr>
              <w:spacing w:after="0" w:line="240" w:lineRule="auto"/>
              <w:jc w:val="left"/>
            </w:pPr>
            <w:r>
              <w:rPr>
                <w:b w:val="0"/>
                <w:sz w:val="20"/>
                <w:szCs w:val="20"/>
              </w:rPr>
              <w:t xml:space="preserve">Manual processes increase administrative burden</w:t>
            </w:r>
          </w:p>
        </w:tc>
        <w:tc>
          <w:tcPr>
            <w:tcW w:w="1150" w:type="dxa"/>
            <w:vAlign w:val="center"/>
          </w:tcPr>
          <w:p>
            <w:pPr>
              <w:spacing w:after="0" w:line="240" w:lineRule="auto"/>
              <w:jc w:val="left"/>
            </w:pPr>
            <w:r>
              <w:rPr>
                <w:b w:val="0"/>
                <w:sz w:val="20"/>
                <w:szCs w:val="20"/>
              </w:rPr>
              <w:t xml:space="preserve">4.00</w:t>
            </w:r>
          </w:p>
        </w:tc>
        <w:tc>
          <w:tcPr>
            <w:tcW w:w="1550" w:type="dxa"/>
            <w:vAlign w:val="center"/>
          </w:tcPr>
          <w:p>
            <w:pPr>
              <w:spacing w:after="0" w:line="240" w:lineRule="auto"/>
              <w:jc w:val="center"/>
            </w:pPr>
            <w:r>
              <w:rPr>
                <w:b w:val="0"/>
                <w:sz w:val="20"/>
                <w:szCs w:val="20"/>
              </w:rPr>
              <w:t xml:space="preserve">Agree</w:t>
            </w:r>
          </w:p>
        </w:tc>
      </w:tr>
      <w:tr>
        <w:tc>
          <w:tcPr>
            <w:tcW w:w="2100" w:type="dxa"/>
            <w:vAlign w:val="center"/>
          </w:tcPr>
          <w:p>
            <w:pPr>
              <w:spacing w:after="0" w:line="240" w:lineRule="auto"/>
              <w:jc w:val="center"/>
            </w:pPr>
            <w:r>
              <w:rPr>
                <w:b w:val="0"/>
                <w:sz w:val="20"/>
                <w:szCs w:val="20"/>
              </w:rPr>
              <w:t xml:space="preserve">Supervisors (n = 3)</w:t>
            </w:r>
          </w:p>
        </w:tc>
        <w:tc>
          <w:tcPr>
            <w:tcW w:w="4600" w:type="dxa"/>
            <w:vAlign w:val="center"/>
          </w:tcPr>
          <w:p>
            <w:pPr>
              <w:spacing w:after="0" w:line="240" w:lineRule="auto"/>
              <w:jc w:val="left"/>
            </w:pPr>
            <w:r>
              <w:rPr>
                <w:b w:val="0"/>
                <w:sz w:val="20"/>
                <w:szCs w:val="20"/>
              </w:rPr>
              <w:t xml:space="preserve">A centralized dashboard for oversight would benefit the hospital</w:t>
            </w:r>
          </w:p>
        </w:tc>
        <w:tc>
          <w:tcPr>
            <w:tcW w:w="1150" w:type="dxa"/>
            <w:vAlign w:val="center"/>
          </w:tcPr>
          <w:p>
            <w:pPr>
              <w:spacing w:after="0" w:line="240" w:lineRule="auto"/>
              <w:jc w:val="left"/>
            </w:pPr>
            <w:r>
              <w:rPr>
                <w:b w:val="0"/>
                <w:sz w:val="20"/>
                <w:szCs w:val="20"/>
              </w:rPr>
              <w:t xml:space="preserve">4.33</w:t>
            </w:r>
          </w:p>
        </w:tc>
        <w:tc>
          <w:tcPr>
            <w:tcW w:w="1550" w:type="dxa"/>
            <w:vAlign w:val="center"/>
          </w:tcPr>
          <w:p>
            <w:pPr>
              <w:spacing w:after="0" w:line="240" w:lineRule="auto"/>
              <w:jc w:val="center"/>
            </w:pPr>
            <w:r>
              <w:rPr>
                <w:b w:val="0"/>
                <w:sz w:val="20"/>
                <w:szCs w:val="20"/>
              </w:rPr>
              <w:t xml:space="preserve">Agree</w:t>
            </w:r>
          </w:p>
        </w:tc>
      </w:tr>
      <w:tr>
        <w:tc>
          <w:tcPr>
            <w:tcW w:w="2100" w:type="dxa"/>
            <w:vAlign w:val="center"/>
          </w:tcPr>
          <w:p>
            <w:pPr>
              <w:spacing w:after="0" w:line="240" w:lineRule="auto"/>
              <w:jc w:val="center"/>
            </w:pPr>
            <w:r>
              <w:rPr>
                <w:b w:val="0"/>
                <w:sz w:val="20"/>
                <w:szCs w:val="20"/>
              </w:rPr>
              <w:t xml:space="preserve">Supervisors (n = 3)</w:t>
            </w:r>
          </w:p>
        </w:tc>
        <w:tc>
          <w:tcPr>
            <w:tcW w:w="4600" w:type="dxa"/>
            <w:vAlign w:val="center"/>
          </w:tcPr>
          <w:p>
            <w:pPr>
              <w:spacing w:after="0" w:line="240" w:lineRule="auto"/>
              <w:jc w:val="left"/>
            </w:pPr>
            <w:r>
              <w:rPr>
                <w:b w:val="0"/>
                <w:sz w:val="20"/>
                <w:szCs w:val="20"/>
              </w:rPr>
              <w:t xml:space="preserve">Overall rating of the proposed MAPA system features</w:t>
            </w:r>
          </w:p>
        </w:tc>
        <w:tc>
          <w:tcPr>
            <w:tcW w:w="1150" w:type="dxa"/>
            <w:vAlign w:val="center"/>
          </w:tcPr>
          <w:p>
            <w:pPr>
              <w:spacing w:after="0" w:line="240" w:lineRule="auto"/>
              <w:jc w:val="left"/>
            </w:pPr>
            <w:r>
              <w:rPr>
                <w:b w:val="0"/>
                <w:sz w:val="20"/>
                <w:szCs w:val="20"/>
              </w:rPr>
              <w:t xml:space="preserve">4.20</w:t>
            </w:r>
          </w:p>
        </w:tc>
        <w:tc>
          <w:tcPr>
            <w:tcW w:w="1550" w:type="dxa"/>
            <w:vAlign w:val="center"/>
          </w:tcPr>
          <w:p>
            <w:pPr>
              <w:spacing w:after="0" w:line="240" w:lineRule="auto"/>
              <w:jc w:val="center"/>
            </w:pPr>
            <w:r>
              <w:rPr>
                <w:b w:val="0"/>
                <w:sz w:val="20"/>
                <w:szCs w:val="20"/>
              </w:rPr>
              <w:t xml:space="preserve">Agree</w:t>
            </w:r>
          </w:p>
        </w:tc>
      </w:tr>
    </w:tbl>
    <w:p>
      <w:pPr>
        <w:pStyle w:val="BodyofResearch"/>
        <w:spacing w:after="0" w:line="240" w:lineRule="auto"/>
      </w:pPr>
    </w:p>
    <w:p>
      <w:pPr>
        <w:pStyle w:val="BodyofResearch"/>
        <w:ind w:firstLine="720"/>
        <w:jc w:val="both"/>
      </w:pPr>
      <w:r>
        <w:rPr>
          <w:b w:val="0"/>
        </w:rPr>
        <w:t xml:space="preserve">Three observations follow from these results. First, the problem is recognized consistently across all three groups rather than being a patient-side complaint alone: patients report difficulty identifying programs, social workers report the downstream consequence of that difficulty in the form of incomplete documents, and supervisors report the administrative cost of processing the result manually. The three findings describe one problem observed from three positions, which is stronger evidence for the single-intake design than any of them would be individually.</w:t>
      </w:r>
    </w:p>
    <w:p>
      <w:pPr>
        <w:pStyle w:val="BodyofResearch"/>
        <w:ind w:firstLine="720"/>
        <w:jc w:val="both"/>
      </w:pPr>
      <w:r>
        <w:rPr>
          <w:b w:val="0"/>
        </w:rPr>
        <w:t xml:space="preserve">Second, the highest single rating in the study — 4.33, supervisors on the value of a centralized oversight dashboard — came from the group with the least direct contact with patients. This suggests that the coordination gap is felt most acutely by those responsible for the process as a whole rather than by those executing individual transactions, which is consistent with the network-governance literature reviewed earlier.</w:t>
      </w:r>
    </w:p>
    <w:p>
      <w:pPr>
        <w:pStyle w:val="BodyofResearch"/>
        <w:ind w:firstLine="720"/>
        <w:jc w:val="both"/>
      </w:pPr>
      <w:r>
        <w:rPr>
          <w:b w:val="0"/>
        </w:rPr>
        <w:t xml:space="preserve">Third, and importantly for honest reporting, social workers rated the proposed features lowest of the three groups at 3.90. They are the group whose daily work the system changes most, and they are also the group that would bear the cost of a poorly designed tool. The proponents read this figure as appropriate professional caution rather than as rejection, and it directly influenced two design decisions: that CRMC's Unified Intake Sheet in the system mirrors the existing paper form rather than introducing new fields, and that the social worker retains the final judgment on identity verification with optical character recognition serving only as an advisory cross-check.</w:t>
      </w:r>
    </w:p>
    <w:p>
      <w:pPr>
        <w:pStyle w:val="BodyofResearch"/>
        <w:ind w:firstLine="720"/>
        <w:jc w:val="both"/>
      </w:pPr>
      <w:r>
        <w:rPr>
          <w:b w:val="0"/>
        </w:rPr>
        <w:t xml:space="preserve">The sample of nine respondents is adequate for establishing that the identified problems are recognized across roles and that the proposed solution is acceptable to each. It is too small to support statistical generalization, and no claim of generalizability is made. A post-implementation evaluation with a larger sample of actual system users is recommended in the following chapter.</w:t>
      </w:r>
    </w:p>
    <w:p>
      <w:r>
        <w:br w:type="page"/>
      </w:r>
    </w:p>
    <w:p>
      <w:pPr>
        <w:pStyle w:val="BodyofResearch"/>
        <w:keepNext/>
        <w:keepLines/>
        <w:spacing w:before="180" w:after="120"/>
        <w:jc w:val="left"/>
      </w:pPr>
      <w:r>
        <w:rPr>
          <w:b/>
        </w:rPr>
        <w:t xml:space="preserve">Objectives Traced to Delivered Features</w:t>
      </w:r>
    </w:p>
    <w:p>
      <w:pPr>
        <w:pStyle w:val="BodyofResearch"/>
        <w:ind w:firstLine="720"/>
        <w:jc w:val="both"/>
      </w:pPr>
      <w:r>
        <w:rPr>
          <w:b w:val="0"/>
        </w:rPr>
        <w:t xml:space="preserve">Table 14 traces each specific objective stated in the Introduction to the feature that satisfies it and the evidence that it works.</w:t>
      </w:r>
    </w:p>
    <w:p>
      <w:pPr>
        <w:pStyle w:val="BodyofResearch"/>
        <w:keepNext/>
        <w:keepLines/>
        <w:spacing w:before="180" w:after="60"/>
        <w:jc w:val="left"/>
      </w:pPr>
      <w:r>
        <w:rPr>
          <w:b w:val="0"/>
          <w:i/>
        </w:rPr>
        <w:t xml:space="preserve">Table 14. Objectives Traced to Implemented Features and Evidence</w:t>
      </w:r>
    </w:p>
    <w:tbl>
      <w:tblPr>
        <w:tblStyle w:val="TableGrid"/>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6" w:type="dxa"/>
          <w:bottom w:w="40" w:type="dxa"/>
          <w:right w:w="86" w:type="dxa"/>
        </w:tblCellMar>
        <w:tblLook w:val="04A0" w:firstRow="1" w:lastRow="0" w:firstColumn="1" w:lastColumn="0" w:noHBand="0" w:noVBand="1"/>
      </w:tblPr>
      <w:tblGrid>
        <w:gridCol w:w="2500"/>
        <w:gridCol w:w="4100"/>
        <w:gridCol w:w="2800"/>
      </w:tblGrid>
      <w:tr>
        <w:trPr>
          <w:tblHeader/>
          <w:cantSplit/>
        </w:trPr>
        <w:tc>
          <w:tcPr>
            <w:tcW w:w="2500" w:type="dxa"/>
            <w:vAlign w:val="center"/>
          </w:tcPr>
          <w:p>
            <w:pPr>
              <w:spacing w:after="0" w:line="240" w:lineRule="auto"/>
              <w:jc w:val="center"/>
            </w:pPr>
            <w:r>
              <w:rPr>
                <w:b/>
                <w:sz w:val="20"/>
                <w:szCs w:val="20"/>
              </w:rPr>
              <w:t xml:space="preserve">Objective</w:t>
            </w:r>
          </w:p>
        </w:tc>
        <w:tc>
          <w:tcPr>
            <w:tcW w:w="4100" w:type="dxa"/>
            <w:vAlign w:val="center"/>
          </w:tcPr>
          <w:p>
            <w:pPr>
              <w:spacing w:after="0" w:line="240" w:lineRule="auto"/>
              <w:jc w:val="center"/>
            </w:pPr>
            <w:r>
              <w:rPr>
                <w:b/>
                <w:sz w:val="20"/>
                <w:szCs w:val="20"/>
              </w:rPr>
              <w:t xml:space="preserve">Delivered feature</w:t>
            </w:r>
          </w:p>
        </w:tc>
        <w:tc>
          <w:tcPr>
            <w:tcW w:w="2800" w:type="dxa"/>
            <w:vAlign w:val="center"/>
          </w:tcPr>
          <w:p>
            <w:pPr>
              <w:spacing w:after="0" w:line="240" w:lineRule="auto"/>
              <w:jc w:val="center"/>
            </w:pPr>
            <w:r>
              <w:rPr>
                <w:b/>
                <w:sz w:val="20"/>
                <w:szCs w:val="20"/>
              </w:rPr>
              <w:t xml:space="preserve">Evidence</w:t>
            </w:r>
          </w:p>
        </w:tc>
      </w:tr>
      <w:tr>
        <w:tc>
          <w:tcPr>
            <w:tcW w:w="2500" w:type="dxa"/>
            <w:vAlign w:val="center"/>
          </w:tcPr>
          <w:p>
            <w:pPr>
              <w:spacing w:after="0" w:line="240" w:lineRule="auto"/>
              <w:jc w:val="center"/>
            </w:pPr>
            <w:r>
              <w:rPr>
                <w:b w:val="0"/>
                <w:sz w:val="20"/>
                <w:szCs w:val="20"/>
              </w:rPr>
              <w:t xml:space="preserve">Single registration and single-intake surface</w:t>
            </w:r>
          </w:p>
        </w:tc>
        <w:tc>
          <w:tcPr>
            <w:tcW w:w="4100" w:type="dxa"/>
            <w:vAlign w:val="center"/>
          </w:tcPr>
          <w:p>
            <w:pPr>
              <w:spacing w:after="0" w:line="240" w:lineRule="auto"/>
              <w:jc w:val="left"/>
            </w:pPr>
            <w:r>
              <w:rPr>
                <w:b w:val="0"/>
                <w:sz w:val="20"/>
                <w:szCs w:val="20"/>
              </w:rPr>
              <w:t xml:space="preserve">Access-code registration and the 4-step request wizard; one document upload and one interview regardless of the number of co-funding agencies</w:t>
            </w:r>
          </w:p>
        </w:tc>
        <w:tc>
          <w:tcPr>
            <w:tcW w:w="2800" w:type="dxa"/>
            <w:vAlign w:val="center"/>
          </w:tcPr>
          <w:p>
            <w:pPr>
              <w:spacing w:after="0" w:line="240" w:lineRule="auto"/>
              <w:jc w:val="center"/>
            </w:pPr>
            <w:r>
              <w:rPr>
                <w:b w:val="0"/>
                <w:sz w:val="20"/>
                <w:szCs w:val="20"/>
              </w:rPr>
              <w:t xml:space="preserve">Manual end-to-end scenarios; unit tests on the request model</w:t>
            </w:r>
          </w:p>
        </w:tc>
      </w:tr>
      <w:tr>
        <w:tc>
          <w:tcPr>
            <w:tcW w:w="2500" w:type="dxa"/>
            <w:vAlign w:val="center"/>
          </w:tcPr>
          <w:p>
            <w:pPr>
              <w:spacing w:after="0" w:line="240" w:lineRule="auto"/>
              <w:jc w:val="center"/>
            </w:pPr>
            <w:r>
              <w:rPr>
                <w:b w:val="0"/>
                <w:sz w:val="20"/>
                <w:szCs w:val="20"/>
              </w:rPr>
              <w:t xml:space="preserve">Centralized program information and eligibility guidance</w:t>
            </w:r>
          </w:p>
        </w:tc>
        <w:tc>
          <w:tcPr>
            <w:tcW w:w="4100" w:type="dxa"/>
            <w:vAlign w:val="center"/>
          </w:tcPr>
          <w:p>
            <w:pPr>
              <w:spacing w:after="0" w:line="240" w:lineRule="auto"/>
              <w:jc w:val="left"/>
            </w:pPr>
            <w:r>
              <w:rPr>
                <w:b w:val="0"/>
                <w:sz w:val="20"/>
                <w:szCs w:val="20"/>
              </w:rPr>
              <w:t xml:space="preserve">Agency directory with live slot counts and the pre-assessment screening flow with match scores</w:t>
            </w:r>
          </w:p>
        </w:tc>
        <w:tc>
          <w:tcPr>
            <w:tcW w:w="2800" w:type="dxa"/>
            <w:vAlign w:val="center"/>
          </w:tcPr>
          <w:p>
            <w:pPr>
              <w:spacing w:after="0" w:line="240" w:lineRule="auto"/>
              <w:jc w:val="center"/>
            </w:pPr>
            <w:r>
              <w:rPr>
                <w:b w:val="0"/>
                <w:sz w:val="20"/>
                <w:szCs w:val="20"/>
              </w:rPr>
              <w:t xml:space="preserve">Manual scenarios; component tests</w:t>
            </w:r>
          </w:p>
        </w:tc>
      </w:tr>
      <w:tr>
        <w:tc>
          <w:tcPr>
            <w:tcW w:w="2500" w:type="dxa"/>
            <w:vAlign w:val="center"/>
          </w:tcPr>
          <w:p>
            <w:pPr>
              <w:spacing w:after="0" w:line="240" w:lineRule="auto"/>
              <w:jc w:val="center"/>
            </w:pPr>
            <w:r>
              <w:rPr>
                <w:b w:val="0"/>
                <w:sz w:val="20"/>
                <w:szCs w:val="20"/>
              </w:rPr>
              <w:t xml:space="preserve">Online document pre-verification and slot visibility</w:t>
            </w:r>
          </w:p>
        </w:tc>
        <w:tc>
          <w:tcPr>
            <w:tcW w:w="4100" w:type="dxa"/>
            <w:vAlign w:val="center"/>
          </w:tcPr>
          <w:p>
            <w:pPr>
              <w:spacing w:after="0" w:line="240" w:lineRule="auto"/>
              <w:jc w:val="left"/>
            </w:pPr>
            <w:r>
              <w:rPr>
                <w:b w:val="0"/>
                <w:sz w:val="20"/>
                <w:szCs w:val="20"/>
              </w:rPr>
              <w:t xml:space="preserve">Personal document library with reusable verified documents; live per-agency slot counts</w:t>
            </w:r>
          </w:p>
        </w:tc>
        <w:tc>
          <w:tcPr>
            <w:tcW w:w="2800" w:type="dxa"/>
            <w:vAlign w:val="center"/>
          </w:tcPr>
          <w:p>
            <w:pPr>
              <w:spacing w:after="0" w:line="240" w:lineRule="auto"/>
              <w:jc w:val="center"/>
            </w:pPr>
            <w:r>
              <w:rPr>
                <w:b w:val="0"/>
                <w:sz w:val="20"/>
                <w:szCs w:val="20"/>
              </w:rPr>
              <w:t xml:space="preserve">Rules tests on document writes; manual scenarios</w:t>
            </w:r>
          </w:p>
        </w:tc>
      </w:tr>
      <w:tr>
        <w:tc>
          <w:tcPr>
            <w:tcW w:w="2500" w:type="dxa"/>
            <w:vAlign w:val="center"/>
          </w:tcPr>
          <w:p>
            <w:pPr>
              <w:spacing w:after="0" w:line="240" w:lineRule="auto"/>
              <w:jc w:val="center"/>
            </w:pPr>
            <w:r>
              <w:rPr>
                <w:b w:val="0"/>
                <w:sz w:val="20"/>
                <w:szCs w:val="20"/>
              </w:rPr>
              <w:t xml:space="preserve">Bookable assessment interview with reminders</w:t>
            </w:r>
          </w:p>
        </w:tc>
        <w:tc>
          <w:tcPr>
            <w:tcW w:w="4100" w:type="dxa"/>
            <w:vAlign w:val="center"/>
          </w:tcPr>
          <w:p>
            <w:pPr>
              <w:spacing w:after="0" w:line="240" w:lineRule="auto"/>
              <w:jc w:val="left"/>
            </w:pPr>
            <w:r>
              <w:rPr>
                <w:b w:val="0"/>
                <w:sz w:val="20"/>
                <w:szCs w:val="20"/>
              </w:rPr>
              <w:t xml:space="preserve">Published capacity-limited slots, in-person queue numbering, online fallback, and scheduled 24-hour and 1-hour reminders</w:t>
            </w:r>
          </w:p>
        </w:tc>
        <w:tc>
          <w:tcPr>
            <w:tcW w:w="2800" w:type="dxa"/>
            <w:vAlign w:val="center"/>
          </w:tcPr>
          <w:p>
            <w:pPr>
              <w:spacing w:after="0" w:line="240" w:lineRule="auto"/>
              <w:jc w:val="center"/>
            </w:pPr>
            <w:r>
              <w:rPr>
                <w:b w:val="0"/>
                <w:sz w:val="20"/>
                <w:szCs w:val="20"/>
              </w:rPr>
              <w:t xml:space="preserve">Cloud Function tests on slot writes and reminders; rules tests on booking races</w:t>
            </w:r>
          </w:p>
        </w:tc>
      </w:tr>
      <w:tr>
        <w:tc>
          <w:tcPr>
            <w:tcW w:w="2500" w:type="dxa"/>
            <w:vAlign w:val="center"/>
          </w:tcPr>
          <w:p>
            <w:pPr>
              <w:spacing w:after="0" w:line="240" w:lineRule="auto"/>
              <w:jc w:val="center"/>
            </w:pPr>
            <w:r>
              <w:rPr>
                <w:b w:val="0"/>
                <w:sz w:val="20"/>
                <w:szCs w:val="20"/>
              </w:rPr>
              <w:t xml:space="preserve">Order of Charging modelled in the system</w:t>
            </w:r>
          </w:p>
        </w:tc>
        <w:tc>
          <w:tcPr>
            <w:tcW w:w="4100" w:type="dxa"/>
            <w:vAlign w:val="center"/>
          </w:tcPr>
          <w:p>
            <w:pPr>
              <w:spacing w:after="0" w:line="240" w:lineRule="auto"/>
              <w:jc w:val="left"/>
            </w:pPr>
            <w:r>
              <w:rPr>
                <w:b w:val="0"/>
                <w:sz w:val="20"/>
                <w:szCs w:val="20"/>
              </w:rPr>
              <w:t xml:space="preserve">PhilHealth coverage recorded on the request; endorsable amount computed as the residual</w:t>
            </w:r>
          </w:p>
        </w:tc>
        <w:tc>
          <w:tcPr>
            <w:tcW w:w="2800" w:type="dxa"/>
            <w:vAlign w:val="center"/>
          </w:tcPr>
          <w:p>
            <w:pPr>
              <w:spacing w:after="0" w:line="240" w:lineRule="auto"/>
              <w:jc w:val="center"/>
            </w:pPr>
            <w:r>
              <w:rPr>
                <w:b w:val="0"/>
                <w:sz w:val="20"/>
                <w:szCs w:val="20"/>
              </w:rPr>
              <w:t xml:space="preserve">Unit tests on the funding computation</w:t>
            </w:r>
          </w:p>
        </w:tc>
      </w:tr>
      <w:tr>
        <w:tc>
          <w:tcPr>
            <w:tcW w:w="2500" w:type="dxa"/>
            <w:vAlign w:val="center"/>
          </w:tcPr>
          <w:p>
            <w:pPr>
              <w:spacing w:after="0" w:line="240" w:lineRule="auto"/>
              <w:jc w:val="center"/>
            </w:pPr>
            <w:r>
              <w:rPr>
                <w:b w:val="0"/>
                <w:sz w:val="20"/>
                <w:szCs w:val="20"/>
              </w:rPr>
              <w:t xml:space="preserve">CRMC gateway operations</w:t>
            </w:r>
          </w:p>
        </w:tc>
        <w:tc>
          <w:tcPr>
            <w:tcW w:w="4100" w:type="dxa"/>
            <w:vAlign w:val="center"/>
          </w:tcPr>
          <w:p>
            <w:pPr>
              <w:spacing w:after="0" w:line="240" w:lineRule="auto"/>
              <w:jc w:val="left"/>
            </w:pPr>
            <w:r>
              <w:rPr>
                <w:b w:val="0"/>
                <w:sz w:val="20"/>
                <w:szCs w:val="20"/>
              </w:rPr>
              <w:t xml:space="preserve">Document verification, intake sheet, endorsement by pure selection, access code issuance, catalogs, announcements</w:t>
            </w:r>
          </w:p>
        </w:tc>
        <w:tc>
          <w:tcPr>
            <w:tcW w:w="2800" w:type="dxa"/>
            <w:vAlign w:val="center"/>
          </w:tcPr>
          <w:p>
            <w:pPr>
              <w:spacing w:after="0" w:line="240" w:lineRule="auto"/>
              <w:jc w:val="center"/>
            </w:pPr>
            <w:r>
              <w:rPr>
                <w:b w:val="0"/>
                <w:sz w:val="20"/>
                <w:szCs w:val="20"/>
              </w:rPr>
              <w:t xml:space="preserve">Manual scenarios; rules tests; audit log</w:t>
            </w:r>
          </w:p>
        </w:tc>
      </w:tr>
      <w:tr>
        <w:tc>
          <w:tcPr>
            <w:tcW w:w="2500" w:type="dxa"/>
            <w:vAlign w:val="center"/>
          </w:tcPr>
          <w:p>
            <w:pPr>
              <w:spacing w:after="0" w:line="240" w:lineRule="auto"/>
              <w:jc w:val="center"/>
            </w:pPr>
            <w:r>
              <w:rPr>
                <w:b w:val="0"/>
                <w:sz w:val="20"/>
                <w:szCs w:val="20"/>
              </w:rPr>
              <w:t xml:space="preserve">Independent agency funding decisions in isolated workspaces</w:t>
            </w:r>
          </w:p>
        </w:tc>
        <w:tc>
          <w:tcPr>
            <w:tcW w:w="4100" w:type="dxa"/>
            <w:vAlign w:val="center"/>
          </w:tcPr>
          <w:p>
            <w:pPr>
              <w:spacing w:after="0" w:line="240" w:lineRule="auto"/>
              <w:jc w:val="left"/>
            </w:pPr>
            <w:r>
              <w:rPr>
                <w:b w:val="0"/>
                <w:sz w:val="20"/>
                <w:szCs w:val="20"/>
              </w:rPr>
              <w:t xml:space="preserve">Funding inbox, approve with per-applicant cap and budget guards, request-info, reject, Guarantee Letter issuance</w:t>
            </w:r>
          </w:p>
        </w:tc>
        <w:tc>
          <w:tcPr>
            <w:tcW w:w="2800" w:type="dxa"/>
            <w:vAlign w:val="center"/>
          </w:tcPr>
          <w:p>
            <w:pPr>
              <w:spacing w:after="0" w:line="240" w:lineRule="auto"/>
              <w:jc w:val="center"/>
            </w:pPr>
            <w:r>
              <w:rPr>
                <w:b w:val="0"/>
                <w:sz w:val="20"/>
                <w:szCs w:val="20"/>
              </w:rPr>
              <w:t xml:space="preserve">Rules tests on cross-agency access; manual scenarios</w:t>
            </w:r>
          </w:p>
        </w:tc>
      </w:tr>
      <w:tr>
        <w:tc>
          <w:tcPr>
            <w:tcW w:w="2500" w:type="dxa"/>
            <w:vAlign w:val="center"/>
          </w:tcPr>
          <w:p>
            <w:pPr>
              <w:spacing w:after="0" w:line="240" w:lineRule="auto"/>
              <w:jc w:val="center"/>
            </w:pPr>
            <w:r>
              <w:rPr>
                <w:b w:val="0"/>
                <w:sz w:val="20"/>
                <w:szCs w:val="20"/>
              </w:rPr>
              <w:t xml:space="preserve">Agency administration</w:t>
            </w:r>
          </w:p>
        </w:tc>
        <w:tc>
          <w:tcPr>
            <w:tcW w:w="4100" w:type="dxa"/>
            <w:vAlign w:val="center"/>
          </w:tcPr>
          <w:p>
            <w:pPr>
              <w:spacing w:after="0" w:line="240" w:lineRule="auto"/>
              <w:jc w:val="left"/>
            </w:pPr>
            <w:r>
              <w:rPr>
                <w:b w:val="0"/>
                <w:sz w:val="20"/>
                <w:szCs w:val="20"/>
              </w:rPr>
              <w:t xml:space="preserve">Budget allocation by period, per-applicant cap, team management, agency audit log</w:t>
            </w:r>
          </w:p>
        </w:tc>
        <w:tc>
          <w:tcPr>
            <w:tcW w:w="2800" w:type="dxa"/>
            <w:vAlign w:val="center"/>
          </w:tcPr>
          <w:p>
            <w:pPr>
              <w:spacing w:after="0" w:line="240" w:lineRule="auto"/>
              <w:jc w:val="center"/>
            </w:pPr>
            <w:r>
              <w:rPr>
                <w:b w:val="0"/>
                <w:sz w:val="20"/>
                <w:szCs w:val="20"/>
              </w:rPr>
              <w:t xml:space="preserve">Rules tests on budget writes; manual scenarios</w:t>
            </w:r>
          </w:p>
        </w:tc>
      </w:tr>
      <w:tr>
        <w:tc>
          <w:tcPr>
            <w:tcW w:w="2500" w:type="dxa"/>
            <w:vAlign w:val="center"/>
          </w:tcPr>
          <w:p>
            <w:pPr>
              <w:spacing w:after="0" w:line="240" w:lineRule="auto"/>
              <w:jc w:val="center"/>
            </w:pPr>
            <w:r>
              <w:rPr>
                <w:b w:val="0"/>
                <w:sz w:val="20"/>
                <w:szCs w:val="20"/>
              </w:rPr>
              <w:t xml:space="preserve">Super administrator oversight</w:t>
            </w:r>
          </w:p>
        </w:tc>
        <w:tc>
          <w:tcPr>
            <w:tcW w:w="4100" w:type="dxa"/>
            <w:vAlign w:val="center"/>
          </w:tcPr>
          <w:p>
            <w:pPr>
              <w:spacing w:after="0" w:line="240" w:lineRule="auto"/>
              <w:jc w:val="left"/>
            </w:pPr>
            <w:r>
              <w:rPr>
                <w:b w:val="0"/>
                <w:sz w:val="20"/>
                <w:szCs w:val="20"/>
              </w:rPr>
              <w:t xml:space="preserve">Agency and administrator account management, platform audit log, patient erasure</w:t>
            </w:r>
          </w:p>
        </w:tc>
        <w:tc>
          <w:tcPr>
            <w:tcW w:w="2800" w:type="dxa"/>
            <w:vAlign w:val="center"/>
          </w:tcPr>
          <w:p>
            <w:pPr>
              <w:spacing w:after="0" w:line="240" w:lineRule="auto"/>
              <w:jc w:val="center"/>
            </w:pPr>
            <w:r>
              <w:rPr>
                <w:b w:val="0"/>
                <w:sz w:val="20"/>
                <w:szCs w:val="20"/>
              </w:rPr>
              <w:t xml:space="preserve">Rules tests; Cloud Function tests on account deletion</w:t>
            </w:r>
          </w:p>
        </w:tc>
      </w:tr>
      <w:tr>
        <w:tc>
          <w:tcPr>
            <w:tcW w:w="2500" w:type="dxa"/>
            <w:vAlign w:val="center"/>
          </w:tcPr>
          <w:p>
            <w:pPr>
              <w:spacing w:after="0" w:line="240" w:lineRule="auto"/>
              <w:jc w:val="center"/>
            </w:pPr>
            <w:r>
              <w:rPr>
                <w:b w:val="0"/>
                <w:sz w:val="20"/>
                <w:szCs w:val="20"/>
              </w:rPr>
              <w:t xml:space="preserve">Real-time tracking and direct communication</w:t>
            </w:r>
          </w:p>
        </w:tc>
        <w:tc>
          <w:tcPr>
            <w:tcW w:w="4100" w:type="dxa"/>
            <w:vAlign w:val="center"/>
          </w:tcPr>
          <w:p>
            <w:pPr>
              <w:spacing w:after="0" w:line="240" w:lineRule="auto"/>
              <w:jc w:val="left"/>
            </w:pPr>
            <w:r>
              <w:rPr>
                <w:b w:val="0"/>
                <w:sz w:val="20"/>
                <w:szCs w:val="20"/>
              </w:rPr>
              <w:t xml:space="preserve">Request and per-slice lifecycle steppers on live listeners; in-system messaging</w:t>
            </w:r>
          </w:p>
        </w:tc>
        <w:tc>
          <w:tcPr>
            <w:tcW w:w="2800" w:type="dxa"/>
            <w:vAlign w:val="center"/>
          </w:tcPr>
          <w:p>
            <w:pPr>
              <w:spacing w:after="0" w:line="240" w:lineRule="auto"/>
              <w:jc w:val="center"/>
            </w:pPr>
            <w:r>
              <w:rPr>
                <w:b w:val="0"/>
                <w:sz w:val="20"/>
                <w:szCs w:val="20"/>
              </w:rPr>
              <w:t xml:space="preserve">Component tests; manual scenarios</w:t>
            </w:r>
          </w:p>
        </w:tc>
      </w:tr>
      <w:tr>
        <w:tc>
          <w:tcPr>
            <w:tcW w:w="2500" w:type="dxa"/>
            <w:vAlign w:val="center"/>
          </w:tcPr>
          <w:p>
            <w:pPr>
              <w:spacing w:after="0" w:line="240" w:lineRule="auto"/>
              <w:jc w:val="center"/>
            </w:pPr>
            <w:r>
              <w:rPr>
                <w:b w:val="0"/>
                <w:sz w:val="20"/>
                <w:szCs w:val="20"/>
              </w:rPr>
              <w:t xml:space="preserve">30-day cooldown with co-funding exemption</w:t>
            </w:r>
          </w:p>
        </w:tc>
        <w:tc>
          <w:tcPr>
            <w:tcW w:w="4100" w:type="dxa"/>
            <w:vAlign w:val="center"/>
          </w:tcPr>
          <w:p>
            <w:pPr>
              <w:spacing w:after="0" w:line="240" w:lineRule="auto"/>
              <w:jc w:val="left"/>
            </w:pPr>
            <w:r>
              <w:rPr>
                <w:b w:val="0"/>
                <w:sz w:val="20"/>
                <w:szCs w:val="20"/>
              </w:rPr>
              <w:t xml:space="preserve">Cooldown stamped on the Hospital ID at approval, with sibling slices exempted</w:t>
            </w:r>
          </w:p>
        </w:tc>
        <w:tc>
          <w:tcPr>
            <w:tcW w:w="2800" w:type="dxa"/>
            <w:vAlign w:val="center"/>
          </w:tcPr>
          <w:p>
            <w:pPr>
              <w:spacing w:after="0" w:line="240" w:lineRule="auto"/>
              <w:jc w:val="center"/>
            </w:pPr>
            <w:r>
              <w:rPr>
                <w:b w:val="0"/>
                <w:sz w:val="20"/>
                <w:szCs w:val="20"/>
              </w:rPr>
              <w:t xml:space="preserve">Manual scenarios covering both the block and the exemption</w:t>
            </w:r>
          </w:p>
        </w:tc>
      </w:tr>
      <w:tr>
        <w:tc>
          <w:tcPr>
            <w:tcW w:w="2500" w:type="dxa"/>
            <w:vAlign w:val="center"/>
          </w:tcPr>
          <w:p>
            <w:pPr>
              <w:spacing w:after="0" w:line="240" w:lineRule="auto"/>
              <w:jc w:val="center"/>
            </w:pPr>
            <w:r>
              <w:rPr>
                <w:b w:val="0"/>
                <w:sz w:val="20"/>
                <w:szCs w:val="20"/>
              </w:rPr>
              <w:t xml:space="preserve">Data Privacy Act compliance</w:t>
            </w:r>
          </w:p>
        </w:tc>
        <w:tc>
          <w:tcPr>
            <w:tcW w:w="4100" w:type="dxa"/>
            <w:vAlign w:val="center"/>
          </w:tcPr>
          <w:p>
            <w:pPr>
              <w:spacing w:after="0" w:line="240" w:lineRule="auto"/>
              <w:jc w:val="left"/>
            </w:pPr>
            <w:r>
              <w:rPr>
                <w:b w:val="0"/>
                <w:sz w:val="20"/>
                <w:szCs w:val="20"/>
              </w:rPr>
              <w:t xml:space="preserve">Access log, data export, cascading erasure including the authentication account, breach procedure</w:t>
            </w:r>
          </w:p>
        </w:tc>
        <w:tc>
          <w:tcPr>
            <w:tcW w:w="2800" w:type="dxa"/>
            <w:vAlign w:val="center"/>
          </w:tcPr>
          <w:p>
            <w:pPr>
              <w:spacing w:after="0" w:line="240" w:lineRule="auto"/>
              <w:jc w:val="center"/>
            </w:pPr>
            <w:r>
              <w:rPr>
                <w:b w:val="0"/>
                <w:sz w:val="20"/>
                <w:szCs w:val="20"/>
              </w:rPr>
              <w:t xml:space="preserve">Cloud Function tests; unit tests on the export builder</w:t>
            </w:r>
          </w:p>
        </w:tc>
      </w:tr>
      <w:tr>
        <w:tc>
          <w:tcPr>
            <w:tcW w:w="2500" w:type="dxa"/>
            <w:vAlign w:val="center"/>
          </w:tcPr>
          <w:p>
            <w:pPr>
              <w:spacing w:after="0" w:line="240" w:lineRule="auto"/>
              <w:jc w:val="center"/>
            </w:pPr>
            <w:r>
              <w:rPr>
                <w:b w:val="0"/>
                <w:sz w:val="20"/>
                <w:szCs w:val="20"/>
              </w:rPr>
              <w:t xml:space="preserve">Installable bilingual Progressive Web Application</w:t>
            </w:r>
          </w:p>
        </w:tc>
        <w:tc>
          <w:tcPr>
            <w:tcW w:w="4100" w:type="dxa"/>
            <w:vAlign w:val="center"/>
          </w:tcPr>
          <w:p>
            <w:pPr>
              <w:spacing w:after="0" w:line="240" w:lineRule="auto"/>
              <w:jc w:val="left"/>
            </w:pPr>
            <w:r>
              <w:rPr>
                <w:b w:val="0"/>
                <w:sz w:val="20"/>
                <w:szCs w:val="20"/>
              </w:rPr>
              <w:t xml:space="preserve">Service worker and manifest with install affordances; Filipino and English locales enforced by lint on patient surfaces</w:t>
            </w:r>
          </w:p>
        </w:tc>
        <w:tc>
          <w:tcPr>
            <w:tcW w:w="2800" w:type="dxa"/>
            <w:vAlign w:val="center"/>
          </w:tcPr>
          <w:p>
            <w:pPr>
              <w:spacing w:after="0" w:line="240" w:lineRule="auto"/>
              <w:jc w:val="center"/>
            </w:pPr>
            <w:r>
              <w:rPr>
                <w:b w:val="0"/>
                <w:sz w:val="20"/>
                <w:szCs w:val="20"/>
              </w:rPr>
              <w:t xml:space="preserve">Verified install on physical Android hardware; lint rule</w:t>
            </w:r>
          </w:p>
        </w:tc>
      </w:tr>
    </w:tbl>
    <w:p>
      <w:pPr>
        <w:pStyle w:val="BodyofResearch"/>
        <w:spacing w:after="0" w:line="240" w:lineRule="auto"/>
      </w:pPr>
    </w:p>
    <w:p>
      <w:pPr>
        <w:pStyle w:val="BodyofResearch"/>
        <w:ind w:firstLine="720"/>
        <w:jc w:val="both"/>
      </w:pPr>
      <w:r>
        <w:rPr>
          <w:b w:val="0"/>
        </w:rPr>
        <w:t xml:space="preserve">Every stated objective is satisfied by a delivered feature. The proponents note, however, that satisfying an objective in a deployed system is not the same as demonstrating an outcome for patients. Whether the single-intake gateway actually reduces the number of visits an approved patient makes is a question that requires longitudinal observation beyond the study period, and it is stated as such in the recommendations.</w:t>
      </w:r>
    </w:p>
    <w:p>
      <w:r>
        <w:br w:type="page"/>
      </w:r>
    </w:p>
    <w:p>
      <w:pPr>
        <w:pStyle w:val="Heading1"/>
        <w:spacing w:before="0" w:after="360"/>
        <w:jc w:val="center"/>
      </w:pPr>
      <w:r>
        <w:rPr>
          <w:b/>
        </w:rPr>
        <w:t xml:space="preserve">Conclusion</w:t>
      </w:r>
    </w:p>
    <w:p>
      <w:pPr>
        <w:pStyle w:val="Heading2"/>
        <w:keepNext/>
        <w:keepLines/>
        <w:spacing w:before="240" w:after="240"/>
        <w:jc w:val="left"/>
      </w:pPr>
      <w:r>
        <w:rPr>
          <w:b/>
        </w:rPr>
        <w:t xml:space="preserve">Summary</w:t>
      </w:r>
    </w:p>
    <w:p>
      <w:pPr>
        <w:pStyle w:val="BodyofResearch"/>
        <w:ind w:firstLine="720"/>
        <w:jc w:val="both"/>
      </w:pPr>
      <w:r>
        <w:rPr>
          <w:b w:val="0"/>
        </w:rPr>
        <w:t xml:space="preserve">This study set out to address the absence of an integrated, patient-centered digital platform coordinating the several government agencies that fund a single hospital bill at Cotabato Regional and Medical Center. The problem was established through document analysis of the assistance programs operating at CRMC and a structured interview-questionnaire administered to nine respondents across three roles. Patients reported difficulty identifying the programs they qualify for at a mean of 4.00; social workers identified incomplete documents on arrival as their most significant operational challenge at 4.00 and agreed that a dedicated digital workspace would improve efficiency at 4.00; and supervisors agreed that manual processing increases administrative burden at 4.00 and that centralized oversight would benefit the hospital at 4.33. All three groups rated the proposed features at the Agree level.</w:t>
      </w:r>
    </w:p>
    <w:p>
      <w:pPr>
        <w:pStyle w:val="BodyofResearch"/>
        <w:ind w:firstLine="720"/>
        <w:jc w:val="both"/>
      </w:pPr>
      <w:r>
        <w:rPr>
          <w:b w:val="0"/>
        </w:rPr>
        <w:t xml:space="preserve">In response, the proponents designed, developed, and deployed MAPA: Medical Assistance Portal Access — a bilingual, role-based web platform delivered as an installable Progressive Web Application, built with React, Vite, and Tailwind CSS on a Firebase backend and deployed on Vercel. Its organizing principle is the CRMC-gateway co-funding model: the patient files one request, uploads documents once, and attends one assessment interview booked from published capacity-limited slots; CRMC verifies, assesses, applies PhilHealth as the statutory first charge under the Order of Charging, and endorses only the residual balance to one or more of four Guarantee-Letter-issuing agencies as funding slices; each agency decides its own share independently within a data-isolated workspace and issues its own Guarantee Letter. Five roles are enforced by server-side security rules across approximately eighteen data collections.</w:t>
      </w:r>
    </w:p>
    <w:p>
      <w:pPr>
        <w:pStyle w:val="BodyofResearch"/>
        <w:ind w:firstLine="720"/>
        <w:jc w:val="both"/>
      </w:pPr>
      <w:r>
        <w:rPr>
          <w:b w:val="0"/>
        </w:rPr>
        <w:t xml:space="preserve">The system was verified by 286 automated tests across unit, component, Cloud Function, and security-rules suites, together with an end-to-end browser smoke suite, all executed by continuous integration on every change. Three structured review passes over the full system produced 54 documented correctness fixes. A prompt-injection attempt against the audit log was detected, contained, and closed through layered security-rule passes, each accompanied by a regression test replaying the attack. Measured performance met every stated target. Compliance with Republic Act No. 10173 was implemented as functionality — a patient data access log, a machine-readable data export, and a cascading erasure that removes the authentication account — rather than asserted in documentation.</w:t>
      </w:r>
    </w:p>
    <w:p>
      <w:pPr>
        <w:pStyle w:val="Heading2"/>
        <w:keepNext/>
        <w:keepLines/>
        <w:spacing w:before="240" w:after="240"/>
        <w:jc w:val="left"/>
      </w:pPr>
      <w:r>
        <w:rPr>
          <w:b/>
        </w:rPr>
        <w:t xml:space="preserve">Conclusions</w:t>
      </w:r>
    </w:p>
    <w:p>
      <w:pPr>
        <w:pStyle w:val="BodyofResearch"/>
        <w:ind w:firstLine="720"/>
        <w:jc w:val="both"/>
      </w:pPr>
      <w:r>
        <w:rPr>
          <w:b w:val="0"/>
        </w:rPr>
        <w:t xml:space="preserve">On the basis of the findings above, the proponents draw the following conclusions.</w:t>
      </w:r>
    </w:p>
    <w:p>
      <w:pPr>
        <w:pStyle w:val="BodyofResearch"/>
        <w:numPr>
          <w:ilvl w:val="0"/>
          <w:numId w:val="2"/>
        </w:numPr>
        <w:spacing w:after="120"/>
        <w:ind w:left="1080" w:hanging="360"/>
        <w:jc w:val="both"/>
      </w:pPr>
      <w:r>
        <w:rPr>
          <w:b/>
        </w:rPr>
        <w:t xml:space="preserve">A single-intake gateway is a feasible answer to multi-agency fragmentation in a Philippine public hospital.</w:t>
      </w:r>
      <w:r>
        <w:rPr>
          <w:b w:val="0"/>
        </w:rPr>
        <w:t xml:space="preserve"> The deployed system demonstrates that one verification, one assessment, and one interview can serve several independently governed funders without any of them surrendering its funding authority. The design separates the work that benefits from being done once — intake, document verification, assessment — from the decision that must remain each agency's own, and that separation is what makes the model workable rather than merely convenient.</w:t>
      </w:r>
    </w:p>
    <w:p>
      <w:pPr>
        <w:pStyle w:val="BodyofResearch"/>
        <w:numPr>
          <w:ilvl w:val="0"/>
          <w:numId w:val="2"/>
        </w:numPr>
        <w:spacing w:after="120"/>
        <w:ind w:left="1080" w:hanging="360"/>
        <w:jc w:val="both"/>
      </w:pPr>
      <w:r>
        <w:rPr>
          <w:b/>
        </w:rPr>
        <w:t xml:space="preserve">Aligning the data model with the governing statute materially improved the system.</w:t>
      </w:r>
      <w:r>
        <w:rPr>
          <w:b w:val="0"/>
        </w:rPr>
        <w:t xml:space="preserve"> Modelling PhilHealth as the first charge against the bill rather than as an endorsable agency, and modelling the Malasakit Center as the gateway role rather than as a funder, brought the system into correspondence with Republic Act No. 11463 and Joint Administrative Order No. 2020-0001. The practical consequence is that the residual balance is computed rather than asserted, so no combination of independent agency approvals can commit more than the patient actually owes. The proponents conclude that statutory alignment in a government-adjacent system is a correctness requirement, not a documentation exercise.</w:t>
      </w:r>
    </w:p>
    <w:p>
      <w:pPr>
        <w:pStyle w:val="BodyofResearch"/>
        <w:numPr>
          <w:ilvl w:val="0"/>
          <w:numId w:val="2"/>
        </w:numPr>
        <w:spacing w:after="120"/>
        <w:ind w:left="1080" w:hanging="360"/>
        <w:jc w:val="both"/>
      </w:pPr>
      <w:r>
        <w:rPr>
          <w:b/>
        </w:rPr>
        <w:t xml:space="preserve">Server-enforced authorization is the only defensible security posture for a client-heavy architecture.</w:t>
      </w:r>
      <w:r>
        <w:rPr>
          <w:b w:val="0"/>
        </w:rPr>
        <w:t xml:space="preserve"> Because the platform has no traditional application server, the interface cannot be the gate. The security incident encountered during development confirmed this concretely: a rule that permitted any authenticated user to write an audit entry was exploitable even though no screen in the system offered that capability. The proponents conclude that in such an architecture every rule must be justified independently of what the interface happens to do, and that each rule requires a test attempting the write it forbids.</w:t>
      </w:r>
    </w:p>
    <w:p>
      <w:pPr>
        <w:pStyle w:val="BodyofResearch"/>
        <w:numPr>
          <w:ilvl w:val="0"/>
          <w:numId w:val="2"/>
        </w:numPr>
        <w:spacing w:after="120"/>
        <w:ind w:left="1080" w:hanging="360"/>
        <w:jc w:val="both"/>
      </w:pPr>
      <w:r>
        <w:rPr>
          <w:b/>
        </w:rPr>
        <w:t xml:space="preserve">Scheduling the assessment interview addresses a cost borne disproportionately by the poorest patients.</w:t>
      </w:r>
      <w:r>
        <w:rPr>
          <w:b w:val="0"/>
        </w:rPr>
        <w:t xml:space="preserve"> The interview is a capacity-limited step, and under the previous arrangement the consequence of that limit fell on patients who had already travelled several hours. Making the interview bookable, in person by default, converts a hidden rationing mechanism into a visible reservation. The proponents further conclude that the widely-assumed superiority of remote service delivery does not hold uniformly: for this population, in-person contact with an online fallback proved the better default, and the earlier online-first design was a design error corrected during development.</w:t>
      </w:r>
    </w:p>
    <w:p>
      <w:pPr>
        <w:pStyle w:val="BodyofResearch"/>
        <w:numPr>
          <w:ilvl w:val="0"/>
          <w:numId w:val="2"/>
        </w:numPr>
        <w:spacing w:after="120"/>
        <w:ind w:left="1080" w:hanging="360"/>
        <w:jc w:val="both"/>
      </w:pPr>
      <w:r>
        <w:rPr>
          <w:b/>
        </w:rPr>
        <w:t xml:space="preserve">The remaining barriers to sustained operation are institutional rather than technical.</w:t>
      </w:r>
      <w:r>
        <w:rPr>
          <w:b w:val="0"/>
        </w:rPr>
        <w:t xml:space="preserve"> The functional system is complete and verified, but the conditions on which a hospital could safely operate it for years — institutional ownership of the deployment, a Data Protection Officer's approved retention policy, a transactional mail sender on a hospital domain, a tested backup restoration, and a named maintenance owner — are commitments the institution must make. The proponents conclude that for a system handling real personal and medical information, treating these as deployment gates rather than as follow-up items is the honest position.</w:t>
      </w:r>
    </w:p>
    <w:p>
      <w:pPr>
        <w:pStyle w:val="BodyofResearch"/>
        <w:numPr>
          <w:ilvl w:val="0"/>
          <w:numId w:val="2"/>
        </w:numPr>
        <w:spacing w:after="120"/>
        <w:ind w:left="1080" w:hanging="360"/>
        <w:jc w:val="both"/>
      </w:pPr>
      <w:r>
        <w:rPr>
          <w:b/>
        </w:rPr>
        <w:t xml:space="preserve">Stakeholders across all three roles find the approach acceptable, with an informative reservation.</w:t>
      </w:r>
      <w:r>
        <w:rPr>
          <w:b w:val="0"/>
        </w:rPr>
        <w:t xml:space="preserve"> The Agree-level ratings across patients, supervisors, and social workers indicate multi-level readiness. The lower rating from social workers, the group whose daily work changes most, is read as appropriate professional caution and directly shaped two decisions: that the digital intake sheet mirrors CRMC's existing paper form rather than introducing new fields, and that the social worker retains final judgment on identity with automated recognition serving only as an advisory cross-check.</w:t>
      </w:r>
    </w:p>
    <w:p>
      <w:pPr>
        <w:pStyle w:val="Heading2"/>
        <w:keepNext/>
        <w:keepLines/>
        <w:spacing w:before="240" w:after="240"/>
        <w:jc w:val="left"/>
      </w:pPr>
      <w:r>
        <w:rPr>
          <w:b/>
        </w:rPr>
        <w:t xml:space="preserve">Recommendations</w:t>
      </w:r>
    </w:p>
    <w:p>
      <w:pPr>
        <w:pStyle w:val="BodyofResearch"/>
        <w:ind w:firstLine="720"/>
        <w:jc w:val="both"/>
      </w:pPr>
      <w:r>
        <w:rPr>
          <w:b w:val="0"/>
        </w:rPr>
        <w:t xml:space="preserve">On the basis of these conclusions, the proponents offer the following recommendations, ordered from those that condition immediate operation to those that extend the work.</w:t>
      </w:r>
    </w:p>
    <w:p>
      <w:pPr>
        <w:pStyle w:val="BodyofResearch"/>
        <w:keepNext/>
        <w:keepLines/>
        <w:spacing w:before="180" w:after="120"/>
        <w:jc w:val="left"/>
      </w:pPr>
      <w:r>
        <w:rPr>
          <w:b/>
        </w:rPr>
        <w:t xml:space="preserve">For Cotabato Regional and Medical Center</w:t>
      </w:r>
    </w:p>
    <w:p>
      <w:pPr>
        <w:pStyle w:val="BodyofResearch"/>
        <w:numPr>
          <w:ilvl w:val="0"/>
          <w:numId w:val="2"/>
        </w:numPr>
        <w:spacing w:after="120"/>
        <w:ind w:left="1080" w:hanging="360"/>
        <w:jc w:val="both"/>
      </w:pPr>
      <w:r>
        <w:rPr>
          <w:b/>
        </w:rPr>
        <w:t xml:space="preserve">Complete the institutional readiness gates before scaling beyond the pilot.</w:t>
      </w:r>
      <w:r>
        <w:rPr>
          <w:b w:val="0"/>
        </w:rPr>
        <w:t xml:space="preserve"> Transfer ownership of the cloud projects to a CRMC-controlled account with a named maintenance owner; obtain the Data Protection Officer's approval of a retention period for identification documents and live selfies and implement a scheduled purge against it; provision a transactional electronic mail sender on a CRMC domain; widen the backup retention window and perform a verified restoration; and configure a spending alert on the metered plan.</w:t>
      </w:r>
    </w:p>
    <w:p>
      <w:pPr>
        <w:pStyle w:val="BodyofResearch"/>
        <w:numPr>
          <w:ilvl w:val="0"/>
          <w:numId w:val="2"/>
        </w:numPr>
        <w:spacing w:after="120"/>
        <w:ind w:left="1080" w:hanging="360"/>
        <w:jc w:val="both"/>
      </w:pPr>
      <w:r>
        <w:rPr>
          <w:b/>
        </w:rPr>
        <w:t xml:space="preserve">Retain the parallel paper process for the agreed pilot period</w:t>
      </w:r>
      <w:r>
        <w:rPr>
          <w:b w:val="0"/>
        </w:rPr>
        <w:t xml:space="preserve"> and reconcile the two records before retiring it, so that no patient is disadvantaged by a system fault during transition.</w:t>
      </w:r>
    </w:p>
    <w:p>
      <w:pPr>
        <w:pStyle w:val="BodyofResearch"/>
        <w:numPr>
          <w:ilvl w:val="0"/>
          <w:numId w:val="2"/>
        </w:numPr>
        <w:spacing w:after="120"/>
        <w:ind w:left="1080" w:hanging="360"/>
        <w:jc w:val="both"/>
      </w:pPr>
      <w:r>
        <w:rPr>
          <w:b/>
        </w:rPr>
        <w:t xml:space="preserve">Set the published interview capacity to the number of interviews the Medical Social Service office can actually conduct,</w:t>
      </w:r>
      <w:r>
        <w:rPr>
          <w:b w:val="0"/>
        </w:rPr>
        <w:t xml:space="preserve"> rather than to an aspirational figure. The value of the booking system to patients depends entirely on the reservation being honored on arrival.</w:t>
      </w:r>
    </w:p>
    <w:p>
      <w:pPr>
        <w:pStyle w:val="BodyofResearch"/>
        <w:numPr>
          <w:ilvl w:val="0"/>
          <w:numId w:val="2"/>
        </w:numPr>
        <w:spacing w:after="120"/>
        <w:ind w:left="1080" w:hanging="360"/>
        <w:jc w:val="both"/>
      </w:pPr>
      <w:r>
        <w:rPr>
          <w:b/>
        </w:rPr>
        <w:t xml:space="preserve">Assign a staff member to assisted filing at the intake desk</w:t>
      </w:r>
      <w:r>
        <w:rPr>
          <w:b w:val="0"/>
        </w:rPr>
        <w:t xml:space="preserve"> for patients without a smartphone, without electronic mail, or without literacy in Filipino or English, so that the digital channel supplements rather than replaces the counter.</w:t>
      </w:r>
    </w:p>
    <w:p>
      <w:pPr>
        <w:pStyle w:val="BodyofResearch"/>
        <w:keepNext/>
        <w:keepLines/>
        <w:spacing w:before="180" w:after="120"/>
        <w:jc w:val="left"/>
      </w:pPr>
      <w:r>
        <w:rPr>
          <w:b/>
        </w:rPr>
        <w:t xml:space="preserve">For the System</w:t>
      </w:r>
    </w:p>
    <w:p>
      <w:pPr>
        <w:pStyle w:val="BodyofResearch"/>
        <w:numPr>
          <w:ilvl w:val="0"/>
          <w:numId w:val="2"/>
        </w:numPr>
        <w:spacing w:after="120"/>
        <w:ind w:left="1080" w:hanging="360"/>
        <w:jc w:val="both"/>
      </w:pPr>
      <w:r>
        <w:rPr>
          <w:b/>
        </w:rPr>
        <w:t xml:space="preserve">Close the remaining open access-rule item on the Patient Access Code collection.</w:t>
      </w:r>
      <w:r>
        <w:rPr>
          <w:b w:val="0"/>
        </w:rPr>
        <w:t xml:space="preserve"> Single-document reads on this collection are currently permitted without authentication to support the registration check, which leaves the code-availability state readable outside the throttled server-side path. The registration flow should be routed exclusively through the server-side verification function and the direct-read permission withdrawn, with the corresponding rules test inverted to assert the denial. The proponents record this as an open item rather than omitting it, since the security posture claimed elsewhere in this manuscript should be read against it.</w:t>
      </w:r>
    </w:p>
    <w:p>
      <w:pPr>
        <w:pStyle w:val="BodyofResearch"/>
        <w:numPr>
          <w:ilvl w:val="0"/>
          <w:numId w:val="2"/>
        </w:numPr>
        <w:spacing w:after="120"/>
        <w:ind w:left="1080" w:hanging="360"/>
        <w:jc w:val="both"/>
      </w:pPr>
      <w:r>
        <w:rPr>
          <w:b/>
        </w:rPr>
        <w:t xml:space="preserve">Activate the SMS channel</w:t>
      </w:r>
      <w:r>
        <w:rPr>
          <w:b w:val="0"/>
        </w:rPr>
        <w:t xml:space="preserve"> once the gateway approves the sender name, and extend it to the interview reminder function. Until then, a patient with no reliable electronic mail is the weakest link in the notification chain.</w:t>
      </w:r>
    </w:p>
    <w:p>
      <w:pPr>
        <w:pStyle w:val="BodyofResearch"/>
        <w:numPr>
          <w:ilvl w:val="0"/>
          <w:numId w:val="2"/>
        </w:numPr>
        <w:spacing w:after="120"/>
        <w:ind w:left="1080" w:hanging="360"/>
        <w:jc w:val="both"/>
      </w:pPr>
      <w:r>
        <w:rPr>
          <w:b/>
        </w:rPr>
        <w:t xml:space="preserve">Execute the object-storage migration for document content.</w:t>
      </w:r>
      <w:r>
        <w:rPr>
          <w:b w:val="0"/>
        </w:rPr>
        <w:t xml:space="preserve"> Documents and signed Guarantee Letters are currently stored as Base64 within the database, which caps each file at roughly 700 kilobytes. Object storage is provisioned and the migration is written; running it removes the cap and reduces database cost.</w:t>
      </w:r>
    </w:p>
    <w:p>
      <w:pPr>
        <w:pStyle w:val="BodyofResearch"/>
        <w:numPr>
          <w:ilvl w:val="0"/>
          <w:numId w:val="2"/>
        </w:numPr>
        <w:spacing w:after="120"/>
        <w:ind w:left="1080" w:hanging="360"/>
        <w:jc w:val="both"/>
      </w:pPr>
      <w:r>
        <w:rPr>
          <w:b/>
        </w:rPr>
        <w:t xml:space="preserve">Establish a performance budget with monitoring,</w:t>
      </w:r>
      <w:r>
        <w:rPr>
          <w:b w:val="0"/>
        </w:rPr>
        <w:t xml:space="preserve"> and continue reducing the shared vendor chunk, so that first paint on a slow connection is governed by a stated target rather than by observation.</w:t>
      </w:r>
    </w:p>
    <w:p>
      <w:pPr>
        <w:pStyle w:val="BodyofResearch"/>
        <w:numPr>
          <w:ilvl w:val="0"/>
          <w:numId w:val="2"/>
        </w:numPr>
        <w:spacing w:after="120"/>
        <w:ind w:left="1080" w:hanging="360"/>
        <w:jc w:val="both"/>
      </w:pPr>
      <w:r>
        <w:rPr>
          <w:b/>
        </w:rPr>
        <w:t xml:space="preserve">Extend the end-to-end test suite to authenticated flows.</w:t>
      </w:r>
      <w:r>
        <w:rPr>
          <w:b w:val="0"/>
        </w:rPr>
        <w:t xml:space="preserve"> The current browser suite covers the public routes; extending it to the patient, CRMC, and agency journeys requires a seeded test account in the continuous integration environment and would catch cross-role regressions that unit and component tests cannot.</w:t>
      </w:r>
    </w:p>
    <w:p>
      <w:pPr>
        <w:pStyle w:val="BodyofResearch"/>
        <w:numPr>
          <w:ilvl w:val="0"/>
          <w:numId w:val="2"/>
        </w:numPr>
        <w:spacing w:after="120"/>
        <w:ind w:left="1080" w:hanging="360"/>
        <w:jc w:val="both"/>
      </w:pPr>
      <w:r>
        <w:rPr>
          <w:b/>
        </w:rPr>
        <w:t xml:space="preserve">Complete the accessibility pass</w:t>
      </w:r>
      <w:r>
        <w:rPr>
          <w:b w:val="0"/>
        </w:rPr>
        <w:t xml:space="preserve"> with a screen-reader evaluation on a low-cost device and extend the contrast and label work to the staff surfaces.</w:t>
      </w:r>
    </w:p>
    <w:p>
      <w:pPr>
        <w:pStyle w:val="BodyofResearch"/>
        <w:numPr>
          <w:ilvl w:val="0"/>
          <w:numId w:val="2"/>
        </w:numPr>
        <w:spacing w:after="120"/>
        <w:ind w:left="1080" w:hanging="360"/>
        <w:jc w:val="both"/>
      </w:pPr>
      <w:r>
        <w:rPr>
          <w:b/>
        </w:rPr>
        <w:t xml:space="preserve">Provide a staging environment.</w:t>
      </w:r>
      <w:r>
        <w:rPr>
          <w:b w:val="0"/>
        </w:rPr>
        <w:t xml:space="preserve"> Development currently shares the pilot database, which is acceptable for a student project and unacceptable for an operating hospital system.</w:t>
      </w:r>
    </w:p>
    <w:p>
      <w:pPr>
        <w:pStyle w:val="BodyofResearch"/>
        <w:keepNext/>
        <w:keepLines/>
        <w:spacing w:before="180" w:after="120"/>
        <w:jc w:val="left"/>
      </w:pPr>
      <w:r>
        <w:rPr>
          <w:b/>
        </w:rPr>
        <w:t xml:space="preserve">For Future Research and Development</w:t>
      </w:r>
    </w:p>
    <w:p>
      <w:pPr>
        <w:pStyle w:val="BodyofResearch"/>
        <w:numPr>
          <w:ilvl w:val="0"/>
          <w:numId w:val="2"/>
        </w:numPr>
        <w:spacing w:after="120"/>
        <w:ind w:left="1080" w:hanging="360"/>
        <w:jc w:val="both"/>
      </w:pPr>
      <w:r>
        <w:rPr>
          <w:b/>
        </w:rPr>
        <w:t xml:space="preserve">Conduct a post-implementation outcome evaluation.</w:t>
      </w:r>
      <w:r>
        <w:rPr>
          <w:b w:val="0"/>
        </w:rPr>
        <w:t xml:space="preserve"> This study establishes that the system works and that stakeholders find it acceptable. It does not establish that patients make fewer trips or receive assistance sooner. A longitudinal study comparing the number of visits and the elapsed time from request to Guarantee Letter before and after adoption, with a larger sample of actual users, would test the outcome claim this study can only hypothesize.</w:t>
      </w:r>
    </w:p>
    <w:p>
      <w:pPr>
        <w:pStyle w:val="BodyofResearch"/>
        <w:numPr>
          <w:ilvl w:val="0"/>
          <w:numId w:val="2"/>
        </w:numPr>
        <w:spacing w:after="120"/>
        <w:ind w:left="1080" w:hanging="360"/>
        <w:jc w:val="both"/>
      </w:pPr>
      <w:r>
        <w:rPr>
          <w:b/>
        </w:rPr>
        <w:t xml:space="preserve">Extend language coverage to Maguindanaon, Maranao, and Tausug.</w:t>
      </w:r>
      <w:r>
        <w:rPr>
          <w:b w:val="0"/>
        </w:rPr>
        <w:t xml:space="preserve"> These are widely spoken in CRMC's catchment area. The engineering is already in place; the constraint is translation, and the work would extend reach to patients that a Filipino-and-English interface does not serve.</w:t>
      </w:r>
    </w:p>
    <w:p>
      <w:pPr>
        <w:pStyle w:val="BodyofResearch"/>
        <w:numPr>
          <w:ilvl w:val="0"/>
          <w:numId w:val="2"/>
        </w:numPr>
        <w:spacing w:after="120"/>
        <w:ind w:left="1080" w:hanging="360"/>
        <w:jc w:val="both"/>
      </w:pPr>
      <w:r>
        <w:rPr>
          <w:b/>
        </w:rPr>
        <w:t xml:space="preserve">Integrate with PhilHealth and the hospital information system.</w:t>
      </w:r>
      <w:r>
        <w:rPr>
          <w:b w:val="0"/>
        </w:rPr>
        <w:t xml:space="preserve"> PhilHealth coverage is currently entered by hand from the hospital's billing computation, and Guarantee Letter redemption is marked manually after the provider bills. Programmatic integration with either would close a manual loop; both depend on institutional access rather than on development effort.</w:t>
      </w:r>
    </w:p>
    <w:p>
      <w:pPr>
        <w:pStyle w:val="BodyofResearch"/>
        <w:numPr>
          <w:ilvl w:val="0"/>
          <w:numId w:val="2"/>
        </w:numPr>
        <w:spacing w:after="120"/>
        <w:ind w:left="1080" w:hanging="360"/>
        <w:jc w:val="both"/>
      </w:pPr>
      <w:r>
        <w:rPr>
          <w:b/>
        </w:rPr>
        <w:t xml:space="preserve">Study multi-hospital deployment.</w:t>
      </w:r>
      <w:r>
        <w:rPr>
          <w:b w:val="0"/>
        </w:rPr>
        <w:t xml:space="preserve"> The system is deliberately single-institution. Extending it across BARMM would require a hospitals collection, a namespaced access-code format, and a governance model for cross-hospital cooldown — a substantial architectural study in its own right, and the change with the largest potential reach.</w:t>
      </w:r>
    </w:p>
    <w:p>
      <w:pPr>
        <w:pStyle w:val="BodyofResearch"/>
        <w:numPr>
          <w:ilvl w:val="0"/>
          <w:numId w:val="2"/>
        </w:numPr>
        <w:spacing w:after="120"/>
        <w:ind w:left="1080" w:hanging="360"/>
        <w:jc w:val="both"/>
      </w:pPr>
      <w:r>
        <w:rPr>
          <w:b/>
        </w:rPr>
        <w:t xml:space="preserve">Investigate push notification through the mobile platform,</w:t>
      </w:r>
      <w:r>
        <w:rPr>
          <w:b w:val="0"/>
        </w:rPr>
        <w:t xml:space="preserve"> which would deliver time-critical reminders without depending on electronic mail deliverability or per-message SMS cost.</w:t>
      </w:r>
    </w:p>
    <w:p>
      <w:pPr>
        <w:pStyle w:val="BodyofResearch"/>
        <w:numPr>
          <w:ilvl w:val="0"/>
          <w:numId w:val="2"/>
        </w:numPr>
        <w:spacing w:after="120"/>
        <w:ind w:left="1080" w:hanging="360"/>
        <w:jc w:val="both"/>
      </w:pPr>
      <w:r>
        <w:rPr>
          <w:b/>
        </w:rPr>
        <w:t xml:space="preserve">Study the coordination layer empirically.</w:t>
      </w:r>
      <w:r>
        <w:rPr>
          <w:b w:val="0"/>
        </w:rPr>
        <w:t xml:space="preserve"> MAPA implements shared visibility between agencies — a case timeline, sibling approval notifications, an over-commitment guard, and structured referrals — on the theoretical grounds set out by Bardach (1998) and Klijn and Koppenjan (2016). Whether that shared visibility measurably changes agency behavior is an open empirical question that the system is now instrumented to answer.</w:t>
      </w:r>
    </w:p>
    <w:p>
      <w:r>
        <w:br w:type="page"/>
      </w:r>
    </w:p>
    <w:p>
      <w:pPr>
        <w:pStyle w:val="Heading1"/>
        <w:spacing w:before="0" w:after="360"/>
        <w:jc w:val="center"/>
      </w:pPr>
      <w:r>
        <w:rPr>
          <w:b/>
        </w:rPr>
        <w:t xml:space="preserve">References</w:t>
      </w:r>
    </w:p>
    <w:p>
      <w:pPr>
        <w:pStyle w:val="BodyofResearch"/>
        <w:spacing w:after="0" w:line="240" w:lineRule="auto"/>
      </w:pPr>
    </w:p>
    <w:p>
      <w:pPr>
        <w:pStyle w:val="References"/>
        <w:spacing w:after="240" w:line="240" w:lineRule="auto"/>
        <w:ind w:left="720" w:hanging="720"/>
        <w:jc w:val="both"/>
      </w:pPr>
      <w:r>
        <w:rPr>
          <w:b w:val="0"/>
        </w:rPr>
        <w:t xml:space="preserve">Astudillo, J., Reyes, M., &amp; Santos, P. (2024). Barriers to medical financial assistance compliance among patients in Southern Mindanao public hospitals. </w:t>
      </w:r>
      <w:r>
        <w:rPr>
          <w:b w:val="0"/>
          <w:i/>
        </w:rPr>
        <w:t xml:space="preserve">Philippine Journal of Health Research and Development, 28</w:t>
      </w:r>
      <w:r>
        <w:rPr>
          <w:b w:val="0"/>
        </w:rPr>
        <w:t xml:space="preserve">(1), 45-59.</w:t>
      </w:r>
    </w:p>
    <w:p>
      <w:pPr>
        <w:pStyle w:val="References"/>
        <w:spacing w:after="240" w:line="240" w:lineRule="auto"/>
        <w:ind w:left="720" w:hanging="720"/>
        <w:jc w:val="both"/>
      </w:pPr>
      <w:r>
        <w:rPr>
          <w:b w:val="0"/>
        </w:rPr>
        <w:t xml:space="preserve">Bardach, E. (1998). </w:t>
      </w:r>
      <w:r>
        <w:rPr>
          <w:b w:val="0"/>
          <w:i/>
        </w:rPr>
        <w:t xml:space="preserve">Getting agencies to work together: The practice and theory of managerial craftsmanship</w:t>
      </w:r>
      <w:r>
        <w:rPr>
          <w:b w:val="0"/>
        </w:rPr>
        <w:t xml:space="preserve">. Brookings Institution Press.</w:t>
      </w:r>
    </w:p>
    <w:p>
      <w:pPr>
        <w:pStyle w:val="References"/>
        <w:spacing w:after="240" w:line="240" w:lineRule="auto"/>
        <w:ind w:left="720" w:hanging="720"/>
        <w:jc w:val="both"/>
      </w:pPr>
      <w:r>
        <w:rPr>
          <w:b w:val="0"/>
        </w:rPr>
        <w:t xml:space="preserve">Bidari, P., Chen, X., Herber, I., Hübner, U., &amp; John, G. (2021). Operationalizing privacy by designing health information systems. In </w:t>
      </w:r>
      <w:r>
        <w:rPr>
          <w:b w:val="0"/>
          <w:i/>
        </w:rPr>
        <w:t xml:space="preserve">Proceedings of the 2021 IEEE International Conference on Healthcare Informatics (ICHI)</w:t>
      </w:r>
      <w:r>
        <w:rPr>
          <w:b w:val="0"/>
        </w:rPr>
        <w:t xml:space="preserve">. IEEE.</w:t>
      </w:r>
    </w:p>
    <w:p>
      <w:pPr>
        <w:pStyle w:val="References"/>
        <w:spacing w:after="240" w:line="240" w:lineRule="auto"/>
        <w:ind w:left="720" w:hanging="720"/>
        <w:jc w:val="both"/>
      </w:pPr>
      <w:r>
        <w:rPr>
          <w:b w:val="0"/>
        </w:rPr>
        <w:t xml:space="preserve">Department of Health, Department of Social Welfare and Development, Philippine Charity Sweepstakes Office, &amp; Philippine Health Insurance Corporation. (2020). </w:t>
      </w:r>
      <w:r>
        <w:rPr>
          <w:b w:val="0"/>
          <w:i/>
        </w:rPr>
        <w:t xml:space="preserve">Joint Administrative Order No. 2020-0001: Implementing rules and regulations of Republic Act No. 11463, otherwise known as the Malasakit Centers Act of 2019</w:t>
      </w:r>
      <w:r>
        <w:rPr>
          <w:b w:val="0"/>
        </w:rPr>
        <w:t xml:space="preserve">. Republic of the Philippines.</w:t>
      </w:r>
    </w:p>
    <w:p>
      <w:pPr>
        <w:pStyle w:val="References"/>
        <w:spacing w:after="240" w:line="240" w:lineRule="auto"/>
        <w:ind w:left="720" w:hanging="720"/>
        <w:jc w:val="both"/>
      </w:pPr>
      <w:r>
        <w:rPr>
          <w:b w:val="0"/>
        </w:rPr>
        <w:t xml:space="preserve">Department of Health, Philippines. (n.d.). </w:t>
      </w:r>
      <w:r>
        <w:rPr>
          <w:b w:val="0"/>
          <w:i/>
        </w:rPr>
        <w:t xml:space="preserve">iHOMIS: Integrated Hospital Operations and Management Information System</w:t>
      </w:r>
      <w:r>
        <w:rPr>
          <w:b w:val="0"/>
        </w:rPr>
        <w:t xml:space="preserve">. Retrieved from https://ro2.doh.gov.ph/ihomis/</w:t>
      </w:r>
    </w:p>
    <w:p>
      <w:pPr>
        <w:pStyle w:val="References"/>
        <w:spacing w:after="240" w:line="240" w:lineRule="auto"/>
        <w:ind w:left="720" w:hanging="720"/>
        <w:jc w:val="both"/>
      </w:pPr>
      <w:r>
        <w:rPr>
          <w:b w:val="0"/>
        </w:rPr>
        <w:t xml:space="preserve">Epic Systems. (2024). </w:t>
      </w:r>
      <w:r>
        <w:rPr>
          <w:b w:val="0"/>
          <w:i/>
        </w:rPr>
        <w:t xml:space="preserve">MyChart</w:t>
      </w:r>
      <w:r>
        <w:rPr>
          <w:b w:val="0"/>
        </w:rPr>
        <w:t xml:space="preserve">. Retrieved from https://www.epic.com/software/mychart</w:t>
      </w:r>
    </w:p>
    <w:p>
      <w:pPr>
        <w:pStyle w:val="References"/>
        <w:spacing w:after="240" w:line="240" w:lineRule="auto"/>
        <w:ind w:left="720" w:hanging="720"/>
        <w:jc w:val="both"/>
      </w:pPr>
      <w:r>
        <w:rPr>
          <w:b w:val="0"/>
        </w:rPr>
        <w:t xml:space="preserve">Ferraiolo, D. F., Sandhu, R., Gavrila, S., Kuhn, D. R., &amp; Chandramouli, R. (2001). Proposed NIST standard for role-based access control. </w:t>
      </w:r>
      <w:r>
        <w:rPr>
          <w:b w:val="0"/>
          <w:i/>
        </w:rPr>
        <w:t xml:space="preserve">ACM Transactions on Information and System Security, 4</w:t>
      </w:r>
      <w:r>
        <w:rPr>
          <w:b w:val="0"/>
        </w:rPr>
        <w:t xml:space="preserve">(3), 224-274. https://doi.org/10.1145/501978.501980</w:t>
      </w:r>
    </w:p>
    <w:p>
      <w:pPr>
        <w:pStyle w:val="References"/>
        <w:spacing w:after="240" w:line="240" w:lineRule="auto"/>
        <w:ind w:left="720" w:hanging="720"/>
        <w:jc w:val="both"/>
      </w:pPr>
      <w:r>
        <w:rPr>
          <w:b w:val="0"/>
        </w:rPr>
        <w:t xml:space="preserve">Hamine, S., Gerth-Guyette, E., Faulx, D., Green, B. B., &amp; Ginsburg, A. S. (2015). Impact of mHealth chronic disease management on treatment adherence and patient outcomes: A systematic review. </w:t>
      </w:r>
      <w:r>
        <w:rPr>
          <w:b w:val="0"/>
          <w:i/>
        </w:rPr>
        <w:t xml:space="preserve">Journal of Medical Internet Research, 17</w:t>
      </w:r>
      <w:r>
        <w:rPr>
          <w:b w:val="0"/>
        </w:rPr>
        <w:t xml:space="preserve">(2), e52. https://doi.org/10.2196/jmir.3951</w:t>
      </w:r>
    </w:p>
    <w:p>
      <w:pPr>
        <w:pStyle w:val="References"/>
        <w:spacing w:after="240" w:line="240" w:lineRule="auto"/>
        <w:ind w:left="720" w:hanging="720"/>
        <w:jc w:val="both"/>
      </w:pPr>
      <w:r>
        <w:rPr>
          <w:b w:val="0"/>
        </w:rPr>
        <w:t xml:space="preserve">Kemp, S. (2024). </w:t>
      </w:r>
      <w:r>
        <w:rPr>
          <w:b w:val="0"/>
          <w:i/>
        </w:rPr>
        <w:t xml:space="preserve">Digital 2024: The Philippines</w:t>
      </w:r>
      <w:r>
        <w:rPr>
          <w:b w:val="0"/>
        </w:rPr>
        <w:t xml:space="preserve">. DataReportal. https://datareportal.com/reports/digital-2024-philippines</w:t>
      </w:r>
    </w:p>
    <w:p>
      <w:pPr>
        <w:pStyle w:val="References"/>
        <w:spacing w:after="240" w:line="240" w:lineRule="auto"/>
        <w:ind w:left="720" w:hanging="720"/>
        <w:jc w:val="both"/>
      </w:pPr>
      <w:r>
        <w:rPr>
          <w:b w:val="0"/>
        </w:rPr>
        <w:t xml:space="preserve">Klijn, E. H., &amp; Koppenjan, J. (2016). </w:t>
      </w:r>
      <w:r>
        <w:rPr>
          <w:b w:val="0"/>
          <w:i/>
        </w:rPr>
        <w:t xml:space="preserve">Governance networks in the public sector</w:t>
      </w:r>
      <w:r>
        <w:rPr>
          <w:b w:val="0"/>
        </w:rPr>
        <w:t xml:space="preserve">. Routledge.</w:t>
      </w:r>
    </w:p>
    <w:p>
      <w:pPr>
        <w:pStyle w:val="References"/>
        <w:spacing w:after="240" w:line="240" w:lineRule="auto"/>
        <w:ind w:left="720" w:hanging="720"/>
        <w:jc w:val="both"/>
      </w:pPr>
      <w:r>
        <w:rPr>
          <w:b w:val="0"/>
        </w:rPr>
        <w:t xml:space="preserve">Marcelo, A., Corpus, R., &amp; Malanyaon, O. (2024). eHealth for universal health coverage in the Philippines: Progress, gaps, and future directions. </w:t>
      </w:r>
      <w:r>
        <w:rPr>
          <w:b w:val="0"/>
          <w:i/>
        </w:rPr>
        <w:t xml:space="preserve">Philippine Journal of Science, 153</w:t>
      </w:r>
      <w:r>
        <w:rPr>
          <w:b w:val="0"/>
        </w:rPr>
        <w:t xml:space="preserve">(2), 211-228.</w:t>
      </w:r>
    </w:p>
    <w:p>
      <w:pPr>
        <w:pStyle w:val="References"/>
        <w:spacing w:after="240" w:line="240" w:lineRule="auto"/>
        <w:ind w:left="720" w:hanging="720"/>
        <w:jc w:val="both"/>
      </w:pPr>
      <w:r>
        <w:rPr>
          <w:b w:val="0"/>
        </w:rPr>
        <w:t xml:space="preserve">Ministry of Health Malaysia. (2020). </w:t>
      </w:r>
      <w:r>
        <w:rPr>
          <w:b w:val="0"/>
          <w:i/>
        </w:rPr>
        <w:t xml:space="preserve">MySejahtera</w:t>
      </w:r>
      <w:r>
        <w:rPr>
          <w:b w:val="0"/>
        </w:rPr>
        <w:t xml:space="preserve">. Retrieved from https://mysejahtera.malaysia.gov.my</w:t>
      </w:r>
    </w:p>
    <w:p>
      <w:pPr>
        <w:pStyle w:val="References"/>
        <w:spacing w:after="240" w:line="240" w:lineRule="auto"/>
        <w:ind w:left="720" w:hanging="720"/>
        <w:jc w:val="both"/>
      </w:pPr>
      <w:r>
        <w:rPr>
          <w:b w:val="0"/>
        </w:rPr>
        <w:t xml:space="preserve">Ozdalga, E., Ozdalga, A., &amp; Ahuja, N. (2012). The smartphone in medicine: A review of current and potential use among physicians and students. </w:t>
      </w:r>
      <w:r>
        <w:rPr>
          <w:b w:val="0"/>
          <w:i/>
        </w:rPr>
        <w:t xml:space="preserve">Journal of Medical Internet Research, 14</w:t>
      </w:r>
      <w:r>
        <w:rPr>
          <w:b w:val="0"/>
        </w:rPr>
        <w:t xml:space="preserve">(5), e128. https://doi.org/10.2196/jmir.1994</w:t>
      </w:r>
    </w:p>
    <w:p>
      <w:pPr>
        <w:pStyle w:val="References"/>
        <w:spacing w:after="240" w:line="240" w:lineRule="auto"/>
        <w:ind w:left="720" w:hanging="720"/>
        <w:jc w:val="both"/>
      </w:pPr>
      <w:r>
        <w:rPr>
          <w:b w:val="0"/>
        </w:rPr>
        <w:t xml:space="preserve">Republic Act No. 10173. (2012). </w:t>
      </w:r>
      <w:r>
        <w:rPr>
          <w:b w:val="0"/>
          <w:i/>
        </w:rPr>
        <w:t xml:space="preserve">Data Privacy Act of 2012</w:t>
      </w:r>
      <w:r>
        <w:rPr>
          <w:b w:val="0"/>
        </w:rPr>
        <w:t xml:space="preserve">. Republic of the Philippines.</w:t>
      </w:r>
    </w:p>
    <w:p>
      <w:pPr>
        <w:pStyle w:val="References"/>
        <w:spacing w:after="240" w:line="240" w:lineRule="auto"/>
        <w:ind w:left="720" w:hanging="720"/>
        <w:jc w:val="both"/>
      </w:pPr>
      <w:r>
        <w:rPr>
          <w:b w:val="0"/>
        </w:rPr>
        <w:t xml:space="preserve">Republic Act No. 11463. (2019). </w:t>
      </w:r>
      <w:r>
        <w:rPr>
          <w:b w:val="0"/>
          <w:i/>
        </w:rPr>
        <w:t xml:space="preserve">Malasakit Centers Act of 2019</w:t>
      </w:r>
      <w:r>
        <w:rPr>
          <w:b w:val="0"/>
        </w:rPr>
        <w:t xml:space="preserve">. Republic of the Philippines.</w:t>
      </w:r>
    </w:p>
    <w:p>
      <w:pPr>
        <w:pStyle w:val="References"/>
        <w:spacing w:after="240" w:line="240" w:lineRule="auto"/>
        <w:ind w:left="720" w:hanging="720"/>
        <w:jc w:val="both"/>
      </w:pPr>
      <w:r>
        <w:rPr>
          <w:b w:val="0"/>
        </w:rPr>
        <w:t xml:space="preserve">Tangcharoensathien, V., Witthayapipopsakul, W., Panichkriangkrai, W., Patcharanarumol, W., &amp; Mills, A. (2018). Health systems development in Thailand: A solid platform for successful implementation of universal health coverage. </w:t>
      </w:r>
      <w:r>
        <w:rPr>
          <w:b w:val="0"/>
          <w:i/>
        </w:rPr>
        <w:t xml:space="preserve">The Lancet, 391</w:t>
      </w:r>
      <w:r>
        <w:rPr>
          <w:b w:val="0"/>
        </w:rPr>
        <w:t xml:space="preserve">(10126), 1205-1223. https://doi.org/10.1016/S0140-6736(18)30198-3</w:t>
      </w:r>
    </w:p>
    <w:p>
      <w:pPr>
        <w:pStyle w:val="References"/>
        <w:spacing w:after="240" w:line="240" w:lineRule="auto"/>
        <w:ind w:left="720" w:hanging="720"/>
        <w:jc w:val="both"/>
      </w:pPr>
      <w:r>
        <w:rPr>
          <w:b w:val="0"/>
        </w:rPr>
        <w:t xml:space="preserve">Tinam-Isan, M., &amp; Naga, R. (2024). Real-time health information systems in the Philippine context: A review of gaps and opportunities. </w:t>
      </w:r>
      <w:r>
        <w:rPr>
          <w:b w:val="0"/>
          <w:i/>
        </w:rPr>
        <w:t xml:space="preserve">Journal of Health Informatics in Developing Countries, 18</w:t>
      </w:r>
      <w:r>
        <w:rPr>
          <w:b w:val="0"/>
        </w:rPr>
        <w:t xml:space="preserve">(1), 1-14.</w:t>
      </w:r>
    </w:p>
    <w:p>
      <w:pPr>
        <w:pStyle w:val="References"/>
        <w:spacing w:after="240" w:line="240" w:lineRule="auto"/>
        <w:ind w:left="720" w:hanging="720"/>
        <w:jc w:val="both"/>
      </w:pPr>
      <w:r>
        <w:rPr>
          <w:b w:val="0"/>
        </w:rPr>
        <w:t xml:space="preserve">World Health Organization. (2011). </w:t>
      </w:r>
      <w:r>
        <w:rPr>
          <w:b w:val="0"/>
          <w:i/>
        </w:rPr>
        <w:t xml:space="preserve">mHealth: New horizons for health through mobile technologies: Second global survey on eHealth</w:t>
      </w:r>
      <w:r>
        <w:rPr>
          <w:b w:val="0"/>
        </w:rPr>
        <w:t xml:space="preserve">. World Health Organization. https://apps.who.int/iris/handle/10665/44607</w:t>
      </w:r>
    </w:p>
    <w:p>
      <w:pPr>
        <w:pStyle w:val="References"/>
        <w:spacing w:after="240" w:line="240" w:lineRule="auto"/>
        <w:ind w:left="720" w:hanging="720"/>
        <w:jc w:val="both"/>
      </w:pPr>
      <w:r>
        <w:rPr>
          <w:b w:val="0"/>
        </w:rPr>
        <w:t xml:space="preserve">Yellowlees, P., Nakagawa, K., Pakyurek, M., Hanson, A., Elder, J., &amp; Kales, H. C. (2020). Rapid conversion of an outpatient psychiatric clinic to a 100% virtual telepsychiatry clinic in response to COVID-19. </w:t>
      </w:r>
      <w:r>
        <w:rPr>
          <w:b w:val="0"/>
          <w:i/>
        </w:rPr>
        <w:t xml:space="preserve">Psychiatric Services, 71</w:t>
      </w:r>
      <w:r>
        <w:rPr>
          <w:b w:val="0"/>
        </w:rPr>
        <w:t xml:space="preserve">(7), 749-752. https://doi.org/10.1176/appi.ps.202000230</w:t>
      </w:r>
    </w:p>
    <w:p>
      <w:pPr>
        <w:pStyle w:val="References"/>
        <w:spacing w:after="240" w:line="240" w:lineRule="auto"/>
        <w:ind w:left="720" w:hanging="720"/>
        <w:jc w:val="both"/>
      </w:pPr>
      <w:r>
        <w:rPr>
          <w:b w:val="0"/>
        </w:rPr>
        <w:t xml:space="preserve">Zhou, M., Zhao, L., Kong, N., Campy, K. S., Qu, S., &amp; Wang, S. (2019). Factors influencing behavior intentions to telehealth by Chinese elderly: An extended TAM model. </w:t>
      </w:r>
      <w:r>
        <w:rPr>
          <w:b w:val="0"/>
          <w:i/>
        </w:rPr>
        <w:t xml:space="preserve">International Journal of Medical Informatics, 126</w:t>
      </w:r>
      <w:r>
        <w:rPr>
          <w:b w:val="0"/>
        </w:rPr>
        <w:t xml:space="preserve">, 118-127. https://doi.org/10.1016/j.ijmedinf.2019.03.008</w:t>
      </w:r>
    </w:p>
    <w:p>
      <w:r>
        <w:br w:type="page"/>
      </w:r>
    </w:p>
    <w:p>
      <w:pPr>
        <w:pStyle w:val="BodyofResearch"/>
        <w:spacing w:before="3600" w:after="3600" w:line="240" w:lineRule="auto"/>
        <w:jc w:val="center"/>
      </w:pPr>
      <w:r>
        <w:rPr>
          <w:b/>
          <w:sz w:val="28"/>
          <w:szCs w:val="28"/>
        </w:rPr>
        <w:t xml:space="preserve">Appendices</w:t>
      </w:r>
    </w:p>
    <w:p>
      <w:r>
        <w:br w:type="page"/>
      </w:r>
    </w:p>
    <w:p>
      <w:pPr>
        <w:pStyle w:val="BodyofResearch"/>
        <w:spacing w:before="3600" w:after="3600" w:line="240" w:lineRule="auto"/>
        <w:jc w:val="center"/>
      </w:pPr>
      <w:r>
        <w:rPr>
          <w:b/>
          <w:sz w:val="28"/>
          <w:szCs w:val="28"/>
        </w:rPr>
        <w:t xml:space="preserve">Appendix A. Resource Persons</w:t>
      </w:r>
    </w:p>
    <w:p>
      <w:r>
        <w:br w:type="page"/>
      </w:r>
    </w:p>
    <w:p>
      <w:pPr>
        <w:pStyle w:val="BodyofResearch"/>
        <w:spacing w:after="0" w:line="360" w:lineRule="auto"/>
        <w:jc w:val="center"/>
      </w:pPr>
      <w:r>
        <w:rPr>
          <w:b/>
        </w:rPr>
        <w:t xml:space="preserve">RESOURCE PERSONS</w:t>
      </w:r>
    </w:p>
    <w:p>
      <w:pPr>
        <w:pStyle w:val="BodyofResearch"/>
        <w:spacing w:after="0" w:line="240" w:lineRule="auto"/>
      </w:pPr>
    </w:p>
    <w:p>
      <w:pPr>
        <w:pStyle w:val="BodyofResearch"/>
        <w:spacing w:after="0" w:line="240" w:lineRule="auto"/>
      </w:pPr>
    </w:p>
    <w:p>
      <w:pPr>
        <w:pStyle w:val="BodyofResearch"/>
        <w:spacing w:after="0" w:line="240" w:lineRule="auto"/>
      </w:pPr>
    </w:p>
    <w:p>
      <w:pPr>
        <w:pStyle w:val="BodyofResearch"/>
        <w:spacing w:after="0" w:line="280" w:lineRule="auto"/>
        <w:jc w:val="left"/>
      </w:pPr>
      <w:r>
        <w:rPr>
          <w:b/>
        </w:rPr>
        <w:t xml:space="preserve">Jasmin B. Aliman</w:t>
      </w:r>
    </w:p>
    <w:p>
      <w:pPr>
        <w:pStyle w:val="BodyofResearch"/>
        <w:spacing w:after="0" w:line="280" w:lineRule="auto"/>
        <w:jc w:val="left"/>
      </w:pPr>
      <w:r>
        <w:rPr>
          <w:b w:val="0"/>
        </w:rPr>
        <w:t xml:space="preserve">Capstone Project Adviser / ICT Instructor</w:t>
      </w:r>
    </w:p>
    <w:p>
      <w:pPr>
        <w:pStyle w:val="BodyofResearch"/>
        <w:spacing w:after="0" w:line="280" w:lineRule="auto"/>
        <w:jc w:val="left"/>
      </w:pPr>
      <w:r>
        <w:rPr>
          <w:b w:val="0"/>
        </w:rPr>
        <w:t xml:space="preserve">Information and Communications Technology Department, STI College Cotabato</w:t>
      </w:r>
    </w:p>
    <w:p>
      <w:pPr>
        <w:pStyle w:val="BodyofResearch"/>
        <w:spacing w:after="0" w:line="240" w:lineRule="auto"/>
      </w:pPr>
    </w:p>
    <w:p>
      <w:pPr>
        <w:pStyle w:val="BodyofResearch"/>
        <w:spacing w:after="0" w:line="280" w:lineRule="auto"/>
        <w:jc w:val="left"/>
      </w:pPr>
      <w:r>
        <w:rPr>
          <w:b/>
        </w:rPr>
        <w:t xml:space="preserve">Engr. Roland Carl A. Denopol, PCpE</w:t>
      </w:r>
    </w:p>
    <w:p>
      <w:pPr>
        <w:pStyle w:val="BodyofResearch"/>
        <w:spacing w:after="0" w:line="280" w:lineRule="auto"/>
        <w:jc w:val="left"/>
      </w:pPr>
      <w:r>
        <w:rPr>
          <w:b w:val="0"/>
        </w:rPr>
        <w:t xml:space="preserve">Capstone Project Coordinator / Lead Panelist</w:t>
      </w:r>
    </w:p>
    <w:p>
      <w:pPr>
        <w:pStyle w:val="BodyofResearch"/>
        <w:spacing w:after="0" w:line="280" w:lineRule="auto"/>
        <w:jc w:val="left"/>
      </w:pPr>
      <w:r>
        <w:rPr>
          <w:b w:val="0"/>
        </w:rPr>
        <w:t xml:space="preserve">Information and Communications Technology Department, STI College Cotabato</w:t>
      </w:r>
    </w:p>
    <w:p>
      <w:pPr>
        <w:pStyle w:val="BodyofResearch"/>
        <w:spacing w:after="0" w:line="240" w:lineRule="auto"/>
      </w:pPr>
    </w:p>
    <w:p>
      <w:pPr>
        <w:pStyle w:val="BodyofResearch"/>
        <w:spacing w:after="0" w:line="280" w:lineRule="auto"/>
        <w:jc w:val="left"/>
      </w:pPr>
      <w:r>
        <w:rPr>
          <w:b/>
        </w:rPr>
        <w:t xml:space="preserve">Nurullajie S. Abdullah</w:t>
      </w:r>
    </w:p>
    <w:p>
      <w:pPr>
        <w:pStyle w:val="BodyofResearch"/>
        <w:spacing w:after="0" w:line="280" w:lineRule="auto"/>
        <w:jc w:val="left"/>
      </w:pPr>
      <w:r>
        <w:rPr>
          <w:b w:val="0"/>
        </w:rPr>
        <w:t xml:space="preserve">Panel Member</w:t>
      </w:r>
    </w:p>
    <w:p>
      <w:pPr>
        <w:pStyle w:val="BodyofResearch"/>
        <w:spacing w:after="0" w:line="280" w:lineRule="auto"/>
        <w:jc w:val="left"/>
      </w:pPr>
      <w:r>
        <w:rPr>
          <w:b w:val="0"/>
        </w:rPr>
        <w:t xml:space="preserve">Information and Communications Technology Department, STI College Cotabato</w:t>
      </w:r>
    </w:p>
    <w:p>
      <w:pPr>
        <w:pStyle w:val="BodyofResearch"/>
        <w:spacing w:after="0" w:line="240" w:lineRule="auto"/>
      </w:pPr>
    </w:p>
    <w:p>
      <w:pPr>
        <w:pStyle w:val="BodyofResearch"/>
        <w:spacing w:after="0" w:line="280" w:lineRule="auto"/>
        <w:jc w:val="left"/>
      </w:pPr>
      <w:r>
        <w:rPr>
          <w:b/>
        </w:rPr>
        <w:t xml:space="preserve">Almirah E. Abang</w:t>
      </w:r>
    </w:p>
    <w:p>
      <w:pPr>
        <w:pStyle w:val="BodyofResearch"/>
        <w:spacing w:after="0" w:line="280" w:lineRule="auto"/>
        <w:jc w:val="left"/>
      </w:pPr>
      <w:r>
        <w:rPr>
          <w:b w:val="0"/>
        </w:rPr>
        <w:t xml:space="preserve">Panel Member</w:t>
      </w:r>
    </w:p>
    <w:p>
      <w:pPr>
        <w:pStyle w:val="BodyofResearch"/>
        <w:spacing w:after="0" w:line="280" w:lineRule="auto"/>
        <w:jc w:val="left"/>
      </w:pPr>
      <w:r>
        <w:rPr>
          <w:b w:val="0"/>
        </w:rPr>
        <w:t xml:space="preserve">Information and Communications Technology Department, STI College Cotabato</w:t>
      </w:r>
    </w:p>
    <w:p>
      <w:pPr>
        <w:pStyle w:val="BodyofResearch"/>
        <w:spacing w:after="0" w:line="240" w:lineRule="auto"/>
      </w:pPr>
    </w:p>
    <w:p>
      <w:pPr>
        <w:pStyle w:val="BodyofResearch"/>
        <w:spacing w:after="0" w:line="280" w:lineRule="auto"/>
        <w:jc w:val="left"/>
      </w:pPr>
      <w:r>
        <w:rPr>
          <w:b/>
        </w:rPr>
        <w:t xml:space="preserve">Engr. Jovan J. Edward</w:t>
      </w:r>
    </w:p>
    <w:p>
      <w:pPr>
        <w:pStyle w:val="BodyofResearch"/>
        <w:spacing w:after="0" w:line="280" w:lineRule="auto"/>
        <w:jc w:val="left"/>
      </w:pPr>
      <w:r>
        <w:rPr>
          <w:b w:val="0"/>
        </w:rPr>
        <w:t xml:space="preserve">Program Head</w:t>
      </w:r>
    </w:p>
    <w:p>
      <w:pPr>
        <w:pStyle w:val="BodyofResearch"/>
        <w:spacing w:after="0" w:line="280" w:lineRule="auto"/>
        <w:jc w:val="left"/>
      </w:pPr>
      <w:r>
        <w:rPr>
          <w:b w:val="0"/>
        </w:rPr>
        <w:t xml:space="preserve">Information and Communications Technology Department, STI College Cotabato</w:t>
      </w:r>
    </w:p>
    <w:p>
      <w:pPr>
        <w:pStyle w:val="BodyofResearch"/>
        <w:spacing w:after="0" w:line="240" w:lineRule="auto"/>
      </w:pPr>
    </w:p>
    <w:p>
      <w:pPr>
        <w:pStyle w:val="BodyofResearch"/>
        <w:spacing w:after="0" w:line="240" w:lineRule="auto"/>
      </w:pPr>
    </w:p>
    <w:p>
      <w:pPr>
        <w:pStyle w:val="BodyofResearch"/>
        <w:spacing w:after="0" w:line="240" w:lineRule="auto"/>
      </w:pPr>
    </w:p>
    <w:p>
      <w:pPr>
        <w:pStyle w:val="BodyofResearch"/>
        <w:jc w:val="both"/>
      </w:pPr>
      <w:r>
        <w:rPr>
          <w:b w:val="0"/>
          <w:i/>
        </w:rPr>
        <w:t xml:space="preserve">Interview-questionnaire respondents from the Medical Social Service, the Malasakit Center, and the Municipal Social Welfare and Development Office of Cotabato Regional and Medical Center participated on condition of anonymity and are not individually named. The signed certification of the conduct of the interview-questionnaire is attached to this appendix.</w:t>
      </w:r>
    </w:p>
    <w:p>
      <w:r>
        <w:br w:type="page"/>
      </w:r>
    </w:p>
    <w:p>
      <w:pPr>
        <w:pStyle w:val="BodyofResearch"/>
        <w:spacing w:before="3600" w:after="3600" w:line="240" w:lineRule="auto"/>
        <w:jc w:val="center"/>
      </w:pPr>
      <w:r>
        <w:rPr>
          <w:b/>
          <w:sz w:val="28"/>
          <w:szCs w:val="28"/>
        </w:rPr>
        <w:t xml:space="preserve">Appendix B. Relevant Source Code</w:t>
      </w:r>
    </w:p>
    <w:p>
      <w:r>
        <w:br w:type="page"/>
      </w:r>
    </w:p>
    <w:p>
      <w:pPr>
        <w:pStyle w:val="BodyofResearch"/>
        <w:jc w:val="both"/>
      </w:pPr>
      <w:r>
        <w:rPr>
          <w:b w:val="0"/>
        </w:rPr>
        <w:t xml:space="preserve">This appendix presents the source code excerpts most relevant to the system's core logic. The complete codebase is maintained in the project repository. Five excerpts are provided: the funding computation that implements the Order of Charging, the request status derivation, the endorsement transaction, the approval transaction with cooldown enforcement, and representative Firestore Security Rules.</w:t>
      </w:r>
    </w:p>
    <w:p>
      <w:pPr>
        <w:pStyle w:val="BodyofResearch"/>
        <w:spacing w:after="0" w:line="240" w:lineRule="auto"/>
      </w:pPr>
    </w:p>
    <w:p>
      <w:pPr>
        <w:pStyle w:val="BodyofResearch"/>
        <w:keepNext/>
        <w:keepLines/>
        <w:spacing w:before="160" w:after="120"/>
        <w:jc w:val="left"/>
      </w:pPr>
      <w:r>
        <w:rPr>
          <w:b/>
          <w:i/>
        </w:rPr>
        <w:t xml:space="preserve">B.1 Funding Computation (src/utils/requests.js)</w:t>
      </w:r>
    </w:p>
    <w:p>
      <w:pPr>
        <w:pStyle w:val="BodyofResearch"/>
        <w:jc w:val="both"/>
      </w:pPr>
      <w:r>
        <w:rPr>
          <w:b w:val="0"/>
        </w:rPr>
        <w:t xml:space="preserve">Implements the Order of Charging: the amount needed is the hospital bill less PhilHealth coverage less any other coverage already applied, and the funding tally aggregates the committed and in-review amounts across all sibling agency slices.</w:t>
      </w:r>
    </w:p>
    <w:p>
      <w:pPr>
        <w:pStyle w:val="BodyofResearch"/>
        <w:spacing w:after="120" w:line="240" w:lineRule="auto"/>
        <w:ind w:left="360"/>
        <w:jc w:val="left"/>
      </w:pPr>
      <w:r>
        <w:rPr>
          <w:b w:val="0"/>
          <w:i/>
          <w:sz w:val="20"/>
          <w:szCs w:val="20"/>
        </w:rPr>
        <w:t xml:space="preserve">[ Insert source code listing here ]</w:t>
      </w:r>
    </w:p>
    <w:p>
      <w:pPr>
        <w:pStyle w:val="BodyofResearch"/>
        <w:spacing w:after="0" w:line="240" w:lineRule="auto"/>
      </w:pPr>
    </w:p>
    <w:p>
      <w:pPr>
        <w:pStyle w:val="BodyofResearch"/>
        <w:keepNext/>
        <w:keepLines/>
        <w:spacing w:before="160" w:after="120"/>
        <w:jc w:val="left"/>
      </w:pPr>
      <w:r>
        <w:rPr>
          <w:b/>
          <w:i/>
        </w:rPr>
        <w:t xml:space="preserve">B.2 Request Status Derivation (src/utils/requests.js)</w:t>
      </w:r>
    </w:p>
    <w:p>
      <w:pPr>
        <w:pStyle w:val="BodyofResearch"/>
        <w:jc w:val="both"/>
      </w:pPr>
      <w:r>
        <w:rPr>
          <w:b w:val="0"/>
        </w:rPr>
        <w:t xml:space="preserve">Derives the parent request's lifecycle status from the states of its agency slices, including the partially funded and fully funded determination and the slice-terminal predicate.</w:t>
      </w:r>
    </w:p>
    <w:p>
      <w:pPr>
        <w:pStyle w:val="BodyofResearch"/>
        <w:spacing w:after="120" w:line="240" w:lineRule="auto"/>
        <w:ind w:left="360"/>
        <w:jc w:val="left"/>
      </w:pPr>
      <w:r>
        <w:rPr>
          <w:b w:val="0"/>
          <w:i/>
          <w:sz w:val="20"/>
          <w:szCs w:val="20"/>
        </w:rPr>
        <w:t xml:space="preserve">[ Insert source code listing here ]</w:t>
      </w:r>
    </w:p>
    <w:p>
      <w:pPr>
        <w:pStyle w:val="BodyofResearch"/>
        <w:spacing w:after="0" w:line="240" w:lineRule="auto"/>
      </w:pPr>
    </w:p>
    <w:p>
      <w:pPr>
        <w:pStyle w:val="BodyofResearch"/>
        <w:keepNext/>
        <w:keepLines/>
        <w:spacing w:before="160" w:after="120"/>
        <w:jc w:val="left"/>
      </w:pPr>
      <w:r>
        <w:rPr>
          <w:b/>
          <w:i/>
        </w:rPr>
        <w:t xml:space="preserve">B.3 Endorsement Transaction (src/pages/admin/Requests.jsx)</w:t>
      </w:r>
    </w:p>
    <w:p>
      <w:pPr>
        <w:pStyle w:val="BodyofResearch"/>
        <w:jc w:val="both"/>
      </w:pPr>
      <w:r>
        <w:rPr>
          <w:b w:val="0"/>
        </w:rPr>
        <w:t xml:space="preserve">Creates one application slice per selected agency, decrements each agency's daily slot atomically, stamps the document agency-scoping list, and notifies the patient — all within a single Firestore transaction so that a partial endorsement cannot occur.</w:t>
      </w:r>
    </w:p>
    <w:p>
      <w:pPr>
        <w:pStyle w:val="BodyofResearch"/>
        <w:spacing w:after="120" w:line="240" w:lineRule="auto"/>
        <w:ind w:left="360"/>
        <w:jc w:val="left"/>
      </w:pPr>
      <w:r>
        <w:rPr>
          <w:b w:val="0"/>
          <w:i/>
          <w:sz w:val="20"/>
          <w:szCs w:val="20"/>
        </w:rPr>
        <w:t xml:space="preserve">[ Insert source code listing here ]</w:t>
      </w:r>
    </w:p>
    <w:p>
      <w:pPr>
        <w:pStyle w:val="BodyofResearch"/>
        <w:spacing w:after="0" w:line="240" w:lineRule="auto"/>
      </w:pPr>
    </w:p>
    <w:p>
      <w:pPr>
        <w:pStyle w:val="BodyofResearch"/>
        <w:keepNext/>
        <w:keepLines/>
        <w:spacing w:before="160" w:after="120"/>
        <w:jc w:val="left"/>
      </w:pPr>
      <w:r>
        <w:rPr>
          <w:b/>
          <w:i/>
        </w:rPr>
        <w:t xml:space="preserve">B.4 Approval and Cooldown Transaction (src/components/agency/ApplicationModals.jsx)</w:t>
      </w:r>
    </w:p>
    <w:p>
      <w:pPr>
        <w:pStyle w:val="BodyofResearch"/>
        <w:jc w:val="both"/>
      </w:pPr>
      <w:r>
        <w:rPr>
          <w:b w:val="0"/>
        </w:rPr>
        <w:t xml:space="preserve">Runs the cooldown and cap checks, then in one transaction sets the slice to approved with the Guarantee Letter issued, increments the agency's committed budget, advances the parent request's committed amount, and stamps the Hospital ID to begin the cross-agency cooldown.</w:t>
      </w:r>
    </w:p>
    <w:p>
      <w:pPr>
        <w:pStyle w:val="BodyofResearch"/>
        <w:spacing w:after="120" w:line="240" w:lineRule="auto"/>
        <w:ind w:left="360"/>
        <w:jc w:val="left"/>
      </w:pPr>
      <w:r>
        <w:rPr>
          <w:b w:val="0"/>
          <w:i/>
          <w:sz w:val="20"/>
          <w:szCs w:val="20"/>
        </w:rPr>
        <w:t xml:space="preserve">[ Insert source code listing here ]</w:t>
      </w:r>
    </w:p>
    <w:p>
      <w:pPr>
        <w:pStyle w:val="BodyofResearch"/>
        <w:spacing w:after="0" w:line="240" w:lineRule="auto"/>
      </w:pPr>
    </w:p>
    <w:p>
      <w:pPr>
        <w:pStyle w:val="BodyofResearch"/>
        <w:keepNext/>
        <w:keepLines/>
        <w:spacing w:before="160" w:after="120"/>
        <w:jc w:val="left"/>
      </w:pPr>
      <w:r>
        <w:rPr>
          <w:b/>
          <w:i/>
        </w:rPr>
        <w:t xml:space="preserve">B.5 Representative Firestore Security Rules (firestore.rules)</w:t>
      </w:r>
    </w:p>
    <w:p>
      <w:pPr>
        <w:pStyle w:val="BodyofResearch"/>
        <w:jc w:val="both"/>
      </w:pPr>
      <w:r>
        <w:rPr>
          <w:b w:val="0"/>
        </w:rPr>
        <w:t xml:space="preserve">The audit log actor-binding rule, the interview-slot compare-and-set booking rule, the cross-agency certificate ownership guard, and the users role-escalation guard.</w:t>
      </w:r>
    </w:p>
    <w:p>
      <w:pPr>
        <w:pStyle w:val="BodyofResearch"/>
        <w:spacing w:after="120" w:line="240" w:lineRule="auto"/>
        <w:ind w:left="360"/>
        <w:jc w:val="left"/>
      </w:pPr>
      <w:r>
        <w:rPr>
          <w:b w:val="0"/>
          <w:i/>
          <w:sz w:val="20"/>
          <w:szCs w:val="20"/>
        </w:rPr>
        <w:t xml:space="preserve">[ Insert source code listing here ]</w:t>
      </w:r>
    </w:p>
    <w:p>
      <w:pPr>
        <w:pStyle w:val="BodyofResearch"/>
        <w:spacing w:after="0" w:line="240" w:lineRule="auto"/>
      </w:pPr>
    </w:p>
    <w:p>
      <w:pPr>
        <w:pStyle w:val="BodyofResearch"/>
        <w:keepNext/>
        <w:keepLines/>
        <w:spacing w:before="160" w:after="120"/>
        <w:jc w:val="left"/>
      </w:pPr>
      <w:r>
        <w:rPr>
          <w:b/>
          <w:i/>
        </w:rPr>
        <w:t xml:space="preserve">B.6 Interview Slot Cloud Function (functions/src/onInterviewSlotWritten.js)</w:t>
      </w:r>
    </w:p>
    <w:p>
      <w:pPr>
        <w:pStyle w:val="BodyofResearch"/>
        <w:jc w:val="both"/>
      </w:pPr>
      <w:r>
        <w:rPr>
          <w:b w:val="0"/>
        </w:rPr>
        <w:t xml:space="preserve">Synchronizes a booked or cancelled interview onto the parent request and assigns the in-person queue number in booking order.</w:t>
      </w:r>
    </w:p>
    <w:p>
      <w:pPr>
        <w:pStyle w:val="BodyofResearch"/>
        <w:spacing w:after="120" w:line="240" w:lineRule="auto"/>
        <w:ind w:left="360"/>
        <w:jc w:val="left"/>
      </w:pPr>
      <w:r>
        <w:rPr>
          <w:b w:val="0"/>
          <w:i/>
          <w:sz w:val="20"/>
          <w:szCs w:val="20"/>
        </w:rPr>
        <w:t xml:space="preserve">[ Insert source code listing here ]</w:t>
      </w:r>
    </w:p>
    <w:p>
      <w:pPr>
        <w:pStyle w:val="BodyofResearch"/>
        <w:spacing w:after="0" w:line="240" w:lineRule="auto"/>
      </w:pPr>
    </w:p>
    <w:p>
      <w:r>
        <w:br w:type="page"/>
      </w:r>
    </w:p>
    <w:p>
      <w:pPr>
        <w:pStyle w:val="BodyofResearch"/>
        <w:spacing w:before="3600" w:after="3600" w:line="240" w:lineRule="auto"/>
        <w:jc w:val="center"/>
      </w:pPr>
      <w:r>
        <w:rPr>
          <w:b/>
          <w:sz w:val="28"/>
          <w:szCs w:val="28"/>
        </w:rPr>
        <w:t xml:space="preserve">Appendix C. Evaluation Tool / Test Documents</w:t>
      </w:r>
    </w:p>
    <w:p>
      <w:r>
        <w:br w:type="page"/>
      </w:r>
    </w:p>
    <w:p>
      <w:pPr>
        <w:pStyle w:val="BodyofResearch"/>
        <w:keepNext/>
        <w:keepLines/>
        <w:spacing w:before="180" w:after="120"/>
        <w:jc w:val="left"/>
      </w:pPr>
      <w:r>
        <w:rPr>
          <w:b/>
        </w:rPr>
        <w:t xml:space="preserve">C.1 Interview-Questionnaire Instrument</w:t>
      </w:r>
    </w:p>
    <w:p>
      <w:pPr>
        <w:pStyle w:val="BodyofResearch"/>
        <w:jc w:val="both"/>
      </w:pPr>
      <w:r>
        <w:rPr>
          <w:b w:val="0"/>
        </w:rPr>
        <w:t xml:space="preserve">The structured interview-questionnaire administered to the nine CRMC respondents is reproduced below. Responses were captured on a five-point Likert scale (5 = Strongly Agree, 4 = Agree, 3 = Neutral, 2 = Disagree, 1 = Strongly Disagree). Separate instruments were used for the patient, social worker, and supervisor groups; the common items are shown here.</w:t>
      </w:r>
    </w:p>
    <w:p>
      <w:pPr>
        <w:pStyle w:val="BodyofResearch"/>
        <w:spacing w:after="120" w:line="240" w:lineRule="auto"/>
        <w:ind w:left="360"/>
        <w:jc w:val="left"/>
      </w:pPr>
      <w:r>
        <w:rPr>
          <w:b w:val="0"/>
          <w:i/>
          <w:sz w:val="20"/>
          <w:szCs w:val="20"/>
        </w:rPr>
        <w:t xml:space="preserve">[ Insert the signed questionnaire forms and the tallied response sheet here ]</w:t>
      </w:r>
    </w:p>
    <w:p>
      <w:pPr>
        <w:pStyle w:val="BodyofResearch"/>
        <w:spacing w:after="0" w:line="240" w:lineRule="auto"/>
      </w:pPr>
    </w:p>
    <w:p>
      <w:pPr>
        <w:pStyle w:val="BodyofResearch"/>
        <w:keepNext/>
        <w:keepLines/>
        <w:spacing w:before="180" w:after="120"/>
        <w:jc w:val="left"/>
      </w:pPr>
      <w:r>
        <w:rPr>
          <w:b/>
        </w:rPr>
        <w:t xml:space="preserve">C.2 Test Documentation</w:t>
      </w:r>
    </w:p>
    <w:p>
      <w:pPr>
        <w:pStyle w:val="BodyofResearch"/>
        <w:jc w:val="both"/>
      </w:pPr>
      <w:r>
        <w:rPr>
          <w:b w:val="0"/>
        </w:rPr>
        <w:t xml:space="preserve">The automated test suites reported in the Results and Discussion chapter are reproduced in summary form below, together with a representative continuous integration run report.</w:t>
      </w:r>
    </w:p>
    <w:p>
      <w:pPr>
        <w:pStyle w:val="BodyofResearch"/>
        <w:numPr>
          <w:ilvl w:val="0"/>
          <w:numId w:val="3"/>
        </w:numPr>
        <w:spacing w:after="120"/>
        <w:ind w:left="1080" w:hanging="360"/>
        <w:jc w:val="both"/>
      </w:pPr>
      <w:r>
        <w:rPr>
          <w:b w:val="0"/>
        </w:rPr>
        <w:t xml:space="preserve">Unit test suite — 35 tests over the pure business logic in the utils directory.</w:t>
      </w:r>
    </w:p>
    <w:p>
      <w:pPr>
        <w:pStyle w:val="BodyofResearch"/>
        <w:numPr>
          <w:ilvl w:val="0"/>
          <w:numId w:val="3"/>
        </w:numPr>
        <w:spacing w:after="120"/>
        <w:ind w:left="1080" w:hanging="360"/>
        <w:jc w:val="both"/>
      </w:pPr>
      <w:r>
        <w:rPr>
          <w:b w:val="0"/>
        </w:rPr>
        <w:t xml:space="preserve">Component test suite — 64 tests over rendered component behavior under jsdom.</w:t>
      </w:r>
    </w:p>
    <w:p>
      <w:pPr>
        <w:pStyle w:val="BodyofResearch"/>
        <w:numPr>
          <w:ilvl w:val="0"/>
          <w:numId w:val="3"/>
        </w:numPr>
        <w:spacing w:after="120"/>
        <w:ind w:left="1080" w:hanging="360"/>
        <w:jc w:val="both"/>
      </w:pPr>
      <w:r>
        <w:rPr>
          <w:b w:val="0"/>
        </w:rPr>
        <w:t xml:space="preserve">Cloud Function test suite — 49 tests over the seven server-side handlers.</w:t>
      </w:r>
    </w:p>
    <w:p>
      <w:pPr>
        <w:pStyle w:val="BodyofResearch"/>
        <w:numPr>
          <w:ilvl w:val="0"/>
          <w:numId w:val="3"/>
        </w:numPr>
        <w:spacing w:after="120"/>
        <w:ind w:left="1080" w:hanging="360"/>
        <w:jc w:val="both"/>
      </w:pPr>
      <w:r>
        <w:rPr>
          <w:b w:val="0"/>
        </w:rPr>
        <w:t xml:space="preserve">Security rules test suite — 138 tests executed against the Firestore emulator.</w:t>
      </w:r>
    </w:p>
    <w:p>
      <w:pPr>
        <w:pStyle w:val="BodyofResearch"/>
        <w:numPr>
          <w:ilvl w:val="0"/>
          <w:numId w:val="3"/>
        </w:numPr>
        <w:spacing w:after="120"/>
        <w:ind w:left="1080" w:hanging="360"/>
        <w:jc w:val="both"/>
      </w:pPr>
      <w:r>
        <w:rPr>
          <w:b w:val="0"/>
        </w:rPr>
        <w:t xml:space="preserve">End-to-end smoke suite — browser coverage of the public routes.</w:t>
      </w:r>
    </w:p>
    <w:p>
      <w:pPr>
        <w:pStyle w:val="BodyofResearch"/>
        <w:spacing w:after="120" w:line="240" w:lineRule="auto"/>
        <w:ind w:left="360"/>
        <w:jc w:val="left"/>
      </w:pPr>
      <w:r>
        <w:rPr>
          <w:b w:val="0"/>
          <w:i/>
          <w:sz w:val="20"/>
          <w:szCs w:val="20"/>
        </w:rPr>
        <w:t xml:space="preserve">[ Insert the continuous integration run report and the test output listing here ]</w:t>
      </w:r>
    </w:p>
    <w:p>
      <w:pPr>
        <w:pStyle w:val="BodyofResearch"/>
        <w:spacing w:after="0" w:line="240" w:lineRule="auto"/>
      </w:pPr>
    </w:p>
    <w:p>
      <w:pPr>
        <w:pStyle w:val="BodyofResearch"/>
        <w:keepNext/>
        <w:keepLines/>
        <w:spacing w:before="180" w:after="120"/>
        <w:jc w:val="left"/>
      </w:pPr>
      <w:r>
        <w:rPr>
          <w:b/>
        </w:rPr>
        <w:t xml:space="preserve">C.3 User Acceptance Test Script</w:t>
      </w:r>
    </w:p>
    <w:p>
      <w:pPr>
        <w:pStyle w:val="BodyofResearch"/>
        <w:jc w:val="both"/>
      </w:pPr>
      <w:r>
        <w:rPr>
          <w:b w:val="0"/>
        </w:rPr>
        <w:t xml:space="preserve">The scenario-based acceptance script used during the demonstration walkthrough, covering the patient, CRMC administrator, and agency coordinator journeys end to end from registration through Guarantee Letter download.</w:t>
      </w:r>
    </w:p>
    <w:p>
      <w:pPr>
        <w:pStyle w:val="BodyofResearch"/>
        <w:spacing w:after="120" w:line="240" w:lineRule="auto"/>
        <w:ind w:left="360"/>
        <w:jc w:val="left"/>
      </w:pPr>
      <w:r>
        <w:rPr>
          <w:b w:val="0"/>
          <w:i/>
          <w:sz w:val="20"/>
          <w:szCs w:val="20"/>
        </w:rPr>
        <w:t xml:space="preserve">[ Insert the completed and signed acceptance test forms here ]</w:t>
      </w:r>
    </w:p>
    <w:p>
      <w:r>
        <w:br w:type="page"/>
      </w:r>
    </w:p>
    <w:p>
      <w:pPr>
        <w:pStyle w:val="BodyofResearch"/>
        <w:spacing w:before="3600" w:after="3600" w:line="240" w:lineRule="auto"/>
        <w:jc w:val="center"/>
      </w:pPr>
      <w:r>
        <w:rPr>
          <w:b/>
          <w:sz w:val="28"/>
          <w:szCs w:val="28"/>
        </w:rPr>
        <w:t xml:space="preserve">Appendix D. Sample Input / Output / Reports</w:t>
      </w:r>
    </w:p>
    <w:p>
      <w:r>
        <w:br w:type="page"/>
      </w:r>
    </w:p>
    <w:p>
      <w:pPr>
        <w:pStyle w:val="BodyofResearch"/>
        <w:jc w:val="both"/>
      </w:pPr>
      <w:r>
        <w:rPr>
          <w:b w:val="0"/>
        </w:rPr>
        <w:t xml:space="preserve">This appendix presents representative screens and generated documents from the deployed system. Each item should be captured from the live system at the resolution indicated.</w:t>
      </w:r>
    </w:p>
    <w:p>
      <w:pPr>
        <w:pStyle w:val="BodyofResearch"/>
        <w:numPr>
          <w:ilvl w:val="0"/>
          <w:numId w:val="3"/>
        </w:numPr>
        <w:spacing w:after="120"/>
        <w:ind w:left="1080" w:hanging="360"/>
        <w:jc w:val="both"/>
      </w:pPr>
      <w:r>
        <w:rPr>
          <w:b/>
        </w:rPr>
        <w:t xml:space="preserve">D.1</w:t>
      </w:r>
      <w:r>
        <w:rPr>
          <w:b w:val="0"/>
        </w:rPr>
        <w:t xml:space="preserve"> Public landing page and Install page (desktop and 360-pixel mobile).</w:t>
      </w:r>
    </w:p>
    <w:p>
      <w:pPr>
        <w:pStyle w:val="BodyofResearch"/>
        <w:numPr>
          <w:ilvl w:val="0"/>
          <w:numId w:val="3"/>
        </w:numPr>
        <w:spacing w:after="120"/>
        <w:ind w:left="1080" w:hanging="360"/>
        <w:jc w:val="both"/>
      </w:pPr>
      <w:r>
        <w:rPr>
          <w:b/>
        </w:rPr>
        <w:t xml:space="preserve">D.2</w:t>
      </w:r>
      <w:r>
        <w:rPr>
          <w:b w:val="0"/>
        </w:rPr>
        <w:t xml:space="preserve"> Patient registration with Patient Access Code verification.</w:t>
      </w:r>
    </w:p>
    <w:p>
      <w:pPr>
        <w:pStyle w:val="BodyofResearch"/>
        <w:numPr>
          <w:ilvl w:val="0"/>
          <w:numId w:val="3"/>
        </w:numPr>
        <w:spacing w:after="120"/>
        <w:ind w:left="1080" w:hanging="360"/>
        <w:jc w:val="both"/>
      </w:pPr>
      <w:r>
        <w:rPr>
          <w:b/>
        </w:rPr>
        <w:t xml:space="preserve">D.3</w:t>
      </w:r>
      <w:r>
        <w:rPr>
          <w:b w:val="0"/>
        </w:rPr>
        <w:t xml:space="preserve"> Patient dashboard showing the status hero, journey strip, and document summary.</w:t>
      </w:r>
    </w:p>
    <w:p>
      <w:pPr>
        <w:pStyle w:val="BodyofResearch"/>
        <w:numPr>
          <w:ilvl w:val="0"/>
          <w:numId w:val="3"/>
        </w:numPr>
        <w:spacing w:after="120"/>
        <w:ind w:left="1080" w:hanging="360"/>
        <w:jc w:val="both"/>
      </w:pPr>
      <w:r>
        <w:rPr>
          <w:b/>
        </w:rPr>
        <w:t xml:space="preserve">D.4</w:t>
      </w:r>
      <w:r>
        <w:rPr>
          <w:b w:val="0"/>
        </w:rPr>
        <w:t xml:space="preserve"> Request Assistance wizard, all four steps, including the live selfie capture.</w:t>
      </w:r>
    </w:p>
    <w:p>
      <w:pPr>
        <w:pStyle w:val="BodyofResearch"/>
        <w:numPr>
          <w:ilvl w:val="0"/>
          <w:numId w:val="3"/>
        </w:numPr>
        <w:spacing w:after="120"/>
        <w:ind w:left="1080" w:hanging="360"/>
        <w:jc w:val="both"/>
      </w:pPr>
      <w:r>
        <w:rPr>
          <w:b/>
        </w:rPr>
        <w:t xml:space="preserve">D.5</w:t>
      </w:r>
      <w:r>
        <w:rPr>
          <w:b w:val="0"/>
        </w:rPr>
        <w:t xml:space="preserve"> Household Intake Wizard, all five steps.</w:t>
      </w:r>
    </w:p>
    <w:p>
      <w:pPr>
        <w:pStyle w:val="BodyofResearch"/>
        <w:numPr>
          <w:ilvl w:val="0"/>
          <w:numId w:val="3"/>
        </w:numPr>
        <w:spacing w:after="120"/>
        <w:ind w:left="1080" w:hanging="360"/>
        <w:jc w:val="both"/>
      </w:pPr>
      <w:r>
        <w:rPr>
          <w:b/>
        </w:rPr>
        <w:t xml:space="preserve">D.6</w:t>
      </w:r>
      <w:r>
        <w:rPr>
          <w:b w:val="0"/>
        </w:rPr>
        <w:t xml:space="preserve"> Interview booking — the slot list, the confirmation, and the assigned in-person queue number.</w:t>
      </w:r>
    </w:p>
    <w:p>
      <w:pPr>
        <w:pStyle w:val="BodyofResearch"/>
        <w:numPr>
          <w:ilvl w:val="0"/>
          <w:numId w:val="3"/>
        </w:numPr>
        <w:spacing w:after="120"/>
        <w:ind w:left="1080" w:hanging="360"/>
        <w:jc w:val="both"/>
      </w:pPr>
      <w:r>
        <w:rPr>
          <w:b/>
        </w:rPr>
        <w:t xml:space="preserve">D.7</w:t>
      </w:r>
      <w:r>
        <w:rPr>
          <w:b w:val="0"/>
        </w:rPr>
        <w:t xml:space="preserve"> Coverage plan showing the bill, the PhilHealth first charge, the residual, and the endorsed agencies.</w:t>
      </w:r>
    </w:p>
    <w:p>
      <w:pPr>
        <w:pStyle w:val="BodyofResearch"/>
        <w:numPr>
          <w:ilvl w:val="0"/>
          <w:numId w:val="3"/>
        </w:numPr>
        <w:spacing w:after="120"/>
        <w:ind w:left="1080" w:hanging="360"/>
        <w:jc w:val="both"/>
      </w:pPr>
      <w:r>
        <w:rPr>
          <w:b/>
        </w:rPr>
        <w:t xml:space="preserve">D.8</w:t>
      </w:r>
      <w:r>
        <w:rPr>
          <w:b w:val="0"/>
        </w:rPr>
        <w:t xml:space="preserve"> Request and per-slice tracking view.</w:t>
      </w:r>
    </w:p>
    <w:p>
      <w:pPr>
        <w:pStyle w:val="BodyofResearch"/>
        <w:numPr>
          <w:ilvl w:val="0"/>
          <w:numId w:val="3"/>
        </w:numPr>
        <w:spacing w:after="120"/>
        <w:ind w:left="1080" w:hanging="360"/>
        <w:jc w:val="both"/>
      </w:pPr>
      <w:r>
        <w:rPr>
          <w:b/>
        </w:rPr>
        <w:t xml:space="preserve">D.9</w:t>
      </w:r>
      <w:r>
        <w:rPr>
          <w:b w:val="0"/>
        </w:rPr>
        <w:t xml:space="preserve"> CRMC Requests workspace and the guided stepper.</w:t>
      </w:r>
    </w:p>
    <w:p>
      <w:pPr>
        <w:pStyle w:val="BodyofResearch"/>
        <w:numPr>
          <w:ilvl w:val="0"/>
          <w:numId w:val="3"/>
        </w:numPr>
        <w:spacing w:after="120"/>
        <w:ind w:left="1080" w:hanging="360"/>
        <w:jc w:val="both"/>
      </w:pPr>
      <w:r>
        <w:rPr>
          <w:b/>
        </w:rPr>
        <w:t xml:space="preserve">D.10</w:t>
      </w:r>
      <w:r>
        <w:rPr>
          <w:b w:val="0"/>
        </w:rPr>
        <w:t xml:space="preserve"> Document verification screen with the OCR advisory and reviewer trail.</w:t>
      </w:r>
    </w:p>
    <w:p>
      <w:pPr>
        <w:pStyle w:val="BodyofResearch"/>
        <w:numPr>
          <w:ilvl w:val="0"/>
          <w:numId w:val="3"/>
        </w:numPr>
        <w:spacing w:after="120"/>
        <w:ind w:left="1080" w:hanging="360"/>
        <w:jc w:val="both"/>
      </w:pPr>
      <w:r>
        <w:rPr>
          <w:b/>
        </w:rPr>
        <w:t xml:space="preserve">D.11</w:t>
      </w:r>
      <w:r>
        <w:rPr>
          <w:b w:val="0"/>
        </w:rPr>
        <w:t xml:space="preserve"> Unified Intake Sheet, screen view and printed form.</w:t>
      </w:r>
    </w:p>
    <w:p>
      <w:pPr>
        <w:pStyle w:val="BodyofResearch"/>
        <w:numPr>
          <w:ilvl w:val="0"/>
          <w:numId w:val="3"/>
        </w:numPr>
        <w:spacing w:after="120"/>
        <w:ind w:left="1080" w:hanging="360"/>
        <w:jc w:val="both"/>
      </w:pPr>
      <w:r>
        <w:rPr>
          <w:b/>
        </w:rPr>
        <w:t xml:space="preserve">D.12</w:t>
      </w:r>
      <w:r>
        <w:rPr>
          <w:b w:val="0"/>
        </w:rPr>
        <w:t xml:space="preserve"> Endorse modal showing the funding summary and eligible agencies.</w:t>
      </w:r>
    </w:p>
    <w:p>
      <w:pPr>
        <w:pStyle w:val="BodyofResearch"/>
        <w:numPr>
          <w:ilvl w:val="0"/>
          <w:numId w:val="3"/>
        </w:numPr>
        <w:spacing w:after="120"/>
        <w:ind w:left="1080" w:hanging="360"/>
        <w:jc w:val="both"/>
      </w:pPr>
      <w:r>
        <w:rPr>
          <w:b/>
        </w:rPr>
        <w:t xml:space="preserve">D.13</w:t>
      </w:r>
      <w:r>
        <w:rPr>
          <w:b w:val="0"/>
        </w:rPr>
        <w:t xml:space="preserve"> Agency funding inbox and application detail with the co-funding picture and case timeline.</w:t>
      </w:r>
    </w:p>
    <w:p>
      <w:pPr>
        <w:pStyle w:val="BodyofResearch"/>
        <w:numPr>
          <w:ilvl w:val="0"/>
          <w:numId w:val="3"/>
        </w:numPr>
        <w:spacing w:after="120"/>
        <w:ind w:left="1080" w:hanging="360"/>
        <w:jc w:val="both"/>
      </w:pPr>
      <w:r>
        <w:rPr>
          <w:b/>
        </w:rPr>
        <w:t xml:space="preserve">D.14</w:t>
      </w:r>
      <w:r>
        <w:rPr>
          <w:b w:val="0"/>
        </w:rPr>
        <w:t xml:space="preserve"> Approve modal showing the over-commitment guard.</w:t>
      </w:r>
    </w:p>
    <w:p>
      <w:pPr>
        <w:pStyle w:val="BodyofResearch"/>
        <w:numPr>
          <w:ilvl w:val="0"/>
          <w:numId w:val="3"/>
        </w:numPr>
        <w:spacing w:after="120"/>
        <w:ind w:left="1080" w:hanging="360"/>
        <w:jc w:val="both"/>
      </w:pPr>
      <w:r>
        <w:rPr>
          <w:b/>
        </w:rPr>
        <w:t xml:space="preserve">D.15</w:t>
      </w:r>
      <w:r>
        <w:rPr>
          <w:b w:val="0"/>
        </w:rPr>
        <w:t xml:space="preserve"> Generated Guarantee Letter, unsigned and signed.</w:t>
      </w:r>
    </w:p>
    <w:p>
      <w:pPr>
        <w:pStyle w:val="BodyofResearch"/>
        <w:numPr>
          <w:ilvl w:val="0"/>
          <w:numId w:val="3"/>
        </w:numPr>
        <w:spacing w:after="120"/>
        <w:ind w:left="1080" w:hanging="360"/>
        <w:jc w:val="both"/>
      </w:pPr>
      <w:r>
        <w:rPr>
          <w:b/>
        </w:rPr>
        <w:t xml:space="preserve">D.16</w:t>
      </w:r>
      <w:r>
        <w:rPr>
          <w:b w:val="0"/>
        </w:rPr>
        <w:t xml:space="preserve"> Agency budget allocation and audit log.</w:t>
      </w:r>
    </w:p>
    <w:p>
      <w:pPr>
        <w:pStyle w:val="BodyofResearch"/>
        <w:numPr>
          <w:ilvl w:val="0"/>
          <w:numId w:val="3"/>
        </w:numPr>
        <w:spacing w:after="120"/>
        <w:ind w:left="1080" w:hanging="360"/>
        <w:jc w:val="both"/>
      </w:pPr>
      <w:r>
        <w:rPr>
          <w:b/>
        </w:rPr>
        <w:t xml:space="preserve">D.17</w:t>
      </w:r>
      <w:r>
        <w:rPr>
          <w:b w:val="0"/>
        </w:rPr>
        <w:t xml:space="preserve"> Administrator audit log and application logs with CSV export.</w:t>
      </w:r>
    </w:p>
    <w:p>
      <w:pPr>
        <w:pStyle w:val="BodyofResearch"/>
        <w:numPr>
          <w:ilvl w:val="0"/>
          <w:numId w:val="3"/>
        </w:numPr>
        <w:spacing w:after="120"/>
        <w:ind w:left="1080" w:hanging="360"/>
        <w:jc w:val="both"/>
      </w:pPr>
      <w:r>
        <w:rPr>
          <w:b/>
        </w:rPr>
        <w:t xml:space="preserve">D.18</w:t>
      </w:r>
      <w:r>
        <w:rPr>
          <w:b w:val="0"/>
        </w:rPr>
        <w:t xml:space="preserve"> Patient data export file (RA 10173 Section 16(f)) and data access log.</w:t>
      </w:r>
    </w:p>
    <w:p>
      <w:pPr>
        <w:pStyle w:val="BodyofResearch"/>
        <w:numPr>
          <w:ilvl w:val="0"/>
          <w:numId w:val="3"/>
        </w:numPr>
        <w:spacing w:after="120"/>
        <w:ind w:left="1080" w:hanging="360"/>
        <w:jc w:val="both"/>
      </w:pPr>
      <w:r>
        <w:rPr>
          <w:b/>
        </w:rPr>
        <w:t xml:space="preserve">D.19</w:t>
      </w:r>
      <w:r>
        <w:rPr>
          <w:b w:val="0"/>
        </w:rPr>
        <w:t xml:space="preserve"> Aggregate reports by agency, status, and period.</w:t>
      </w:r>
    </w:p>
    <w:p>
      <w:pPr>
        <w:pStyle w:val="BodyofResearch"/>
        <w:spacing w:after="120" w:line="240" w:lineRule="auto"/>
        <w:ind w:left="360"/>
        <w:jc w:val="left"/>
      </w:pPr>
      <w:r>
        <w:rPr>
          <w:b w:val="0"/>
          <w:i/>
          <w:sz w:val="20"/>
          <w:szCs w:val="20"/>
        </w:rPr>
        <w:t xml:space="preserve">[ Insert the captured screens and generated documents here ]</w:t>
      </w:r>
    </w:p>
    <w:p>
      <w:r>
        <w:br w:type="page"/>
      </w:r>
    </w:p>
    <w:p>
      <w:pPr>
        <w:pStyle w:val="BodyofResearch"/>
        <w:spacing w:before="3600" w:after="3600" w:line="240" w:lineRule="auto"/>
        <w:jc w:val="center"/>
      </w:pPr>
      <w:r>
        <w:rPr>
          <w:b/>
          <w:sz w:val="28"/>
          <w:szCs w:val="28"/>
        </w:rPr>
        <w:t xml:space="preserve">Appendix E. User's Guide</w:t>
      </w:r>
    </w:p>
    <w:p>
      <w:r>
        <w:br w:type="page"/>
      </w:r>
    </w:p>
    <w:p>
      <w:pPr>
        <w:pStyle w:val="BodyofResearch"/>
        <w:jc w:val="both"/>
      </w:pPr>
      <w:r>
        <w:rPr>
          <w:b w:val="0"/>
        </w:rPr>
        <w:t xml:space="preserve">This appendix provides the operating instructions for each role. The system additionally carries an in-application guided tour on first visit and a role-specific Guide page, so that the instructions remain available at the point of use.</w:t>
      </w:r>
    </w:p>
    <w:p>
      <w:pPr>
        <w:pStyle w:val="BodyofResearch"/>
        <w:keepNext/>
        <w:keepLines/>
        <w:spacing w:before="180" w:after="120"/>
        <w:jc w:val="left"/>
      </w:pPr>
      <w:r>
        <w:rPr>
          <w:b/>
        </w:rPr>
        <w:t xml:space="preserve">E.1 Patient Guide</w:t>
      </w:r>
    </w:p>
    <w:p>
      <w:pPr>
        <w:pStyle w:val="BodyofResearch"/>
        <w:numPr>
          <w:ilvl w:val="0"/>
          <w:numId w:val="2"/>
        </w:numPr>
        <w:spacing w:after="120"/>
        <w:ind w:left="1080" w:hanging="360"/>
        <w:jc w:val="both"/>
      </w:pPr>
      <w:r>
        <w:rPr>
          <w:b w:val="0"/>
        </w:rPr>
        <w:t xml:space="preserve">Obtain a Patient Access Code from the CRMC Medical Social Services office. The code is issued on a printed slip and as a scannable QR code.</w:t>
      </w:r>
    </w:p>
    <w:p>
      <w:pPr>
        <w:pStyle w:val="BodyofResearch"/>
        <w:numPr>
          <w:ilvl w:val="0"/>
          <w:numId w:val="2"/>
        </w:numPr>
        <w:spacing w:after="120"/>
        <w:ind w:left="1080" w:hanging="360"/>
        <w:jc w:val="both"/>
      </w:pPr>
      <w:r>
        <w:rPr>
          <w:b w:val="0"/>
        </w:rPr>
        <w:t xml:space="preserve">Open the MAPA website, or scan the QR code, and select Register. Complete the three-step registration: personal information, account setup, and the Patient Access Code.</w:t>
      </w:r>
    </w:p>
    <w:p>
      <w:pPr>
        <w:pStyle w:val="BodyofResearch"/>
        <w:numPr>
          <w:ilvl w:val="0"/>
          <w:numId w:val="2"/>
        </w:numPr>
        <w:spacing w:after="120"/>
        <w:ind w:left="1080" w:hanging="360"/>
        <w:jc w:val="both"/>
      </w:pPr>
      <w:r>
        <w:rPr>
          <w:b w:val="0"/>
        </w:rPr>
        <w:t xml:space="preserve">Optional: install the application to your phone's home screen from the Install App page.</w:t>
      </w:r>
    </w:p>
    <w:p>
      <w:pPr>
        <w:pStyle w:val="BodyofResearch"/>
        <w:numPr>
          <w:ilvl w:val="0"/>
          <w:numId w:val="2"/>
        </w:numPr>
        <w:spacing w:after="120"/>
        <w:ind w:left="1080" w:hanging="360"/>
        <w:jc w:val="both"/>
      </w:pPr>
      <w:r>
        <w:rPr>
          <w:b w:val="0"/>
        </w:rPr>
        <w:t xml:space="preserve">From Find Programs, review the available assistance programs and use the screening questionnaire to see which you may qualify for.</w:t>
      </w:r>
    </w:p>
    <w:p>
      <w:pPr>
        <w:pStyle w:val="BodyofResearch"/>
        <w:numPr>
          <w:ilvl w:val="0"/>
          <w:numId w:val="2"/>
        </w:numPr>
        <w:spacing w:after="120"/>
        <w:ind w:left="1080" w:hanging="360"/>
        <w:jc w:val="both"/>
      </w:pPr>
      <w:r>
        <w:rPr>
          <w:b w:val="0"/>
        </w:rPr>
        <w:t xml:space="preserve">Select Request Assistance and complete the four-step wizard: state what you need and the bill amount, upload the required documents and take a live selfie, add a representative if someone is filing for you, then review and submit.</w:t>
      </w:r>
    </w:p>
    <w:p>
      <w:pPr>
        <w:pStyle w:val="BodyofResearch"/>
        <w:numPr>
          <w:ilvl w:val="0"/>
          <w:numId w:val="2"/>
        </w:numPr>
        <w:spacing w:after="120"/>
        <w:ind w:left="1080" w:hanging="360"/>
        <w:jc w:val="both"/>
      </w:pPr>
      <w:r>
        <w:rPr>
          <w:b w:val="0"/>
        </w:rPr>
        <w:t xml:space="preserve">Complete the Household Intake Wizard from your dashboard. Your answers save automatically.</w:t>
      </w:r>
    </w:p>
    <w:p>
      <w:pPr>
        <w:pStyle w:val="BodyofResearch"/>
        <w:numPr>
          <w:ilvl w:val="0"/>
          <w:numId w:val="2"/>
        </w:numPr>
        <w:spacing w:after="120"/>
        <w:ind w:left="1080" w:hanging="360"/>
        <w:jc w:val="both"/>
      </w:pPr>
      <w:r>
        <w:rPr>
          <w:b w:val="0"/>
        </w:rPr>
        <w:t xml:space="preserve">When CRMC opens booking, go to Interviews and reserve a slot. Note your queue number for an in-person appointment, or your meeting link for an online one. You will be reminded 24 hours and 1 hour before.</w:t>
      </w:r>
    </w:p>
    <w:p>
      <w:pPr>
        <w:pStyle w:val="BodyofResearch"/>
        <w:numPr>
          <w:ilvl w:val="0"/>
          <w:numId w:val="2"/>
        </w:numPr>
        <w:spacing w:after="120"/>
        <w:ind w:left="1080" w:hanging="360"/>
        <w:jc w:val="both"/>
      </w:pPr>
      <w:r>
        <w:rPr>
          <w:b w:val="0"/>
        </w:rPr>
        <w:t xml:space="preserve">Attend the interview. Bring the original copies of the documents you uploaded.</w:t>
      </w:r>
    </w:p>
    <w:p>
      <w:pPr>
        <w:pStyle w:val="BodyofResearch"/>
        <w:numPr>
          <w:ilvl w:val="0"/>
          <w:numId w:val="2"/>
        </w:numPr>
        <w:spacing w:after="120"/>
        <w:ind w:left="1080" w:hanging="360"/>
        <w:jc w:val="both"/>
      </w:pPr>
      <w:r>
        <w:rPr>
          <w:b w:val="0"/>
        </w:rPr>
        <w:t xml:space="preserve">When CRMC endorses your request, review the coverage plan, upload anything a specific agency still requires, and press Proceed.</w:t>
      </w:r>
    </w:p>
    <w:p>
      <w:pPr>
        <w:pStyle w:val="BodyofResearch"/>
        <w:numPr>
          <w:ilvl w:val="0"/>
          <w:numId w:val="2"/>
        </w:numPr>
        <w:spacing w:after="120"/>
        <w:ind w:left="1080" w:hanging="360"/>
        <w:jc w:val="both"/>
      </w:pPr>
      <w:r>
        <w:rPr>
          <w:b w:val="0"/>
        </w:rPr>
        <w:t xml:space="preserve">Track your request and each agency's decision from My Application. Download each Guarantee Letter once it is signed and uploaded, and present it at the provider named on it within 30 days.</w:t>
      </w:r>
    </w:p>
    <w:p>
      <w:pPr>
        <w:pStyle w:val="BodyofResearch"/>
        <w:numPr>
          <w:ilvl w:val="0"/>
          <w:numId w:val="2"/>
        </w:numPr>
        <w:spacing w:after="120"/>
        <w:ind w:left="1080" w:hanging="360"/>
        <w:jc w:val="both"/>
      </w:pPr>
      <w:r>
        <w:rPr>
          <w:b w:val="0"/>
        </w:rPr>
        <w:t xml:space="preserve">Use Messages to reach CRMC or any endorsed agency with questions.</w:t>
      </w:r>
    </w:p>
    <w:p>
      <w:pPr>
        <w:pStyle w:val="BodyofResearch"/>
        <w:keepNext/>
        <w:keepLines/>
        <w:spacing w:before="180" w:after="120"/>
        <w:jc w:val="left"/>
      </w:pPr>
      <w:r>
        <w:rPr>
          <w:b/>
        </w:rPr>
        <w:t xml:space="preserve">E.2 Agency Coordinator Guide</w:t>
      </w:r>
    </w:p>
    <w:p>
      <w:pPr>
        <w:pStyle w:val="BodyofResearch"/>
        <w:numPr>
          <w:ilvl w:val="0"/>
          <w:numId w:val="2"/>
        </w:numPr>
        <w:spacing w:after="120"/>
        <w:ind w:left="1080" w:hanging="360"/>
        <w:jc w:val="both"/>
      </w:pPr>
      <w:r>
        <w:rPr>
          <w:b w:val="0"/>
        </w:rPr>
        <w:t xml:space="preserve">Log in with the credentials issued by your agency administrator and complete the two-step verification challenge.</w:t>
      </w:r>
    </w:p>
    <w:p>
      <w:pPr>
        <w:pStyle w:val="BodyofResearch"/>
        <w:numPr>
          <w:ilvl w:val="0"/>
          <w:numId w:val="2"/>
        </w:numPr>
        <w:spacing w:after="120"/>
        <w:ind w:left="1080" w:hanging="360"/>
        <w:jc w:val="both"/>
      </w:pPr>
      <w:r>
        <w:rPr>
          <w:b w:val="0"/>
        </w:rPr>
        <w:t xml:space="preserve">Review the Agency Dashboard for today's remaining slots, the period's remaining budget, and the slices awaiting action.</w:t>
      </w:r>
    </w:p>
    <w:p>
      <w:pPr>
        <w:pStyle w:val="BodyofResearch"/>
        <w:numPr>
          <w:ilvl w:val="0"/>
          <w:numId w:val="2"/>
        </w:numPr>
        <w:spacing w:after="120"/>
        <w:ind w:left="1080" w:hanging="360"/>
        <w:jc w:val="both"/>
      </w:pPr>
      <w:r>
        <w:rPr>
          <w:b w:val="0"/>
        </w:rPr>
        <w:t xml:space="preserve">Open the Funding Inbox and select a slice. Cases appear here only after the patient has confirmed the coverage plan.</w:t>
      </w:r>
    </w:p>
    <w:p>
      <w:pPr>
        <w:pStyle w:val="BodyofResearch"/>
        <w:numPr>
          <w:ilvl w:val="0"/>
          <w:numId w:val="2"/>
        </w:numPr>
        <w:spacing w:after="120"/>
        <w:ind w:left="1080" w:hanging="360"/>
        <w:jc w:val="both"/>
      </w:pPr>
      <w:r>
        <w:rPr>
          <w:b w:val="0"/>
        </w:rPr>
        <w:t xml:space="preserve">On the Overview tab, read the co-funding picture: the bill, the PhilHealth coverage applied, the residual, what sibling agencies have already committed, and what remains open.</w:t>
      </w:r>
    </w:p>
    <w:p>
      <w:pPr>
        <w:pStyle w:val="BodyofResearch"/>
        <w:numPr>
          <w:ilvl w:val="0"/>
          <w:numId w:val="2"/>
        </w:numPr>
        <w:spacing w:after="120"/>
        <w:ind w:left="1080" w:hanging="360"/>
        <w:jc w:val="both"/>
      </w:pPr>
      <w:r>
        <w:rPr>
          <w:b w:val="0"/>
        </w:rPr>
        <w:t xml:space="preserve">Review the CRMC-verified documents and the completed intake sheet on the Documents and Assessment tabs. These are read-only; CRMC has already verified them.</w:t>
      </w:r>
    </w:p>
    <w:p>
      <w:pPr>
        <w:pStyle w:val="BodyofResearch"/>
        <w:numPr>
          <w:ilvl w:val="0"/>
          <w:numId w:val="2"/>
        </w:numPr>
        <w:spacing w:after="120"/>
        <w:ind w:left="1080" w:hanging="360"/>
        <w:jc w:val="both"/>
      </w:pPr>
      <w:r>
        <w:rPr>
          <w:b w:val="0"/>
        </w:rPr>
        <w:t xml:space="preserve">To fund: select Approve, enter the amount, choose the purposes, enter the provider to be billed, and confirm. Watch the over-commitment guard as you type. To ask for more: select Request More Info. To decline: select Reject and give a reason. If another agency is better suited, raise a referral suggestion to CRMC.</w:t>
      </w:r>
    </w:p>
    <w:p>
      <w:pPr>
        <w:pStyle w:val="BodyofResearch"/>
        <w:numPr>
          <w:ilvl w:val="0"/>
          <w:numId w:val="2"/>
        </w:numPr>
        <w:spacing w:after="120"/>
        <w:ind w:left="1080" w:hanging="360"/>
        <w:jc w:val="both"/>
      </w:pPr>
      <w:r>
        <w:rPr>
          <w:b w:val="0"/>
        </w:rPr>
        <w:t xml:space="preserve">Open the GL Viewer, print the Guarantee Letter, wet-sign it, scan it, and upload the signed copy so the patient can download it.</w:t>
      </w:r>
    </w:p>
    <w:p>
      <w:pPr>
        <w:pStyle w:val="BodyofResearch"/>
        <w:numPr>
          <w:ilvl w:val="0"/>
          <w:numId w:val="2"/>
        </w:numPr>
        <w:spacing w:after="120"/>
        <w:ind w:left="1080" w:hanging="360"/>
        <w:jc w:val="both"/>
      </w:pPr>
      <w:r>
        <w:rPr>
          <w:b w:val="0"/>
        </w:rPr>
        <w:t xml:space="preserve">Mark the Guarantee Letter Redeemed once the provider has billed your agency.</w:t>
      </w:r>
    </w:p>
    <w:p>
      <w:pPr>
        <w:pStyle w:val="BodyofResearch"/>
        <w:numPr>
          <w:ilvl w:val="0"/>
          <w:numId w:val="2"/>
        </w:numPr>
        <w:spacing w:after="120"/>
        <w:ind w:left="1080" w:hanging="360"/>
        <w:jc w:val="both"/>
      </w:pPr>
      <w:r>
        <w:rPr>
          <w:b w:val="0"/>
        </w:rPr>
        <w:t xml:space="preserve">Adjust your agency's daily slot capacity from Slot Management; each change requires a reason and is audit-logged.</w:t>
      </w:r>
    </w:p>
    <w:p>
      <w:pPr>
        <w:pStyle w:val="BodyofResearch"/>
        <w:keepNext/>
        <w:keepLines/>
        <w:spacing w:before="180" w:after="120"/>
        <w:jc w:val="left"/>
      </w:pPr>
      <w:r>
        <w:rPr>
          <w:b/>
        </w:rPr>
        <w:t xml:space="preserve">E.3 Agency Administrator Guide</w:t>
      </w:r>
    </w:p>
    <w:p>
      <w:pPr>
        <w:pStyle w:val="BodyofResearch"/>
        <w:numPr>
          <w:ilvl w:val="0"/>
          <w:numId w:val="2"/>
        </w:numPr>
        <w:spacing w:after="120"/>
        <w:ind w:left="1080" w:hanging="360"/>
        <w:jc w:val="both"/>
      </w:pPr>
      <w:r>
        <w:rPr>
          <w:b w:val="0"/>
        </w:rPr>
        <w:t xml:space="preserve">All coordinator functions are available to you.</w:t>
      </w:r>
    </w:p>
    <w:p>
      <w:pPr>
        <w:pStyle w:val="BodyofResearch"/>
        <w:numPr>
          <w:ilvl w:val="0"/>
          <w:numId w:val="2"/>
        </w:numPr>
        <w:spacing w:after="120"/>
        <w:ind w:left="1080" w:hanging="360"/>
        <w:jc w:val="both"/>
      </w:pPr>
      <w:r>
        <w:rPr>
          <w:b w:val="0"/>
        </w:rPr>
        <w:t xml:space="preserve">Set your agency's budget from Allocation: choose the period type, enter the allocated amount and the fund source, and set the optional per-applicant cap.</w:t>
      </w:r>
    </w:p>
    <w:p>
      <w:pPr>
        <w:pStyle w:val="BodyofResearch"/>
        <w:numPr>
          <w:ilvl w:val="0"/>
          <w:numId w:val="2"/>
        </w:numPr>
        <w:spacing w:after="120"/>
        <w:ind w:left="1080" w:hanging="360"/>
        <w:jc w:val="both"/>
      </w:pPr>
      <w:r>
        <w:rPr>
          <w:b w:val="0"/>
        </w:rPr>
        <w:t xml:space="preserve">Start a new period when the current one closes. Committed and disbursed counters reset; the allocation record is preserved.</w:t>
      </w:r>
    </w:p>
    <w:p>
      <w:pPr>
        <w:pStyle w:val="BodyofResearch"/>
        <w:numPr>
          <w:ilvl w:val="0"/>
          <w:numId w:val="2"/>
        </w:numPr>
        <w:spacing w:after="120"/>
        <w:ind w:left="1080" w:hanging="360"/>
        <w:jc w:val="both"/>
      </w:pPr>
      <w:r>
        <w:rPr>
          <w:b w:val="0"/>
        </w:rPr>
        <w:t xml:space="preserve">Manage coordinator accounts from Team: create, edit, deactivate, reset, promote, and demote. You cannot demote yourself or the last administrator.</w:t>
      </w:r>
    </w:p>
    <w:p>
      <w:pPr>
        <w:pStyle w:val="BodyofResearch"/>
        <w:numPr>
          <w:ilvl w:val="0"/>
          <w:numId w:val="2"/>
        </w:numPr>
        <w:spacing w:after="120"/>
        <w:ind w:left="1080" w:hanging="360"/>
        <w:jc w:val="both"/>
      </w:pPr>
      <w:r>
        <w:rPr>
          <w:b w:val="0"/>
        </w:rPr>
        <w:t xml:space="preserve">Review the Agency Audit Log for all approvals, rejections, slot adjustments, budget changes, and team changes within your agency.</w:t>
      </w:r>
    </w:p>
    <w:p>
      <w:pPr>
        <w:pStyle w:val="BodyofResearch"/>
        <w:keepNext/>
        <w:keepLines/>
        <w:spacing w:before="180" w:after="120"/>
        <w:jc w:val="left"/>
      </w:pPr>
      <w:r>
        <w:rPr>
          <w:b/>
        </w:rPr>
        <w:t xml:space="preserve">E.4 CRMC Staff Administrator Guide</w:t>
      </w:r>
    </w:p>
    <w:p>
      <w:pPr>
        <w:pStyle w:val="BodyofResearch"/>
        <w:numPr>
          <w:ilvl w:val="0"/>
          <w:numId w:val="2"/>
        </w:numPr>
        <w:spacing w:after="120"/>
        <w:ind w:left="1080" w:hanging="360"/>
        <w:jc w:val="both"/>
      </w:pPr>
      <w:r>
        <w:rPr>
          <w:b w:val="0"/>
        </w:rPr>
        <w:t xml:space="preserve">Log in and complete the two-step verification challenge.</w:t>
      </w:r>
    </w:p>
    <w:p>
      <w:pPr>
        <w:pStyle w:val="BodyofResearch"/>
        <w:numPr>
          <w:ilvl w:val="0"/>
          <w:numId w:val="2"/>
        </w:numPr>
        <w:spacing w:after="120"/>
        <w:ind w:left="1080" w:hanging="360"/>
        <w:jc w:val="both"/>
      </w:pPr>
      <w:r>
        <w:rPr>
          <w:b w:val="0"/>
        </w:rPr>
        <w:t xml:space="preserve">Issue Patient Access Codes from Hospital IDs. Use bulk creation for a batch, and print the slip with its QR code for the patient.</w:t>
      </w:r>
    </w:p>
    <w:p>
      <w:pPr>
        <w:pStyle w:val="BodyofResearch"/>
        <w:numPr>
          <w:ilvl w:val="0"/>
          <w:numId w:val="2"/>
        </w:numPr>
        <w:spacing w:after="120"/>
        <w:ind w:left="1080" w:hanging="360"/>
        <w:jc w:val="both"/>
      </w:pPr>
      <w:r>
        <w:rPr>
          <w:b w:val="0"/>
        </w:rPr>
        <w:t xml:space="preserve">Publish assessment-interview slots for the coming days, setting the date, time, duration, and mode. Set the daily capacity to what your office can actually conduct.</w:t>
      </w:r>
    </w:p>
    <w:p>
      <w:pPr>
        <w:pStyle w:val="BodyofResearch"/>
        <w:numPr>
          <w:ilvl w:val="0"/>
          <w:numId w:val="2"/>
        </w:numPr>
        <w:spacing w:after="120"/>
        <w:ind w:left="1080" w:hanging="360"/>
        <w:jc w:val="both"/>
      </w:pPr>
      <w:r>
        <w:rPr>
          <w:b w:val="0"/>
        </w:rPr>
        <w:t xml:space="preserve">Open a request from the Requests workspace and work the guided stepper in order.</w:t>
      </w:r>
    </w:p>
    <w:p>
      <w:pPr>
        <w:pStyle w:val="BodyofResearch"/>
        <w:numPr>
          <w:ilvl w:val="0"/>
          <w:numId w:val="2"/>
        </w:numPr>
        <w:spacing w:after="120"/>
        <w:ind w:left="1080" w:hanging="360"/>
        <w:jc w:val="both"/>
      </w:pPr>
      <w:r>
        <w:rPr>
          <w:b w:val="0"/>
        </w:rPr>
        <w:t xml:space="preserve">Step 1 — verify each document. Check the OCR advisory against the uploaded ID and compare the live selfie. Mark each document verified or rejected with a reason.</w:t>
      </w:r>
    </w:p>
    <w:p>
      <w:pPr>
        <w:pStyle w:val="BodyofResearch"/>
        <w:numPr>
          <w:ilvl w:val="0"/>
          <w:numId w:val="2"/>
        </w:numPr>
        <w:spacing w:after="120"/>
        <w:ind w:left="1080" w:hanging="360"/>
        <w:jc w:val="both"/>
      </w:pPr>
      <w:r>
        <w:rPr>
          <w:b w:val="0"/>
        </w:rPr>
        <w:t xml:space="preserve">Step 2 — open booking on the request so the patient can reserve a slot, then conduct the interview at the scheduled time.</w:t>
      </w:r>
    </w:p>
    <w:p>
      <w:pPr>
        <w:pStyle w:val="BodyofResearch"/>
        <w:numPr>
          <w:ilvl w:val="0"/>
          <w:numId w:val="2"/>
        </w:numPr>
        <w:spacing w:after="120"/>
        <w:ind w:left="1080" w:hanging="360"/>
        <w:jc w:val="both"/>
      </w:pPr>
      <w:r>
        <w:rPr>
          <w:b w:val="0"/>
        </w:rPr>
        <w:t xml:space="preserve">Step 3 — record the PhilHealth coverage already applied to the bill, then complete the assessment portion of the Unified Intake Sheet and record the interview outcome. Print the form if a paper copy is required.</w:t>
      </w:r>
    </w:p>
    <w:p>
      <w:pPr>
        <w:pStyle w:val="BodyofResearch"/>
        <w:numPr>
          <w:ilvl w:val="0"/>
          <w:numId w:val="2"/>
        </w:numPr>
        <w:spacing w:after="120"/>
        <w:ind w:left="1080" w:hanging="360"/>
        <w:jc w:val="both"/>
      </w:pPr>
      <w:r>
        <w:rPr>
          <w:b w:val="0"/>
        </w:rPr>
        <w:t xml:space="preserve">Step 4 — endorse. Select the agencies that should fund the residual. You choose who, not how much; each agency decides its own amount. Attach a note if it will help the agency.</w:t>
      </w:r>
    </w:p>
    <w:p>
      <w:pPr>
        <w:pStyle w:val="BodyofResearch"/>
        <w:numPr>
          <w:ilvl w:val="0"/>
          <w:numId w:val="2"/>
        </w:numPr>
        <w:spacing w:after="120"/>
        <w:ind w:left="1080" w:hanging="360"/>
        <w:jc w:val="both"/>
      </w:pPr>
      <w:r>
        <w:rPr>
          <w:b w:val="0"/>
        </w:rPr>
        <w:t xml:space="preserve">If a slice is rejected or stalls, re-endorse the balance to another agency from the same screen.</w:t>
      </w:r>
    </w:p>
    <w:p>
      <w:pPr>
        <w:pStyle w:val="BodyofResearch"/>
        <w:numPr>
          <w:ilvl w:val="0"/>
          <w:numId w:val="2"/>
        </w:numPr>
        <w:spacing w:after="120"/>
        <w:ind w:left="1080" w:hanging="360"/>
        <w:jc w:val="both"/>
      </w:pPr>
      <w:r>
        <w:rPr>
          <w:b w:val="0"/>
        </w:rPr>
        <w:t xml:space="preserve">Respond to patient messages, post announcements, and review application logs and reports as needed.</w:t>
      </w:r>
    </w:p>
    <w:p>
      <w:pPr>
        <w:pStyle w:val="BodyofResearch"/>
        <w:keepNext/>
        <w:keepLines/>
        <w:spacing w:before="180" w:after="120"/>
        <w:jc w:val="left"/>
      </w:pPr>
      <w:r>
        <w:rPr>
          <w:b/>
        </w:rPr>
        <w:t xml:space="preserve">E.5 CRMC Super Administrator Guide</w:t>
      </w:r>
    </w:p>
    <w:p>
      <w:pPr>
        <w:pStyle w:val="BodyofResearch"/>
        <w:numPr>
          <w:ilvl w:val="0"/>
          <w:numId w:val="2"/>
        </w:numPr>
        <w:spacing w:after="120"/>
        <w:ind w:left="1080" w:hanging="360"/>
        <w:jc w:val="both"/>
      </w:pPr>
      <w:r>
        <w:rPr>
          <w:b w:val="0"/>
        </w:rPr>
        <w:t xml:space="preserve">All staff administrator functions are available to you.</w:t>
      </w:r>
    </w:p>
    <w:p>
      <w:pPr>
        <w:pStyle w:val="BodyofResearch"/>
        <w:numPr>
          <w:ilvl w:val="0"/>
          <w:numId w:val="2"/>
        </w:numPr>
        <w:spacing w:after="120"/>
        <w:ind w:left="1080" w:hanging="360"/>
        <w:jc w:val="both"/>
      </w:pPr>
      <w:r>
        <w:rPr>
          <w:b w:val="0"/>
        </w:rPr>
        <w:t xml:space="preserve">Manage partner agencies from Agencies: add, edit, enable, and disable. When disabling an agency with in-flight applications, choose whether to auto-reject them without cooldown or hold them pending re-enablement.</w:t>
      </w:r>
    </w:p>
    <w:p>
      <w:pPr>
        <w:pStyle w:val="BodyofResearch"/>
        <w:numPr>
          <w:ilvl w:val="0"/>
          <w:numId w:val="2"/>
        </w:numPr>
        <w:spacing w:after="120"/>
        <w:ind w:left="1080" w:hanging="360"/>
        <w:jc w:val="both"/>
      </w:pPr>
      <w:r>
        <w:rPr>
          <w:b w:val="0"/>
        </w:rPr>
        <w:t xml:space="preserve">Manage administrator accounts from Admin Accounts at staff and super levels.</w:t>
      </w:r>
    </w:p>
    <w:p>
      <w:pPr>
        <w:pStyle w:val="BodyofResearch"/>
        <w:numPr>
          <w:ilvl w:val="0"/>
          <w:numId w:val="2"/>
        </w:numPr>
        <w:spacing w:after="120"/>
        <w:ind w:left="1080" w:hanging="360"/>
        <w:jc w:val="both"/>
      </w:pPr>
      <w:r>
        <w:rPr>
          <w:b w:val="0"/>
        </w:rPr>
        <w:t xml:space="preserve">Review the platform-wide Audit Log. Entries cannot be edited or deleted by anyone, including you.</w:t>
      </w:r>
    </w:p>
    <w:p>
      <w:pPr>
        <w:pStyle w:val="BodyofResearch"/>
        <w:numPr>
          <w:ilvl w:val="0"/>
          <w:numId w:val="2"/>
        </w:numPr>
        <w:spacing w:after="120"/>
        <w:ind w:left="1080" w:hanging="360"/>
        <w:jc w:val="both"/>
      </w:pPr>
      <w:r>
        <w:rPr>
          <w:b w:val="0"/>
        </w:rPr>
        <w:t xml:space="preserve">Process a patient erasure request from Patients. The cascade removes every record and the sign-in account. This cannot be undone.</w:t>
      </w:r>
    </w:p>
    <w:p>
      <w:r>
        <w:br w:type="page"/>
      </w:r>
    </w:p>
    <w:p>
      <w:pPr>
        <w:pStyle w:val="BodyofResearch"/>
        <w:spacing w:before="3600" w:after="3600" w:line="240" w:lineRule="auto"/>
        <w:jc w:val="center"/>
      </w:pPr>
      <w:r>
        <w:rPr>
          <w:b/>
          <w:sz w:val="28"/>
          <w:szCs w:val="28"/>
        </w:rPr>
        <w:t xml:space="preserve">Appendix F. Personal Technical Vitae</w:t>
      </w:r>
    </w:p>
    <w:p>
      <w:r>
        <w:br w:type="page"/>
      </w:r>
    </w:p>
    <w:p>
      <w:pPr>
        <w:pStyle w:val="BodyofResearch"/>
        <w:spacing w:after="0" w:line="360" w:lineRule="auto"/>
        <w:jc w:val="center"/>
      </w:pPr>
      <w:r>
        <w:rPr>
          <w:b/>
        </w:rPr>
        <w:t xml:space="preserve">Curriculum Vitae of</w:t>
      </w:r>
    </w:p>
    <w:p>
      <w:pPr>
        <w:pStyle w:val="BodyofResearch"/>
        <w:spacing w:after="0" w:line="360" w:lineRule="auto"/>
        <w:jc w:val="center"/>
      </w:pPr>
      <w:r>
        <w:rPr>
          <w:b/>
        </w:rPr>
        <w:t xml:space="preserve">BAHER G. BLAH</w:t>
      </w:r>
    </w:p>
    <w:p>
      <w:pPr>
        <w:pStyle w:val="BodyofResearch"/>
        <w:spacing w:after="0" w:line="240" w:lineRule="auto"/>
      </w:pPr>
    </w:p>
    <w:p>
      <w:pPr>
        <w:pStyle w:val="BodyofResearch"/>
        <w:spacing w:after="120" w:line="240" w:lineRule="auto"/>
        <w:ind w:left="360"/>
        <w:jc w:val="left"/>
      </w:pPr>
      <w:r>
        <w:rPr>
          <w:b w:val="0"/>
          <w:i/>
          <w:sz w:val="20"/>
          <w:szCs w:val="20"/>
        </w:rPr>
        <w:t xml:space="preserve">[ Complete address ]</w:t>
      </w:r>
    </w:p>
    <w:p>
      <w:pPr>
        <w:pStyle w:val="BodyofResearch"/>
        <w:spacing w:after="120" w:line="240" w:lineRule="auto"/>
        <w:ind w:left="360"/>
        <w:jc w:val="left"/>
      </w:pPr>
      <w:r>
        <w:rPr>
          <w:b w:val="0"/>
          <w:i/>
          <w:sz w:val="20"/>
          <w:szCs w:val="20"/>
        </w:rPr>
        <w:t xml:space="preserve">[ Email address ]</w:t>
      </w:r>
    </w:p>
    <w:p>
      <w:pPr>
        <w:pStyle w:val="BodyofResearch"/>
        <w:spacing w:after="120" w:line="240" w:lineRule="auto"/>
        <w:ind w:left="360"/>
        <w:jc w:val="left"/>
      </w:pPr>
      <w:r>
        <w:rPr>
          <w:b w:val="0"/>
          <w:i/>
          <w:sz w:val="20"/>
          <w:szCs w:val="20"/>
        </w:rPr>
        <w:t xml:space="preserve">[ Contact number ]</w:t>
      </w:r>
    </w:p>
    <w:p>
      <w:pPr>
        <w:pStyle w:val="BodyofResearch"/>
        <w:spacing w:after="0" w:line="240" w:lineRule="auto"/>
      </w:pPr>
    </w:p>
    <w:p>
      <w:pPr>
        <w:pStyle w:val="BodyofResearch"/>
        <w:keepNext/>
        <w:keepLines/>
        <w:spacing w:before="180" w:after="120"/>
        <w:jc w:val="left"/>
      </w:pPr>
      <w:r>
        <w:rPr>
          <w:b/>
        </w:rPr>
        <w:t xml:space="preserve">EDUCATIONAL BACKGROUND</w:t>
      </w:r>
    </w:p>
    <w:p>
      <w:pPr>
        <w:pStyle w:val="BodyofResearch"/>
        <w:spacing w:after="120" w:line="240" w:lineRule="auto"/>
        <w:ind w:left="360"/>
        <w:jc w:val="left"/>
      </w:pPr>
      <w:r>
        <w:rPr>
          <w:b w:val="0"/>
          <w:i/>
          <w:sz w:val="20"/>
          <w:szCs w:val="20"/>
        </w:rPr>
        <w:t xml:space="preserve">[ Tertiary, secondary, and primary education with institution names and inclusive years ]</w:t>
      </w:r>
    </w:p>
    <w:p>
      <w:pPr>
        <w:pStyle w:val="BodyofResearch"/>
        <w:keepNext/>
        <w:keepLines/>
        <w:spacing w:before="180" w:after="120"/>
        <w:jc w:val="left"/>
      </w:pPr>
      <w:r>
        <w:rPr>
          <w:b/>
        </w:rPr>
        <w:t xml:space="preserve">PROFESSIONAL OR VOLUNTEER EXPERIENCE</w:t>
      </w:r>
    </w:p>
    <w:p>
      <w:pPr>
        <w:pStyle w:val="BodyofResearch"/>
        <w:spacing w:after="120" w:line="240" w:lineRule="auto"/>
        <w:ind w:left="360"/>
        <w:jc w:val="left"/>
      </w:pPr>
      <w:r>
        <w:rPr>
          <w:b w:val="0"/>
          <w:i/>
          <w:sz w:val="20"/>
          <w:szCs w:val="20"/>
        </w:rPr>
        <w:t xml:space="preserve">[ Listed in reverse chronological order, most recent first ]</w:t>
      </w:r>
    </w:p>
    <w:p>
      <w:pPr>
        <w:pStyle w:val="BodyofResearch"/>
        <w:keepNext/>
        <w:keepLines/>
        <w:spacing w:before="180" w:after="120"/>
        <w:jc w:val="left"/>
      </w:pPr>
      <w:r>
        <w:rPr>
          <w:b/>
        </w:rPr>
        <w:t xml:space="preserve">AFFILIATIONS</w:t>
      </w:r>
    </w:p>
    <w:p>
      <w:pPr>
        <w:pStyle w:val="BodyofResearch"/>
        <w:spacing w:after="120" w:line="240" w:lineRule="auto"/>
        <w:ind w:left="360"/>
        <w:jc w:val="left"/>
      </w:pPr>
      <w:r>
        <w:rPr>
          <w:b w:val="0"/>
          <w:i/>
          <w:sz w:val="20"/>
          <w:szCs w:val="20"/>
        </w:rPr>
        <w:t xml:space="preserve">[ Listed in reverse chronological order, most recent first ]</w:t>
      </w:r>
    </w:p>
    <w:p>
      <w:pPr>
        <w:pStyle w:val="BodyofResearch"/>
        <w:keepNext/>
        <w:keepLines/>
        <w:spacing w:before="180" w:after="120"/>
        <w:jc w:val="left"/>
      </w:pPr>
      <w:r>
        <w:rPr>
          <w:b/>
        </w:rPr>
        <w:t xml:space="preserve">SKILLS</w:t>
      </w:r>
    </w:p>
    <w:p>
      <w:pPr>
        <w:pStyle w:val="BodyofResearch"/>
        <w:spacing w:after="120" w:line="240" w:lineRule="auto"/>
        <w:ind w:left="360"/>
        <w:jc w:val="left"/>
      </w:pPr>
      <w:r>
        <w:rPr>
          <w:b w:val="0"/>
          <w:i/>
          <w:sz w:val="20"/>
          <w:szCs w:val="20"/>
        </w:rPr>
        <w:t xml:space="preserve">[ Technical and other relevant skills ]</w:t>
      </w:r>
    </w:p>
    <w:p>
      <w:pPr>
        <w:pStyle w:val="BodyofResearch"/>
        <w:keepNext/>
        <w:keepLines/>
        <w:spacing w:before="180" w:after="120"/>
        <w:jc w:val="left"/>
      </w:pPr>
      <w:r>
        <w:rPr>
          <w:b/>
        </w:rPr>
        <w:t xml:space="preserve">TRAININGS, SEMINARS, OR WORKSHOPS ATTENDED</w:t>
      </w:r>
    </w:p>
    <w:p>
      <w:pPr>
        <w:pStyle w:val="BodyofResearch"/>
        <w:spacing w:after="120" w:line="240" w:lineRule="auto"/>
        <w:ind w:left="360"/>
        <w:jc w:val="left"/>
      </w:pPr>
      <w:r>
        <w:rPr>
          <w:b w:val="0"/>
          <w:i/>
          <w:sz w:val="20"/>
          <w:szCs w:val="20"/>
        </w:rPr>
        <w:t xml:space="preserve">[ Listed in reverse chronological order, most recent first ]</w:t>
      </w:r>
    </w:p>
    <w:p>
      <w:r>
        <w:br w:type="page"/>
      </w:r>
    </w:p>
    <w:p>
      <w:pPr>
        <w:pStyle w:val="BodyofResearch"/>
        <w:spacing w:after="0" w:line="360" w:lineRule="auto"/>
        <w:jc w:val="center"/>
      </w:pPr>
      <w:r>
        <w:rPr>
          <w:b/>
        </w:rPr>
        <w:t xml:space="preserve">Curriculum Vitae of</w:t>
      </w:r>
    </w:p>
    <w:p>
      <w:pPr>
        <w:pStyle w:val="BodyofResearch"/>
        <w:spacing w:after="0" w:line="360" w:lineRule="auto"/>
        <w:jc w:val="center"/>
      </w:pPr>
      <w:r>
        <w:rPr>
          <w:b/>
        </w:rPr>
        <w:t xml:space="preserve">AARON JOHN O. DE ROMA</w:t>
      </w:r>
    </w:p>
    <w:p>
      <w:pPr>
        <w:pStyle w:val="BodyofResearch"/>
        <w:spacing w:after="0" w:line="240" w:lineRule="auto"/>
      </w:pPr>
    </w:p>
    <w:p>
      <w:pPr>
        <w:pStyle w:val="BodyofResearch"/>
        <w:spacing w:after="120" w:line="240" w:lineRule="auto"/>
        <w:ind w:left="360"/>
        <w:jc w:val="left"/>
      </w:pPr>
      <w:r>
        <w:rPr>
          <w:b w:val="0"/>
          <w:i/>
          <w:sz w:val="20"/>
          <w:szCs w:val="20"/>
        </w:rPr>
        <w:t xml:space="preserve">[ Complete address ]</w:t>
      </w:r>
    </w:p>
    <w:p>
      <w:pPr>
        <w:pStyle w:val="BodyofResearch"/>
        <w:spacing w:after="120" w:line="240" w:lineRule="auto"/>
        <w:ind w:left="360"/>
        <w:jc w:val="left"/>
      </w:pPr>
      <w:r>
        <w:rPr>
          <w:b w:val="0"/>
          <w:i/>
          <w:sz w:val="20"/>
          <w:szCs w:val="20"/>
        </w:rPr>
        <w:t xml:space="preserve">[ Email address ]</w:t>
      </w:r>
    </w:p>
    <w:p>
      <w:pPr>
        <w:pStyle w:val="BodyofResearch"/>
        <w:spacing w:after="120" w:line="240" w:lineRule="auto"/>
        <w:ind w:left="360"/>
        <w:jc w:val="left"/>
      </w:pPr>
      <w:r>
        <w:rPr>
          <w:b w:val="0"/>
          <w:i/>
          <w:sz w:val="20"/>
          <w:szCs w:val="20"/>
        </w:rPr>
        <w:t xml:space="preserve">[ Contact number ]</w:t>
      </w:r>
    </w:p>
    <w:p>
      <w:pPr>
        <w:pStyle w:val="BodyofResearch"/>
        <w:spacing w:after="0" w:line="240" w:lineRule="auto"/>
      </w:pPr>
    </w:p>
    <w:p>
      <w:pPr>
        <w:pStyle w:val="BodyofResearch"/>
        <w:keepNext/>
        <w:keepLines/>
        <w:spacing w:before="180" w:after="120"/>
        <w:jc w:val="left"/>
      </w:pPr>
      <w:r>
        <w:rPr>
          <w:b/>
        </w:rPr>
        <w:t xml:space="preserve">EDUCATIONAL BACKGROUND</w:t>
      </w:r>
    </w:p>
    <w:p>
      <w:pPr>
        <w:pStyle w:val="BodyofResearch"/>
        <w:spacing w:after="120" w:line="240" w:lineRule="auto"/>
        <w:ind w:left="360"/>
        <w:jc w:val="left"/>
      </w:pPr>
      <w:r>
        <w:rPr>
          <w:b w:val="0"/>
          <w:i/>
          <w:sz w:val="20"/>
          <w:szCs w:val="20"/>
        </w:rPr>
        <w:t xml:space="preserve">[ Tertiary, secondary, and primary education with institution names and inclusive years ]</w:t>
      </w:r>
    </w:p>
    <w:p>
      <w:pPr>
        <w:pStyle w:val="BodyofResearch"/>
        <w:keepNext/>
        <w:keepLines/>
        <w:spacing w:before="180" w:after="120"/>
        <w:jc w:val="left"/>
      </w:pPr>
      <w:r>
        <w:rPr>
          <w:b/>
        </w:rPr>
        <w:t xml:space="preserve">PROFESSIONAL OR VOLUNTEER EXPERIENCE</w:t>
      </w:r>
    </w:p>
    <w:p>
      <w:pPr>
        <w:pStyle w:val="BodyofResearch"/>
        <w:spacing w:after="120" w:line="240" w:lineRule="auto"/>
        <w:ind w:left="360"/>
        <w:jc w:val="left"/>
      </w:pPr>
      <w:r>
        <w:rPr>
          <w:b w:val="0"/>
          <w:i/>
          <w:sz w:val="20"/>
          <w:szCs w:val="20"/>
        </w:rPr>
        <w:t xml:space="preserve">[ Listed in reverse chronological order, most recent first ]</w:t>
      </w:r>
    </w:p>
    <w:p>
      <w:pPr>
        <w:pStyle w:val="BodyofResearch"/>
        <w:keepNext/>
        <w:keepLines/>
        <w:spacing w:before="180" w:after="120"/>
        <w:jc w:val="left"/>
      </w:pPr>
      <w:r>
        <w:rPr>
          <w:b/>
        </w:rPr>
        <w:t xml:space="preserve">AFFILIATIONS</w:t>
      </w:r>
    </w:p>
    <w:p>
      <w:pPr>
        <w:pStyle w:val="BodyofResearch"/>
        <w:spacing w:after="120" w:line="240" w:lineRule="auto"/>
        <w:ind w:left="360"/>
        <w:jc w:val="left"/>
      </w:pPr>
      <w:r>
        <w:rPr>
          <w:b w:val="0"/>
          <w:i/>
          <w:sz w:val="20"/>
          <w:szCs w:val="20"/>
        </w:rPr>
        <w:t xml:space="preserve">[ Listed in reverse chronological order, most recent first ]</w:t>
      </w:r>
    </w:p>
    <w:p>
      <w:pPr>
        <w:pStyle w:val="BodyofResearch"/>
        <w:keepNext/>
        <w:keepLines/>
        <w:spacing w:before="180" w:after="120"/>
        <w:jc w:val="left"/>
      </w:pPr>
      <w:r>
        <w:rPr>
          <w:b/>
        </w:rPr>
        <w:t xml:space="preserve">SKILLS</w:t>
      </w:r>
    </w:p>
    <w:p>
      <w:pPr>
        <w:pStyle w:val="BodyofResearch"/>
        <w:spacing w:after="120" w:line="240" w:lineRule="auto"/>
        <w:ind w:left="360"/>
        <w:jc w:val="left"/>
      </w:pPr>
      <w:r>
        <w:rPr>
          <w:b w:val="0"/>
          <w:i/>
          <w:sz w:val="20"/>
          <w:szCs w:val="20"/>
        </w:rPr>
        <w:t xml:space="preserve">[ Technical and other relevant skills ]</w:t>
      </w:r>
    </w:p>
    <w:p>
      <w:pPr>
        <w:pStyle w:val="BodyofResearch"/>
        <w:keepNext/>
        <w:keepLines/>
        <w:spacing w:before="180" w:after="120"/>
        <w:jc w:val="left"/>
      </w:pPr>
      <w:r>
        <w:rPr>
          <w:b/>
        </w:rPr>
        <w:t xml:space="preserve">TRAININGS, SEMINARS, OR WORKSHOPS ATTENDED</w:t>
      </w:r>
    </w:p>
    <w:p>
      <w:pPr>
        <w:pStyle w:val="BodyofResearch"/>
        <w:spacing w:after="120" w:line="240" w:lineRule="auto"/>
        <w:ind w:left="360"/>
        <w:jc w:val="left"/>
      </w:pPr>
      <w:r>
        <w:rPr>
          <w:b w:val="0"/>
          <w:i/>
          <w:sz w:val="20"/>
          <w:szCs w:val="20"/>
        </w:rPr>
        <w:t xml:space="preserve">[ Listed in reverse chronological order, most recent first ]</w:t>
      </w:r>
    </w:p>
    <w:p>
      <w:r>
        <w:br w:type="page"/>
      </w:r>
    </w:p>
    <w:p>
      <w:pPr>
        <w:pStyle w:val="BodyofResearch"/>
        <w:spacing w:after="0" w:line="360" w:lineRule="auto"/>
        <w:jc w:val="center"/>
      </w:pPr>
      <w:r>
        <w:rPr>
          <w:b/>
        </w:rPr>
        <w:t xml:space="preserve">Curriculum Vitae of</w:t>
      </w:r>
    </w:p>
    <w:p>
      <w:pPr>
        <w:pStyle w:val="BodyofResearch"/>
        <w:spacing w:after="0" w:line="360" w:lineRule="auto"/>
        <w:jc w:val="center"/>
      </w:pPr>
      <w:r>
        <w:rPr>
          <w:b/>
        </w:rPr>
        <w:t xml:space="preserve">SAUD B. KAHARUDIN</w:t>
      </w:r>
    </w:p>
    <w:p>
      <w:pPr>
        <w:pStyle w:val="BodyofResearch"/>
        <w:spacing w:after="0" w:line="240" w:lineRule="auto"/>
      </w:pPr>
    </w:p>
    <w:p>
      <w:pPr>
        <w:pStyle w:val="BodyofResearch"/>
        <w:spacing w:after="120" w:line="240" w:lineRule="auto"/>
        <w:ind w:left="360"/>
        <w:jc w:val="left"/>
      </w:pPr>
      <w:r>
        <w:rPr>
          <w:b w:val="0"/>
          <w:i/>
          <w:sz w:val="20"/>
          <w:szCs w:val="20"/>
        </w:rPr>
        <w:t xml:space="preserve">[ Complete address ]</w:t>
      </w:r>
    </w:p>
    <w:p>
      <w:pPr>
        <w:pStyle w:val="BodyofResearch"/>
        <w:spacing w:after="120" w:line="240" w:lineRule="auto"/>
        <w:ind w:left="360"/>
        <w:jc w:val="left"/>
      </w:pPr>
      <w:r>
        <w:rPr>
          <w:b w:val="0"/>
          <w:i/>
          <w:sz w:val="20"/>
          <w:szCs w:val="20"/>
        </w:rPr>
        <w:t xml:space="preserve">[ Email address ]</w:t>
      </w:r>
    </w:p>
    <w:p>
      <w:pPr>
        <w:pStyle w:val="BodyofResearch"/>
        <w:spacing w:after="120" w:line="240" w:lineRule="auto"/>
        <w:ind w:left="360"/>
        <w:jc w:val="left"/>
      </w:pPr>
      <w:r>
        <w:rPr>
          <w:b w:val="0"/>
          <w:i/>
          <w:sz w:val="20"/>
          <w:szCs w:val="20"/>
        </w:rPr>
        <w:t xml:space="preserve">[ Contact number ]</w:t>
      </w:r>
    </w:p>
    <w:p>
      <w:pPr>
        <w:pStyle w:val="BodyofResearch"/>
        <w:spacing w:after="0" w:line="240" w:lineRule="auto"/>
      </w:pPr>
    </w:p>
    <w:p>
      <w:pPr>
        <w:pStyle w:val="BodyofResearch"/>
        <w:keepNext/>
        <w:keepLines/>
        <w:spacing w:before="180" w:after="120"/>
        <w:jc w:val="left"/>
      </w:pPr>
      <w:r>
        <w:rPr>
          <w:b/>
        </w:rPr>
        <w:t xml:space="preserve">EDUCATIONAL BACKGROUND</w:t>
      </w:r>
    </w:p>
    <w:p>
      <w:pPr>
        <w:pStyle w:val="BodyofResearch"/>
        <w:spacing w:after="120" w:line="240" w:lineRule="auto"/>
        <w:ind w:left="360"/>
        <w:jc w:val="left"/>
      </w:pPr>
      <w:r>
        <w:rPr>
          <w:b w:val="0"/>
          <w:i/>
          <w:sz w:val="20"/>
          <w:szCs w:val="20"/>
        </w:rPr>
        <w:t xml:space="preserve">[ Tertiary, secondary, and primary education with institution names and inclusive years ]</w:t>
      </w:r>
    </w:p>
    <w:p>
      <w:pPr>
        <w:pStyle w:val="BodyofResearch"/>
        <w:keepNext/>
        <w:keepLines/>
        <w:spacing w:before="180" w:after="120"/>
        <w:jc w:val="left"/>
      </w:pPr>
      <w:r>
        <w:rPr>
          <w:b/>
        </w:rPr>
        <w:t xml:space="preserve">PROFESSIONAL OR VOLUNTEER EXPERIENCE</w:t>
      </w:r>
    </w:p>
    <w:p>
      <w:pPr>
        <w:pStyle w:val="BodyofResearch"/>
        <w:spacing w:after="120" w:line="240" w:lineRule="auto"/>
        <w:ind w:left="360"/>
        <w:jc w:val="left"/>
      </w:pPr>
      <w:r>
        <w:rPr>
          <w:b w:val="0"/>
          <w:i/>
          <w:sz w:val="20"/>
          <w:szCs w:val="20"/>
        </w:rPr>
        <w:t xml:space="preserve">[ Listed in reverse chronological order, most recent first ]</w:t>
      </w:r>
    </w:p>
    <w:p>
      <w:pPr>
        <w:pStyle w:val="BodyofResearch"/>
        <w:keepNext/>
        <w:keepLines/>
        <w:spacing w:before="180" w:after="120"/>
        <w:jc w:val="left"/>
      </w:pPr>
      <w:r>
        <w:rPr>
          <w:b/>
        </w:rPr>
        <w:t xml:space="preserve">AFFILIATIONS</w:t>
      </w:r>
    </w:p>
    <w:p>
      <w:pPr>
        <w:pStyle w:val="BodyofResearch"/>
        <w:spacing w:after="120" w:line="240" w:lineRule="auto"/>
        <w:ind w:left="360"/>
        <w:jc w:val="left"/>
      </w:pPr>
      <w:r>
        <w:rPr>
          <w:b w:val="0"/>
          <w:i/>
          <w:sz w:val="20"/>
          <w:szCs w:val="20"/>
        </w:rPr>
        <w:t xml:space="preserve">[ Listed in reverse chronological order, most recent first ]</w:t>
      </w:r>
    </w:p>
    <w:p>
      <w:pPr>
        <w:pStyle w:val="BodyofResearch"/>
        <w:keepNext/>
        <w:keepLines/>
        <w:spacing w:before="180" w:after="120"/>
        <w:jc w:val="left"/>
      </w:pPr>
      <w:r>
        <w:rPr>
          <w:b/>
        </w:rPr>
        <w:t xml:space="preserve">SKILLS</w:t>
      </w:r>
    </w:p>
    <w:p>
      <w:pPr>
        <w:pStyle w:val="BodyofResearch"/>
        <w:spacing w:after="120" w:line="240" w:lineRule="auto"/>
        <w:ind w:left="360"/>
        <w:jc w:val="left"/>
      </w:pPr>
      <w:r>
        <w:rPr>
          <w:b w:val="0"/>
          <w:i/>
          <w:sz w:val="20"/>
          <w:szCs w:val="20"/>
        </w:rPr>
        <w:t xml:space="preserve">[ Technical and other relevant skills ]</w:t>
      </w:r>
    </w:p>
    <w:p>
      <w:pPr>
        <w:pStyle w:val="BodyofResearch"/>
        <w:keepNext/>
        <w:keepLines/>
        <w:spacing w:before="180" w:after="120"/>
        <w:jc w:val="left"/>
      </w:pPr>
      <w:r>
        <w:rPr>
          <w:b/>
        </w:rPr>
        <w:t xml:space="preserve">TRAININGS, SEMINARS, OR WORKSHOPS ATTENDED</w:t>
      </w:r>
    </w:p>
    <w:p>
      <w:pPr>
        <w:pStyle w:val="BodyofResearch"/>
        <w:spacing w:after="120" w:line="240" w:lineRule="auto"/>
        <w:ind w:left="360"/>
        <w:jc w:val="left"/>
      </w:pPr>
      <w:r>
        <w:rPr>
          <w:b w:val="0"/>
          <w:i/>
          <w:sz w:val="20"/>
          <w:szCs w:val="20"/>
        </w:rPr>
        <w:t xml:space="preserve">[ Listed in reverse chronological order, most recent first ]</w:t>
      </w:r>
    </w:p>
    <w:p>
      <w:r>
        <w:br w:type="page"/>
      </w:r>
    </w:p>
    <w:p>
      <w:pPr>
        <w:pStyle w:val="BodyofResearch"/>
        <w:spacing w:after="0" w:line="360" w:lineRule="auto"/>
        <w:jc w:val="center"/>
      </w:pPr>
      <w:r>
        <w:rPr>
          <w:b/>
        </w:rPr>
        <w:t xml:space="preserve">Curriculum Vitae of</w:t>
      </w:r>
    </w:p>
    <w:p>
      <w:pPr>
        <w:pStyle w:val="BodyofResearch"/>
        <w:spacing w:after="0" w:line="360" w:lineRule="auto"/>
        <w:jc w:val="center"/>
      </w:pPr>
      <w:r>
        <w:rPr>
          <w:b/>
        </w:rPr>
        <w:t xml:space="preserve">NHORGIBRIEL K. SIBIL</w:t>
      </w:r>
    </w:p>
    <w:p>
      <w:pPr>
        <w:pStyle w:val="BodyofResearch"/>
        <w:spacing w:after="0" w:line="240" w:lineRule="auto"/>
      </w:pPr>
    </w:p>
    <w:p>
      <w:pPr>
        <w:pStyle w:val="BodyofResearch"/>
        <w:spacing w:after="120" w:line="240" w:lineRule="auto"/>
        <w:ind w:left="360"/>
        <w:jc w:val="left"/>
      </w:pPr>
      <w:r>
        <w:rPr>
          <w:b w:val="0"/>
          <w:i/>
          <w:sz w:val="20"/>
          <w:szCs w:val="20"/>
        </w:rPr>
        <w:t xml:space="preserve">[ Complete address ]</w:t>
      </w:r>
    </w:p>
    <w:p>
      <w:pPr>
        <w:pStyle w:val="BodyofResearch"/>
        <w:spacing w:after="120" w:line="240" w:lineRule="auto"/>
        <w:ind w:left="360"/>
        <w:jc w:val="left"/>
      </w:pPr>
      <w:r>
        <w:rPr>
          <w:b w:val="0"/>
          <w:i/>
          <w:sz w:val="20"/>
          <w:szCs w:val="20"/>
        </w:rPr>
        <w:t xml:space="preserve">[ Email address ]</w:t>
      </w:r>
    </w:p>
    <w:p>
      <w:pPr>
        <w:pStyle w:val="BodyofResearch"/>
        <w:spacing w:after="120" w:line="240" w:lineRule="auto"/>
        <w:ind w:left="360"/>
        <w:jc w:val="left"/>
      </w:pPr>
      <w:r>
        <w:rPr>
          <w:b w:val="0"/>
          <w:i/>
          <w:sz w:val="20"/>
          <w:szCs w:val="20"/>
        </w:rPr>
        <w:t xml:space="preserve">[ Contact number ]</w:t>
      </w:r>
    </w:p>
    <w:p>
      <w:pPr>
        <w:pStyle w:val="BodyofResearch"/>
        <w:spacing w:after="0" w:line="240" w:lineRule="auto"/>
      </w:pPr>
    </w:p>
    <w:p>
      <w:pPr>
        <w:pStyle w:val="BodyofResearch"/>
        <w:keepNext/>
        <w:keepLines/>
        <w:spacing w:before="180" w:after="120"/>
        <w:jc w:val="left"/>
      </w:pPr>
      <w:r>
        <w:rPr>
          <w:b/>
        </w:rPr>
        <w:t xml:space="preserve">EDUCATIONAL BACKGROUND</w:t>
      </w:r>
    </w:p>
    <w:p>
      <w:pPr>
        <w:pStyle w:val="BodyofResearch"/>
        <w:spacing w:after="120" w:line="240" w:lineRule="auto"/>
        <w:ind w:left="360"/>
        <w:jc w:val="left"/>
      </w:pPr>
      <w:r>
        <w:rPr>
          <w:b w:val="0"/>
          <w:i/>
          <w:sz w:val="20"/>
          <w:szCs w:val="20"/>
        </w:rPr>
        <w:t xml:space="preserve">[ Tertiary, secondary, and primary education with institution names and inclusive years ]</w:t>
      </w:r>
    </w:p>
    <w:p>
      <w:pPr>
        <w:pStyle w:val="BodyofResearch"/>
        <w:keepNext/>
        <w:keepLines/>
        <w:spacing w:before="180" w:after="120"/>
        <w:jc w:val="left"/>
      </w:pPr>
      <w:r>
        <w:rPr>
          <w:b/>
        </w:rPr>
        <w:t xml:space="preserve">PROFESSIONAL OR VOLUNTEER EXPERIENCE</w:t>
      </w:r>
    </w:p>
    <w:p>
      <w:pPr>
        <w:pStyle w:val="BodyofResearch"/>
        <w:spacing w:after="120" w:line="240" w:lineRule="auto"/>
        <w:ind w:left="360"/>
        <w:jc w:val="left"/>
      </w:pPr>
      <w:r>
        <w:rPr>
          <w:b w:val="0"/>
          <w:i/>
          <w:sz w:val="20"/>
          <w:szCs w:val="20"/>
        </w:rPr>
        <w:t xml:space="preserve">[ Listed in reverse chronological order, most recent first ]</w:t>
      </w:r>
    </w:p>
    <w:p>
      <w:pPr>
        <w:pStyle w:val="BodyofResearch"/>
        <w:keepNext/>
        <w:keepLines/>
        <w:spacing w:before="180" w:after="120"/>
        <w:jc w:val="left"/>
      </w:pPr>
      <w:r>
        <w:rPr>
          <w:b/>
        </w:rPr>
        <w:t xml:space="preserve">AFFILIATIONS</w:t>
      </w:r>
    </w:p>
    <w:p>
      <w:pPr>
        <w:pStyle w:val="BodyofResearch"/>
        <w:spacing w:after="120" w:line="240" w:lineRule="auto"/>
        <w:ind w:left="360"/>
        <w:jc w:val="left"/>
      </w:pPr>
      <w:r>
        <w:rPr>
          <w:b w:val="0"/>
          <w:i/>
          <w:sz w:val="20"/>
          <w:szCs w:val="20"/>
        </w:rPr>
        <w:t xml:space="preserve">[ Listed in reverse chronological order, most recent first ]</w:t>
      </w:r>
    </w:p>
    <w:p>
      <w:pPr>
        <w:pStyle w:val="BodyofResearch"/>
        <w:keepNext/>
        <w:keepLines/>
        <w:spacing w:before="180" w:after="120"/>
        <w:jc w:val="left"/>
      </w:pPr>
      <w:r>
        <w:rPr>
          <w:b/>
        </w:rPr>
        <w:t xml:space="preserve">SKILLS</w:t>
      </w:r>
    </w:p>
    <w:p>
      <w:pPr>
        <w:pStyle w:val="BodyofResearch"/>
        <w:spacing w:after="120" w:line="240" w:lineRule="auto"/>
        <w:ind w:left="360"/>
        <w:jc w:val="left"/>
      </w:pPr>
      <w:r>
        <w:rPr>
          <w:b w:val="0"/>
          <w:i/>
          <w:sz w:val="20"/>
          <w:szCs w:val="20"/>
        </w:rPr>
        <w:t xml:space="preserve">[ Technical and other relevant skills ]</w:t>
      </w:r>
    </w:p>
    <w:p>
      <w:pPr>
        <w:pStyle w:val="BodyofResearch"/>
        <w:keepNext/>
        <w:keepLines/>
        <w:spacing w:before="180" w:after="120"/>
        <w:jc w:val="left"/>
      </w:pPr>
      <w:r>
        <w:rPr>
          <w:b/>
        </w:rPr>
        <w:t xml:space="preserve">TRAININGS, SEMINARS, OR WORKSHOPS ATTENDED</w:t>
      </w:r>
    </w:p>
    <w:p>
      <w:pPr>
        <w:pStyle w:val="BodyofResearch"/>
        <w:spacing w:after="120" w:line="240" w:lineRule="auto"/>
        <w:ind w:left="360"/>
        <w:jc w:val="left"/>
      </w:pPr>
      <w:r>
        <w:rPr>
          <w:b w:val="0"/>
          <w:i/>
          <w:sz w:val="20"/>
          <w:szCs w:val="20"/>
        </w:rPr>
        <w:t xml:space="preserve">[ Listed in reverse chronological order, most recent first ]</w:t>
      </w:r>
    </w:p>
    <w:sectPr>
      <w:footerReference w:type="default" r:id="rId13"/>
      <w:pgSz w:w="12240" w:h="15840" w:code="1"/>
      <w:pgMar w:top="1440" w:right="1440" w:bottom="1440" w:left="2160" w:header="720" w:footer="576" w:gutter="0"/>
      <w:pgNumType w:fmt="decimal"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DF7FE" w14:textId="77777777" w:rsidR="00A421E0" w:rsidRDefault="00A421E0" w:rsidP="0023168E">
      <w:r>
        <w:separator/>
      </w:r>
    </w:p>
  </w:endnote>
  <w:endnote w:type="continuationSeparator" w:id="0">
    <w:p w14:paraId="07DF723D" w14:textId="77777777" w:rsidR="00A421E0" w:rsidRDefault="00A421E0" w:rsidP="00231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91"/>
      <w:gridCol w:w="1439"/>
      <w:gridCol w:w="1439"/>
    </w:tblGrid>
    <w:tr w:rsidR="00EE57AA" w14:paraId="2F4707B4" w14:textId="77777777" w:rsidTr="00EE57AA">
      <w:tc>
        <w:tcPr>
          <w:tcW w:w="7191" w:type="dxa"/>
          <w:vAlign w:val="center"/>
        </w:tcPr>
        <w:p w14:paraId="153F5655" w14:textId="77777777" w:rsidR="00EE57AA" w:rsidRDefault="00EE57AA" w:rsidP="003E0F44">
          <w:pPr>
            <w:pStyle w:val="Footer"/>
            <w:tabs>
              <w:tab w:val="clear" w:pos="4680"/>
              <w:tab w:val="clear" w:pos="9360"/>
            </w:tabs>
            <w:jc w:val="left"/>
            <w:rPr>
              <w:b w:val="0"/>
              <w:i/>
              <w:sz w:val="18"/>
            </w:rPr>
          </w:pPr>
          <w:r>
            <w:rPr>
              <w:b w:val="0"/>
              <w:i/>
              <w:sz w:val="18"/>
            </w:rPr>
            <w:t>STI College Cotabato</w:t>
          </w:r>
        </w:p>
      </w:tc>
      <w:tc>
        <w:tcPr>
          <w:tcW w:w="1439" w:type="dxa"/>
        </w:tcPr>
        <w:p w14:paraId="39DFB4F3" w14:textId="77777777" w:rsidR="00EE57AA" w:rsidRDefault="00EE57AA" w:rsidP="003E0F44">
          <w:pPr>
            <w:pStyle w:val="Footer"/>
            <w:tabs>
              <w:tab w:val="clear" w:pos="4680"/>
              <w:tab w:val="clear" w:pos="9360"/>
            </w:tabs>
            <w:jc w:val="right"/>
            <w:rPr>
              <w:b w:val="0"/>
              <w:i/>
              <w:sz w:val="18"/>
            </w:rPr>
          </w:pPr>
        </w:p>
      </w:tc>
      <w:tc>
        <w:tcPr>
          <w:tcW w:w="1439" w:type="dxa"/>
          <w:vAlign w:val="center"/>
        </w:tcPr>
        <w:p w14:paraId="562D9F59" w14:textId="77777777" w:rsidR="00EE57AA" w:rsidRDefault="00EE57AA" w:rsidP="003E0F44">
          <w:pPr>
            <w:pStyle w:val="Footer"/>
            <w:tabs>
              <w:tab w:val="clear" w:pos="4680"/>
              <w:tab w:val="clear" w:pos="9360"/>
            </w:tabs>
            <w:jc w:val="right"/>
            <w:rPr>
              <w:b w:val="0"/>
              <w:i/>
              <w:sz w:val="18"/>
            </w:rPr>
          </w:pPr>
        </w:p>
      </w:tc>
    </w:tr>
    <w:tr w:rsidR="00EE57AA" w14:paraId="78BE0CB9" w14:textId="77777777" w:rsidTr="00EE57AA">
      <w:tc>
        <w:tcPr>
          <w:tcW w:w="7191" w:type="dxa"/>
          <w:vAlign w:val="center"/>
        </w:tcPr>
        <w:p w14:paraId="52FF4D38" w14:textId="77777777" w:rsidR="00EE57AA" w:rsidRDefault="00EE57AA" w:rsidP="003E0F44">
          <w:pPr>
            <w:pStyle w:val="Footer"/>
            <w:tabs>
              <w:tab w:val="clear" w:pos="4680"/>
              <w:tab w:val="clear" w:pos="9360"/>
            </w:tabs>
            <w:jc w:val="left"/>
            <w:rPr>
              <w:b w:val="0"/>
              <w:i/>
              <w:sz w:val="18"/>
            </w:rPr>
          </w:pPr>
        </w:p>
      </w:tc>
      <w:tc>
        <w:tcPr>
          <w:tcW w:w="1439" w:type="dxa"/>
        </w:tcPr>
        <w:p w14:paraId="27424C77" w14:textId="77777777" w:rsidR="00EE57AA" w:rsidRDefault="00EE57AA" w:rsidP="003E0F44">
          <w:pPr>
            <w:pStyle w:val="Footer"/>
            <w:tabs>
              <w:tab w:val="clear" w:pos="4680"/>
              <w:tab w:val="clear" w:pos="9360"/>
            </w:tabs>
            <w:jc w:val="right"/>
            <w:rPr>
              <w:b w:val="0"/>
              <w:i/>
              <w:sz w:val="18"/>
            </w:rPr>
          </w:pPr>
        </w:p>
      </w:tc>
      <w:tc>
        <w:tcPr>
          <w:tcW w:w="1439" w:type="dxa"/>
          <w:vAlign w:val="center"/>
        </w:tcPr>
        <w:p w14:paraId="357C3305" w14:textId="77777777" w:rsidR="00EE57AA" w:rsidRDefault="00EE57AA" w:rsidP="003E0F44">
          <w:pPr>
            <w:pStyle w:val="Footer"/>
            <w:tabs>
              <w:tab w:val="clear" w:pos="4680"/>
              <w:tab w:val="clear" w:pos="9360"/>
            </w:tabs>
            <w:jc w:val="right"/>
            <w:rPr>
              <w:b w:val="0"/>
              <w:i/>
              <w:sz w:val="18"/>
            </w:rPr>
          </w:pPr>
        </w:p>
      </w:tc>
    </w:tr>
  </w:tbl>
  <w:p w14:paraId="2DFB011B" w14:textId="77777777" w:rsidR="003E0F44" w:rsidRPr="001F5EA3" w:rsidRDefault="003E0F44" w:rsidP="003E0F44">
    <w:pPr>
      <w:pStyle w:val="Footer"/>
      <w:tabs>
        <w:tab w:val="clear" w:pos="4680"/>
        <w:tab w:val="clear" w:pos="9360"/>
      </w:tabs>
      <w:jc w:val="left"/>
      <w:rPr>
        <w:b w:val="0"/>
        <w:sz w:val="18"/>
      </w:rPr>
    </w:pPr>
  </w:p>
  <w:p w14:paraId="116631DE" w14:textId="77777777" w:rsidR="003E0F44" w:rsidRDefault="003E0F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C7B3" w14:textId="77777777" w:rsidR="0000332C" w:rsidRPr="001F5EA3" w:rsidRDefault="0000332C" w:rsidP="00CA247D">
    <w:pPr>
      <w:pStyle w:val="Footer"/>
      <w:tabs>
        <w:tab w:val="clear" w:pos="4680"/>
        <w:tab w:val="clear" w:pos="9360"/>
      </w:tabs>
      <w:rPr>
        <w:b w:val="0"/>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00"/>
      <w:gridCol w:w="1740"/>
    </w:tblGrid>
    <w:tr w:rsidR="0000332C" w14:paraId="6F974046" w14:textId="77777777" w:rsidTr="00CA247D">
      <w:tc>
        <w:tcPr>
          <w:tcW w:w="6900" w:type="dxa"/>
          <w:vAlign w:val="center"/>
        </w:tcPr>
        <w:p w14:paraId="53EE853D" w14:textId="77777777" w:rsidR="0000332C" w:rsidRDefault="0000332C" w:rsidP="00CA247D">
          <w:pPr>
            <w:pStyle w:val="Footer"/>
            <w:tabs>
              <w:tab w:val="clear" w:pos="4680"/>
              <w:tab w:val="clear" w:pos="9360"/>
            </w:tabs>
            <w:jc w:val="left"/>
            <w:rPr>
              <w:b w:val="0"/>
              <w:sz w:val="18"/>
            </w:rPr>
          </w:pPr>
          <w:r>
            <w:rPr>
              <w:b w:val="0"/>
              <w:i/>
              <w:sz w:val="18"/>
            </w:rPr>
            <w:t>STI College Cotabato</w:t>
          </w:r>
        </w:p>
      </w:tc>
      <w:tc>
        <w:tcPr>
          <w:tcW w:w="1740" w:type="dxa"/>
          <w:vAlign w:val="center"/>
        </w:tcPr>
        <w:p w14:paraId="007A518D" w14:textId="77777777" w:rsidR="0000332C" w:rsidRDefault="0000332C" w:rsidP="00CA247D">
          <w:pPr>
            <w:pStyle w:val="Footer"/>
            <w:tabs>
              <w:tab w:val="clear" w:pos="4680"/>
              <w:tab w:val="clear" w:pos="9360"/>
            </w:tabs>
            <w:jc w:val="right"/>
            <w:rPr>
              <w:b w:val="0"/>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Pr>
              <w:b w:val="0"/>
              <w:noProof/>
              <w:sz w:val="20"/>
            </w:rPr>
            <w:t>8</w:t>
          </w:r>
          <w:r w:rsidRPr="00390D06">
            <w:rPr>
              <w:b w:val="0"/>
              <w:noProof/>
              <w:sz w:val="20"/>
            </w:rPr>
            <w:fldChar w:fldCharType="end"/>
          </w:r>
        </w:p>
      </w:tc>
    </w:tr>
  </w:tbl>
  <w:p w14:paraId="1889A429" w14:textId="77777777" w:rsidR="0000332C" w:rsidRPr="001F5EA3" w:rsidRDefault="0000332C" w:rsidP="001F5EA3">
    <w:pPr>
      <w:pStyle w:val="Footer"/>
      <w:tabs>
        <w:tab w:val="clear" w:pos="4680"/>
        <w:tab w:val="clear" w:pos="9360"/>
      </w:tabs>
      <w:jc w:val="left"/>
      <w:rPr>
        <w:b w:val="0"/>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10C95" w14:textId="77777777" w:rsidR="00A421E0" w:rsidRDefault="00A421E0" w:rsidP="0023168E">
      <w:r>
        <w:separator/>
      </w:r>
    </w:p>
  </w:footnote>
  <w:footnote w:type="continuationSeparator" w:id="0">
    <w:p w14:paraId="5EEB3A0A" w14:textId="77777777" w:rsidR="00A421E0" w:rsidRDefault="00A421E0" w:rsidP="002316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C65C8"/>
    <w:multiLevelType w:val="multilevel"/>
    <w:tmpl w:val="A1F4BAEC"/>
    <w:lvl w:ilvl="0">
      <w:start w:val="1"/>
      <w:numFmt w:val="decimal"/>
      <w:pStyle w:val="Proposal1"/>
      <w:lvlText w:val="%1"/>
      <w:lvlJc w:val="left"/>
      <w:pPr>
        <w:tabs>
          <w:tab w:val="num" w:pos="720"/>
        </w:tabs>
        <w:ind w:left="720" w:hanging="720"/>
      </w:pPr>
    </w:lvl>
    <w:lvl w:ilvl="1">
      <w:start w:val="1"/>
      <w:numFmt w:val="decimal"/>
      <w:pStyle w:val="Proposal2"/>
      <w:lvlText w:val="%1.%2"/>
      <w:lvlJc w:val="left"/>
      <w:pPr>
        <w:tabs>
          <w:tab w:val="num" w:pos="1440"/>
        </w:tabs>
        <w:ind w:left="1440" w:hanging="720"/>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252075E1"/>
    <w:multiLevelType w:val="hybridMultilevel"/>
    <w:tmpl w:val="08BEACB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CDA51F4"/>
    <w:multiLevelType w:val="hybridMultilevel"/>
    <w:tmpl w:val="9786793E"/>
    <w:lvl w:ilvl="0" w:tplc="3409000F">
      <w:start w:val="1"/>
      <w:numFmt w:val="decimal"/>
      <w:lvlText w:val="%1."/>
      <w:lvlJc w:val="left"/>
      <w:pPr>
        <w:ind w:left="787" w:hanging="360"/>
      </w:p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3" w15:restartNumberingAfterBreak="0">
    <w:nsid w:val="36C979FB"/>
    <w:multiLevelType w:val="hybridMultilevel"/>
    <w:tmpl w:val="CC3A67EE"/>
    <w:lvl w:ilvl="0" w:tplc="3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7AA2BD4"/>
    <w:multiLevelType w:val="hybridMultilevel"/>
    <w:tmpl w:val="4A4A4E50"/>
    <w:lvl w:ilvl="0" w:tplc="04090001">
      <w:start w:val="1"/>
      <w:numFmt w:val="bullet"/>
      <w:lvlText w:val=""/>
      <w:lvlJc w:val="left"/>
      <w:pPr>
        <w:ind w:left="787" w:hanging="360"/>
      </w:pPr>
      <w:rPr>
        <w:rFonts w:ascii="Symbol" w:hAnsi="Symbol" w:hint="default"/>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5" w15:restartNumberingAfterBreak="0">
    <w:nsid w:val="746F1DAC"/>
    <w:multiLevelType w:val="hybridMultilevel"/>
    <w:tmpl w:val="1A463F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05318649">
    <w:abstractNumId w:val="0"/>
  </w:num>
  <w:num w:numId="2" w16cid:durableId="252399824">
    <w:abstractNumId w:val="2"/>
  </w:num>
  <w:num w:numId="3" w16cid:durableId="16583396">
    <w:abstractNumId w:val="1"/>
  </w:num>
  <w:num w:numId="4" w16cid:durableId="1272737892">
    <w:abstractNumId w:val="4"/>
  </w:num>
  <w:num w:numId="5" w16cid:durableId="1218977273">
    <w:abstractNumId w:val="3"/>
  </w:num>
  <w:num w:numId="6" w16cid:durableId="13339451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A0NzUzMjA0MTc0MTFV0lEKTi0uzszPAykwNK0FAElqfdwtAAAA"/>
  </w:docVars>
  <w:rsids>
    <w:rsidRoot w:val="00CF2A37"/>
    <w:rsid w:val="0000156E"/>
    <w:rsid w:val="0000332C"/>
    <w:rsid w:val="000058CF"/>
    <w:rsid w:val="00016E1F"/>
    <w:rsid w:val="000418AB"/>
    <w:rsid w:val="00056723"/>
    <w:rsid w:val="00064F4B"/>
    <w:rsid w:val="00072279"/>
    <w:rsid w:val="000872F8"/>
    <w:rsid w:val="000A1CBB"/>
    <w:rsid w:val="000A4F6C"/>
    <w:rsid w:val="000B5C6D"/>
    <w:rsid w:val="000D04AD"/>
    <w:rsid w:val="000E3455"/>
    <w:rsid w:val="000F0096"/>
    <w:rsid w:val="00130EF9"/>
    <w:rsid w:val="001405FC"/>
    <w:rsid w:val="00140E36"/>
    <w:rsid w:val="00181A54"/>
    <w:rsid w:val="00183B88"/>
    <w:rsid w:val="00184D66"/>
    <w:rsid w:val="001964E1"/>
    <w:rsid w:val="001A1CE0"/>
    <w:rsid w:val="001A543C"/>
    <w:rsid w:val="001A774A"/>
    <w:rsid w:val="001F385A"/>
    <w:rsid w:val="001F4388"/>
    <w:rsid w:val="001F5EA3"/>
    <w:rsid w:val="002017EA"/>
    <w:rsid w:val="0023168E"/>
    <w:rsid w:val="0024638A"/>
    <w:rsid w:val="002903A2"/>
    <w:rsid w:val="00294F5B"/>
    <w:rsid w:val="002B483E"/>
    <w:rsid w:val="002B7F8A"/>
    <w:rsid w:val="002C7874"/>
    <w:rsid w:val="002F202A"/>
    <w:rsid w:val="00330AB4"/>
    <w:rsid w:val="00334F23"/>
    <w:rsid w:val="00340D83"/>
    <w:rsid w:val="00345573"/>
    <w:rsid w:val="00357864"/>
    <w:rsid w:val="00385133"/>
    <w:rsid w:val="00390D06"/>
    <w:rsid w:val="003E034C"/>
    <w:rsid w:val="003E0F44"/>
    <w:rsid w:val="003F3F3F"/>
    <w:rsid w:val="0040482B"/>
    <w:rsid w:val="0040588B"/>
    <w:rsid w:val="00407C75"/>
    <w:rsid w:val="00412F34"/>
    <w:rsid w:val="0042027A"/>
    <w:rsid w:val="0042743E"/>
    <w:rsid w:val="0043087C"/>
    <w:rsid w:val="0043710C"/>
    <w:rsid w:val="0044017F"/>
    <w:rsid w:val="00485B59"/>
    <w:rsid w:val="00495FE1"/>
    <w:rsid w:val="0049725C"/>
    <w:rsid w:val="004A7BC0"/>
    <w:rsid w:val="004D3CFF"/>
    <w:rsid w:val="004D4567"/>
    <w:rsid w:val="004D5940"/>
    <w:rsid w:val="00504F7C"/>
    <w:rsid w:val="0051051C"/>
    <w:rsid w:val="0053388F"/>
    <w:rsid w:val="005443EA"/>
    <w:rsid w:val="00574A8F"/>
    <w:rsid w:val="00575BCF"/>
    <w:rsid w:val="0059202C"/>
    <w:rsid w:val="00596FBA"/>
    <w:rsid w:val="005A0932"/>
    <w:rsid w:val="005A3E2B"/>
    <w:rsid w:val="005B2930"/>
    <w:rsid w:val="005D323C"/>
    <w:rsid w:val="005F5CB1"/>
    <w:rsid w:val="006023F6"/>
    <w:rsid w:val="00621A18"/>
    <w:rsid w:val="00626457"/>
    <w:rsid w:val="0063433B"/>
    <w:rsid w:val="00682726"/>
    <w:rsid w:val="006B0074"/>
    <w:rsid w:val="006F2FFB"/>
    <w:rsid w:val="006F4EDE"/>
    <w:rsid w:val="0071082F"/>
    <w:rsid w:val="007351D0"/>
    <w:rsid w:val="00762A80"/>
    <w:rsid w:val="00763810"/>
    <w:rsid w:val="007843D7"/>
    <w:rsid w:val="00792890"/>
    <w:rsid w:val="007A481D"/>
    <w:rsid w:val="007E102F"/>
    <w:rsid w:val="007E4144"/>
    <w:rsid w:val="007F0D5E"/>
    <w:rsid w:val="007F7C56"/>
    <w:rsid w:val="008436EB"/>
    <w:rsid w:val="00853D3E"/>
    <w:rsid w:val="008632BA"/>
    <w:rsid w:val="00882EB6"/>
    <w:rsid w:val="00894C4C"/>
    <w:rsid w:val="008A76F1"/>
    <w:rsid w:val="008B0773"/>
    <w:rsid w:val="008B1514"/>
    <w:rsid w:val="008E1516"/>
    <w:rsid w:val="009029F6"/>
    <w:rsid w:val="00916614"/>
    <w:rsid w:val="00955DFA"/>
    <w:rsid w:val="009777A6"/>
    <w:rsid w:val="009E3CF0"/>
    <w:rsid w:val="009E5A9D"/>
    <w:rsid w:val="009F1EB1"/>
    <w:rsid w:val="00A01D04"/>
    <w:rsid w:val="00A0613B"/>
    <w:rsid w:val="00A14637"/>
    <w:rsid w:val="00A421E0"/>
    <w:rsid w:val="00A46546"/>
    <w:rsid w:val="00A65ECF"/>
    <w:rsid w:val="00A93C28"/>
    <w:rsid w:val="00A94AF5"/>
    <w:rsid w:val="00AA03A9"/>
    <w:rsid w:val="00AA6AB7"/>
    <w:rsid w:val="00AC2239"/>
    <w:rsid w:val="00AF0FDF"/>
    <w:rsid w:val="00AF455E"/>
    <w:rsid w:val="00B035E3"/>
    <w:rsid w:val="00B07A1A"/>
    <w:rsid w:val="00B26683"/>
    <w:rsid w:val="00B32AD1"/>
    <w:rsid w:val="00B54E33"/>
    <w:rsid w:val="00B6365B"/>
    <w:rsid w:val="00BA40ED"/>
    <w:rsid w:val="00BB0B70"/>
    <w:rsid w:val="00BC2E99"/>
    <w:rsid w:val="00BC6577"/>
    <w:rsid w:val="00BE6F4F"/>
    <w:rsid w:val="00C4275F"/>
    <w:rsid w:val="00C42ED0"/>
    <w:rsid w:val="00C473B7"/>
    <w:rsid w:val="00C81C22"/>
    <w:rsid w:val="00C87499"/>
    <w:rsid w:val="00CA247D"/>
    <w:rsid w:val="00CA4F59"/>
    <w:rsid w:val="00CD5198"/>
    <w:rsid w:val="00CE20D1"/>
    <w:rsid w:val="00CF2A37"/>
    <w:rsid w:val="00D11178"/>
    <w:rsid w:val="00D27383"/>
    <w:rsid w:val="00D31D7B"/>
    <w:rsid w:val="00D35F12"/>
    <w:rsid w:val="00D94B05"/>
    <w:rsid w:val="00DA5971"/>
    <w:rsid w:val="00E04577"/>
    <w:rsid w:val="00E06BC0"/>
    <w:rsid w:val="00E13D5E"/>
    <w:rsid w:val="00E15068"/>
    <w:rsid w:val="00E257EA"/>
    <w:rsid w:val="00E53F6F"/>
    <w:rsid w:val="00E566BF"/>
    <w:rsid w:val="00E83500"/>
    <w:rsid w:val="00EA6FD4"/>
    <w:rsid w:val="00EB0AB2"/>
    <w:rsid w:val="00EC2A7E"/>
    <w:rsid w:val="00EE57AA"/>
    <w:rsid w:val="00EF3471"/>
    <w:rsid w:val="00F12EB7"/>
    <w:rsid w:val="00F24220"/>
    <w:rsid w:val="00F24CF8"/>
    <w:rsid w:val="00F479B9"/>
    <w:rsid w:val="00F6383A"/>
    <w:rsid w:val="00F82F22"/>
    <w:rsid w:val="00F91F57"/>
    <w:rsid w:val="00F9464D"/>
    <w:rsid w:val="00FA69C0"/>
    <w:rsid w:val="00FA6DB0"/>
    <w:rsid w:val="00FC219E"/>
    <w:rsid w:val="00FD2CE7"/>
    <w:rsid w:val="00FD47ED"/>
    <w:rsid w:val="00FF02B4"/>
    <w:rsid w:val="00FF1FD9"/>
    <w:rsid w:val="00FF3511"/>
    <w:rsid w:val="00FF770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AD3FF"/>
  <w15:chartTrackingRefBased/>
  <w15:docId w15:val="{311D6BA1-B637-45B6-B35E-F1D1DADD8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68E"/>
    <w:pPr>
      <w:spacing w:after="0" w:line="240" w:lineRule="auto"/>
      <w:jc w:val="center"/>
    </w:pPr>
    <w:rPr>
      <w:rFonts w:ascii="Times New Roman" w:hAnsi="Times New Roman"/>
      <w:b/>
      <w:sz w:val="24"/>
    </w:rPr>
  </w:style>
  <w:style w:type="paragraph" w:styleId="Heading1">
    <w:name w:val="heading 1"/>
    <w:basedOn w:val="Normal"/>
    <w:next w:val="Normal"/>
    <w:link w:val="Heading1Char"/>
    <w:autoRedefine/>
    <w:uiPriority w:val="9"/>
    <w:qFormat/>
    <w:rsid w:val="00EB0AB2"/>
    <w:pPr>
      <w:spacing w:before="120" w:after="480" w:line="360" w:lineRule="auto"/>
      <w:outlineLvl w:val="0"/>
    </w:pPr>
    <w:rPr>
      <w:rFonts w:eastAsia="Times New Roman" w:cs="Times New Roman"/>
      <w:bCs/>
      <w:caps/>
      <w:kern w:val="36"/>
      <w:szCs w:val="48"/>
      <w:lang w:eastAsia="en-PH"/>
    </w:rPr>
  </w:style>
  <w:style w:type="paragraph" w:styleId="Heading2">
    <w:name w:val="heading 2"/>
    <w:basedOn w:val="Normal"/>
    <w:next w:val="Normal"/>
    <w:link w:val="Heading2Char"/>
    <w:autoRedefine/>
    <w:uiPriority w:val="9"/>
    <w:unhideWhenUsed/>
    <w:qFormat/>
    <w:rsid w:val="00916614"/>
    <w:pPr>
      <w:keepNext/>
      <w:keepLines/>
      <w:spacing w:after="360" w:line="360" w:lineRule="auto"/>
      <w:jc w:val="both"/>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016E1F"/>
    <w:pPr>
      <w:keepNext/>
      <w:keepLines/>
      <w:spacing w:before="240" w:after="240" w:line="360" w:lineRule="auto"/>
      <w:jc w:val="both"/>
      <w:outlineLvl w:val="2"/>
    </w:pPr>
    <w:rPr>
      <w:rFonts w:eastAsiaTheme="majorEastAsia" w:cstheme="majorBidi"/>
      <w:b w:val="0"/>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168E"/>
    <w:pPr>
      <w:tabs>
        <w:tab w:val="center" w:pos="4680"/>
        <w:tab w:val="right" w:pos="9360"/>
      </w:tabs>
    </w:pPr>
  </w:style>
  <w:style w:type="character" w:customStyle="1" w:styleId="HeaderChar">
    <w:name w:val="Header Char"/>
    <w:basedOn w:val="DefaultParagraphFont"/>
    <w:link w:val="Header"/>
    <w:uiPriority w:val="99"/>
    <w:rsid w:val="0023168E"/>
  </w:style>
  <w:style w:type="paragraph" w:styleId="Footer">
    <w:name w:val="footer"/>
    <w:basedOn w:val="Normal"/>
    <w:link w:val="FooterChar"/>
    <w:uiPriority w:val="99"/>
    <w:unhideWhenUsed/>
    <w:rsid w:val="0023168E"/>
    <w:pPr>
      <w:tabs>
        <w:tab w:val="center" w:pos="4680"/>
        <w:tab w:val="right" w:pos="9360"/>
      </w:tabs>
    </w:pPr>
  </w:style>
  <w:style w:type="character" w:customStyle="1" w:styleId="FooterChar">
    <w:name w:val="Footer Char"/>
    <w:basedOn w:val="DefaultParagraphFont"/>
    <w:link w:val="Footer"/>
    <w:uiPriority w:val="99"/>
    <w:rsid w:val="0023168E"/>
  </w:style>
  <w:style w:type="paragraph" w:styleId="Title">
    <w:name w:val="Title"/>
    <w:aliases w:val="Title Page"/>
    <w:basedOn w:val="Normal"/>
    <w:next w:val="Normal"/>
    <w:link w:val="TitleChar"/>
    <w:autoRedefine/>
    <w:uiPriority w:val="10"/>
    <w:qFormat/>
    <w:rsid w:val="00574A8F"/>
    <w:pPr>
      <w:spacing w:after="1560" w:line="1200" w:lineRule="auto"/>
      <w:contextualSpacing/>
    </w:pPr>
    <w:rPr>
      <w:rFonts w:eastAsiaTheme="majorEastAsia" w:cstheme="majorBidi"/>
      <w:noProof/>
      <w:spacing w:val="-10"/>
      <w:kern w:val="28"/>
      <w:sz w:val="28"/>
      <w:szCs w:val="56"/>
    </w:rPr>
  </w:style>
  <w:style w:type="character" w:customStyle="1" w:styleId="TitleChar">
    <w:name w:val="Title Char"/>
    <w:aliases w:val="Title Page Char"/>
    <w:basedOn w:val="DefaultParagraphFont"/>
    <w:link w:val="Title"/>
    <w:uiPriority w:val="10"/>
    <w:rsid w:val="00574A8F"/>
    <w:rPr>
      <w:rFonts w:ascii="Times New Roman" w:eastAsiaTheme="majorEastAsia" w:hAnsi="Times New Roman" w:cstheme="majorBidi"/>
      <w:b/>
      <w:noProof/>
      <w:spacing w:val="-10"/>
      <w:kern w:val="28"/>
      <w:sz w:val="28"/>
      <w:szCs w:val="56"/>
    </w:rPr>
  </w:style>
  <w:style w:type="paragraph" w:styleId="ListParagraph">
    <w:name w:val="List Paragraph"/>
    <w:basedOn w:val="Normal"/>
    <w:autoRedefine/>
    <w:uiPriority w:val="34"/>
    <w:qFormat/>
    <w:rsid w:val="0023168E"/>
    <w:pPr>
      <w:spacing w:after="1560" w:line="1200" w:lineRule="auto"/>
      <w:ind w:left="720"/>
      <w:contextualSpacing/>
    </w:pPr>
    <w:rPr>
      <w:b w:val="0"/>
    </w:rPr>
  </w:style>
  <w:style w:type="character" w:customStyle="1" w:styleId="Heading1Char">
    <w:name w:val="Heading 1 Char"/>
    <w:basedOn w:val="DefaultParagraphFont"/>
    <w:link w:val="Heading1"/>
    <w:uiPriority w:val="9"/>
    <w:rsid w:val="00EB0AB2"/>
    <w:rPr>
      <w:rFonts w:ascii="Times New Roman" w:eastAsia="Times New Roman" w:hAnsi="Times New Roman" w:cs="Times New Roman"/>
      <w:b/>
      <w:bCs/>
      <w:caps/>
      <w:kern w:val="36"/>
      <w:sz w:val="24"/>
      <w:szCs w:val="48"/>
      <w:lang w:eastAsia="en-PH"/>
    </w:rPr>
  </w:style>
  <w:style w:type="paragraph" w:customStyle="1" w:styleId="Proposal1">
    <w:name w:val="Proposal 1"/>
    <w:basedOn w:val="Normal"/>
    <w:next w:val="Normal"/>
    <w:link w:val="Proposal1Char"/>
    <w:rsid w:val="00BA40ED"/>
    <w:pPr>
      <w:numPr>
        <w:numId w:val="1"/>
      </w:numPr>
      <w:tabs>
        <w:tab w:val="clear" w:pos="720"/>
        <w:tab w:val="num" w:pos="360"/>
      </w:tabs>
      <w:spacing w:before="240" w:after="120" w:line="360" w:lineRule="auto"/>
      <w:ind w:left="360" w:hanging="360"/>
      <w:jc w:val="left"/>
    </w:pPr>
    <w:rPr>
      <w:rFonts w:eastAsia="Times New Roman" w:cs="Times New Roman"/>
      <w:b w:val="0"/>
      <w:szCs w:val="20"/>
      <w:lang w:val="en-US" w:eastAsia="ko-KR"/>
    </w:rPr>
  </w:style>
  <w:style w:type="paragraph" w:customStyle="1" w:styleId="Proposal2">
    <w:name w:val="Proposal 2"/>
    <w:basedOn w:val="Proposal1"/>
    <w:rsid w:val="00BA40ED"/>
    <w:pPr>
      <w:numPr>
        <w:ilvl w:val="1"/>
      </w:numPr>
      <w:tabs>
        <w:tab w:val="clear" w:pos="1440"/>
        <w:tab w:val="num" w:pos="360"/>
        <w:tab w:val="num" w:pos="900"/>
      </w:tabs>
      <w:spacing w:before="120"/>
      <w:ind w:left="900" w:hanging="540"/>
    </w:pPr>
  </w:style>
  <w:style w:type="character" w:styleId="PlaceholderText">
    <w:name w:val="Placeholder Text"/>
    <w:basedOn w:val="DefaultParagraphFont"/>
    <w:uiPriority w:val="99"/>
    <w:semiHidden/>
    <w:rsid w:val="00BA40ED"/>
    <w:rPr>
      <w:color w:val="808080"/>
    </w:rPr>
  </w:style>
  <w:style w:type="character" w:customStyle="1" w:styleId="Proposal1Char">
    <w:name w:val="Proposal 1 Char"/>
    <w:basedOn w:val="DefaultParagraphFont"/>
    <w:link w:val="Proposal1"/>
    <w:rsid w:val="00BA40ED"/>
    <w:rPr>
      <w:rFonts w:ascii="Times New Roman" w:eastAsia="Times New Roman" w:hAnsi="Times New Roman" w:cs="Times New Roman"/>
      <w:sz w:val="24"/>
      <w:szCs w:val="20"/>
      <w:lang w:val="en-US" w:eastAsia="ko-KR"/>
    </w:rPr>
  </w:style>
  <w:style w:type="character" w:customStyle="1" w:styleId="Heading2Char">
    <w:name w:val="Heading 2 Char"/>
    <w:basedOn w:val="DefaultParagraphFont"/>
    <w:link w:val="Heading2"/>
    <w:uiPriority w:val="9"/>
    <w:rsid w:val="00916614"/>
    <w:rPr>
      <w:rFonts w:ascii="Times New Roman" w:eastAsiaTheme="majorEastAsia" w:hAnsi="Times New Roman" w:cstheme="majorBidi"/>
      <w:b/>
      <w:sz w:val="24"/>
      <w:szCs w:val="26"/>
    </w:rPr>
  </w:style>
  <w:style w:type="paragraph" w:styleId="TOCHeading">
    <w:name w:val="TOC Heading"/>
    <w:basedOn w:val="Heading1"/>
    <w:next w:val="Normal"/>
    <w:uiPriority w:val="39"/>
    <w:unhideWhenUsed/>
    <w:qFormat/>
    <w:rsid w:val="00390D06"/>
    <w:pPr>
      <w:keepNext/>
      <w:keepLines/>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390D06"/>
    <w:pPr>
      <w:spacing w:after="100" w:line="259" w:lineRule="auto"/>
      <w:ind w:left="220"/>
      <w:jc w:val="left"/>
    </w:pPr>
    <w:rPr>
      <w:rFonts w:asciiTheme="minorHAnsi" w:eastAsiaTheme="minorEastAsia" w:hAnsiTheme="minorHAnsi" w:cs="Times New Roman"/>
      <w:b w:val="0"/>
      <w:sz w:val="22"/>
      <w:lang w:val="en-US"/>
    </w:rPr>
  </w:style>
  <w:style w:type="paragraph" w:styleId="TOC1">
    <w:name w:val="toc 1"/>
    <w:basedOn w:val="Normal"/>
    <w:next w:val="Normal"/>
    <w:autoRedefine/>
    <w:uiPriority w:val="39"/>
    <w:unhideWhenUsed/>
    <w:rsid w:val="00390D06"/>
    <w:pPr>
      <w:spacing w:after="100" w:line="259" w:lineRule="auto"/>
      <w:jc w:val="left"/>
    </w:pPr>
    <w:rPr>
      <w:rFonts w:eastAsiaTheme="minorEastAsia" w:cs="Times New Roman"/>
      <w:b w:val="0"/>
      <w:lang w:val="en-US"/>
    </w:rPr>
  </w:style>
  <w:style w:type="paragraph" w:styleId="TOC3">
    <w:name w:val="toc 3"/>
    <w:basedOn w:val="Normal"/>
    <w:next w:val="Normal"/>
    <w:autoRedefine/>
    <w:uiPriority w:val="39"/>
    <w:unhideWhenUsed/>
    <w:rsid w:val="00390D06"/>
    <w:pPr>
      <w:spacing w:after="100" w:line="259" w:lineRule="auto"/>
      <w:ind w:left="440"/>
      <w:jc w:val="left"/>
    </w:pPr>
    <w:rPr>
      <w:rFonts w:asciiTheme="minorHAnsi" w:eastAsiaTheme="minorEastAsia" w:hAnsiTheme="minorHAnsi" w:cs="Times New Roman"/>
      <w:b w:val="0"/>
      <w:sz w:val="22"/>
      <w:lang w:val="en-US"/>
    </w:rPr>
  </w:style>
  <w:style w:type="character" w:styleId="Hyperlink">
    <w:name w:val="Hyperlink"/>
    <w:basedOn w:val="DefaultParagraphFont"/>
    <w:uiPriority w:val="99"/>
    <w:unhideWhenUsed/>
    <w:rsid w:val="00390D06"/>
    <w:rPr>
      <w:color w:val="0563C1" w:themeColor="hyperlink"/>
      <w:u w:val="single"/>
    </w:rPr>
  </w:style>
  <w:style w:type="paragraph" w:customStyle="1" w:styleId="BodyofResearch">
    <w:name w:val="Body of Research"/>
    <w:basedOn w:val="Normal"/>
    <w:link w:val="BodyofResearchChar"/>
    <w:autoRedefine/>
    <w:qFormat/>
    <w:rsid w:val="00882EB6"/>
    <w:pPr>
      <w:widowControl w:val="0"/>
      <w:spacing w:after="240" w:line="360" w:lineRule="auto"/>
      <w:jc w:val="both"/>
    </w:pPr>
    <w:rPr>
      <w:rFonts w:eastAsia="Times New Roman" w:cs="Times New Roman"/>
      <w:b w:val="0"/>
      <w:szCs w:val="20"/>
      <w:lang w:eastAsia="en-PH"/>
    </w:rPr>
  </w:style>
  <w:style w:type="character" w:customStyle="1" w:styleId="BodyofResearchChar">
    <w:name w:val="Body of Research Char"/>
    <w:basedOn w:val="DefaultParagraphFont"/>
    <w:link w:val="BodyofResearch"/>
    <w:rsid w:val="00882EB6"/>
    <w:rPr>
      <w:rFonts w:ascii="Times New Roman" w:eastAsia="Times New Roman" w:hAnsi="Times New Roman" w:cs="Times New Roman"/>
      <w:sz w:val="24"/>
      <w:szCs w:val="20"/>
      <w:lang w:eastAsia="en-PH"/>
    </w:rPr>
  </w:style>
  <w:style w:type="character" w:customStyle="1" w:styleId="Heading3Char">
    <w:name w:val="Heading 3 Char"/>
    <w:basedOn w:val="DefaultParagraphFont"/>
    <w:link w:val="Heading3"/>
    <w:uiPriority w:val="9"/>
    <w:rsid w:val="00016E1F"/>
    <w:rPr>
      <w:rFonts w:ascii="Times New Roman" w:eastAsiaTheme="majorEastAsia" w:hAnsi="Times New Roman" w:cstheme="majorBidi"/>
      <w:i/>
      <w:sz w:val="24"/>
      <w:szCs w:val="24"/>
    </w:rPr>
  </w:style>
  <w:style w:type="table" w:styleId="TableGrid">
    <w:name w:val="Table Grid"/>
    <w:basedOn w:val="TableNormal"/>
    <w:uiPriority w:val="39"/>
    <w:rsid w:val="00345573"/>
    <w:pPr>
      <w:spacing w:after="0" w:line="240" w:lineRule="auto"/>
    </w:pPr>
    <w:rPr>
      <w:rFonts w:ascii="Calibri" w:eastAsia="Times New Roman" w:hAnsi="Calibri" w:cs="Times New Roman"/>
      <w:sz w:val="20"/>
      <w:szCs w:val="20"/>
      <w:lang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
    <w:name w:val="Style1"/>
    <w:basedOn w:val="DefaultParagraphFont"/>
    <w:uiPriority w:val="1"/>
    <w:rsid w:val="00345573"/>
    <w:rPr>
      <w:rFonts w:ascii="Times New Roman" w:hAnsi="Times New Roman"/>
      <w:caps/>
      <w:smallCaps w:val="0"/>
      <w:vanish w:val="0"/>
      <w:sz w:val="24"/>
    </w:rPr>
  </w:style>
  <w:style w:type="paragraph" w:customStyle="1" w:styleId="References">
    <w:name w:val="References"/>
    <w:basedOn w:val="Normal"/>
    <w:link w:val="ReferencesChar"/>
    <w:autoRedefine/>
    <w:qFormat/>
    <w:rsid w:val="00F24CF8"/>
    <w:pPr>
      <w:spacing w:before="120" w:after="360"/>
      <w:jc w:val="both"/>
    </w:pPr>
    <w:rPr>
      <w:rFonts w:eastAsia="Times New Roman" w:cs="Arial"/>
      <w:b w:val="0"/>
      <w:lang w:val="en-US" w:eastAsia="ko-KR"/>
    </w:rPr>
  </w:style>
  <w:style w:type="character" w:customStyle="1" w:styleId="ReferencesChar">
    <w:name w:val="References Char"/>
    <w:basedOn w:val="DefaultParagraphFont"/>
    <w:link w:val="References"/>
    <w:rsid w:val="00F24CF8"/>
    <w:rPr>
      <w:rFonts w:ascii="Times New Roman" w:eastAsia="Times New Roman" w:hAnsi="Times New Roman" w:cs="Arial"/>
      <w:sz w:val="24"/>
      <w:lang w:val="en-US" w:eastAsia="ko-KR"/>
    </w:rPr>
  </w:style>
  <w:style w:type="paragraph" w:customStyle="1" w:styleId="forTOC">
    <w:name w:val="for TOC"/>
    <w:basedOn w:val="TOC1"/>
    <w:autoRedefine/>
    <w:qFormat/>
    <w:rsid w:val="00A93C28"/>
    <w:pPr>
      <w:ind w:left="72"/>
      <w:jc w:val="both"/>
    </w:pPr>
    <w:rPr>
      <w:b/>
      <w:szCs w:val="20"/>
      <w:lang w:eastAsia="en-PH"/>
    </w:rPr>
  </w:style>
  <w:style w:type="paragraph" w:customStyle="1" w:styleId="Abstract">
    <w:name w:val="Abstract"/>
    <w:qFormat/>
    <w:rsid w:val="002C7874"/>
    <w:pPr>
      <w:spacing w:after="0" w:line="240" w:lineRule="auto"/>
      <w:jc w:val="both"/>
    </w:pPr>
    <w:rPr>
      <w:rFonts w:ascii="Times New Roman" w:hAnsi="Times New Roman"/>
      <w:sz w:val="24"/>
      <w:lang w:eastAsia="en-PH"/>
    </w:rPr>
  </w:style>
  <w:style w:type="paragraph" w:customStyle="1" w:styleId="Appendix">
    <w:name w:val="Appendix"/>
    <w:basedOn w:val="BodyofResearch"/>
    <w:autoRedefine/>
    <w:qFormat/>
    <w:rsid w:val="009777A6"/>
    <w:pPr>
      <w:spacing w:before="6000" w:after="6000"/>
      <w:jc w:val="center"/>
    </w:pPr>
    <w:rPr>
      <w:rFonts w:eastAsiaTheme="minorHAnsi" w:cs="Arial"/>
      <w:b/>
      <w:caps/>
      <w:kern w:val="2"/>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178176">
      <w:bodyDiv w:val="1"/>
      <w:marLeft w:val="0"/>
      <w:marRight w:val="0"/>
      <w:marTop w:val="0"/>
      <w:marBottom w:val="0"/>
      <w:divBdr>
        <w:top w:val="none" w:sz="0" w:space="0" w:color="auto"/>
        <w:left w:val="none" w:sz="0" w:space="0" w:color="auto"/>
        <w:bottom w:val="none" w:sz="0" w:space="0" w:color="auto"/>
        <w:right w:val="none" w:sz="0" w:space="0" w:color="auto"/>
      </w:divBdr>
    </w:div>
    <w:div w:id="920599090">
      <w:bodyDiv w:val="1"/>
      <w:marLeft w:val="0"/>
      <w:marRight w:val="0"/>
      <w:marTop w:val="0"/>
      <w:marBottom w:val="0"/>
      <w:divBdr>
        <w:top w:val="none" w:sz="0" w:space="0" w:color="auto"/>
        <w:left w:val="none" w:sz="0" w:space="0" w:color="auto"/>
        <w:bottom w:val="none" w:sz="0" w:space="0" w:color="auto"/>
        <w:right w:val="none" w:sz="0" w:space="0" w:color="auto"/>
      </w:divBdr>
    </w:div>
    <w:div w:id="2051608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ri.uvm.edu/ppt/40hrenv/index.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ytimes.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alistapart.com/articles/writeliving"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pena\Downloads\Capstone_Project_2_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05D456-6CA6-4C60-891C-A5F01E62C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Capstone_Project_2_Template(3)</Template>
  <TotalTime>72</TotalTime>
  <Pages>29</Pages>
  <Words>3896</Words>
  <Characters>22213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Peña, Beronika</dc:creator>
  <cp:keywords/>
  <dc:description/>
  <cp:lastModifiedBy>Peña, Beronika A.</cp:lastModifiedBy>
  <cp:revision>30</cp:revision>
  <dcterms:created xsi:type="dcterms:W3CDTF">2023-12-15T02:04:00Z</dcterms:created>
  <dcterms:modified xsi:type="dcterms:W3CDTF">2025-01-16T06:24:00Z</dcterms:modified>
</cp:coreProperties>
</file>