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Теория и технология программирования</w:t>
      </w:r>
    </w:p>
    <w:p w:rsidR="00000000" w:rsidDel="00000000" w:rsidP="00000000" w:rsidRDefault="00000000" w:rsidRPr="00000000" w14:paraId="0000000B">
      <w:pPr>
        <w:ind w:left="216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Отчёт по лабораторной работе №2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3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Гузенко Сергей</w:t>
      </w:r>
    </w:p>
    <w:p w:rsidR="00000000" w:rsidDel="00000000" w:rsidP="00000000" w:rsidRDefault="00000000" w:rsidRPr="00000000" w14:paraId="0000001C">
      <w:pPr>
        <w:ind w:left="43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Группа: Б22-902</w:t>
      </w:r>
    </w:p>
    <w:p w:rsidR="00000000" w:rsidDel="00000000" w:rsidP="00000000" w:rsidRDefault="00000000" w:rsidRPr="00000000" w14:paraId="0000001D">
      <w:pPr>
        <w:ind w:left="50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 Смирнов Дмитрий Сергеевич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ab/>
        <w:tab/>
        <w:tab/>
        <w:tab/>
        <w:tab/>
        <w:tab/>
        <w:t xml:space="preserve">2024г.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Heracley/SampleAnalyzer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 Schema: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SampleAnalyzer/files/schema.drawio.png 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Интерфейс программы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130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Выбор датасета</w:t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731200" cy="5283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Выбор листа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731200" cy="3352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Выбор выборки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731200" cy="5295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Рассчитанные параметры выборки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731200" cy="518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Матрица ковариации</w:t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731200" cy="524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Экспорт анализа в выбранную папку</w:t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731200" cy="5143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Уведомление об экспортированной статистике</w:t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731200" cy="5257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color w:val="b7b7b7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>
        <w:rFonts w:ascii="Times New Roman" w:cs="Times New Roman" w:eastAsia="Times New Roman" w:hAnsi="Times New Roman"/>
        <w:color w:val="b7b7b7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b7b7b7"/>
        <w:sz w:val="18"/>
        <w:szCs w:val="18"/>
        <w:rtl w:val="0"/>
      </w:rPr>
      <w:t xml:space="preserve">НАЦИОНАЛЬНЫЙ ИССЛЕДОВАТЕЛЬСКИЙ ЯДЕРНЫЙ УНИВЕРСИТЕТ «МИФИ»</w:t>
    </w:r>
  </w:p>
  <w:p w:rsidR="00000000" w:rsidDel="00000000" w:rsidP="00000000" w:rsidRDefault="00000000" w:rsidRPr="00000000" w14:paraId="00000045">
    <w:pPr>
      <w:jc w:val="center"/>
      <w:rPr>
        <w:color w:val="b7b7b7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color w:val="b7b7b7"/>
        <w:sz w:val="18"/>
        <w:szCs w:val="18"/>
        <w:rtl w:val="0"/>
      </w:rPr>
      <w:t xml:space="preserve">ФАКУЛЬТЕТ БИЗНЕС-ИНФОРМАТИКИ И УПРАВЛЕНИЯ КОМПЛЕКСНЫМИ СИСТЕМАМИ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Heracley/SampleAnalyzer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ithub.com/Heracley/SampleAnalyzer/blob/main/files/schema.drawio.png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