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64"/>
          <w:szCs w:val="64"/>
        </w:rPr>
        <w:t xml:space="preserve">ADAM</w:t>
      </w:r>
    </w:p>
    <w:p>
      <w:pPr>
        <w:spacing w:after="80" w:before="0"/>
        <w:jc w:val="center"/>
      </w:pPr>
      <w:r>
        <w:rPr>
          <w:rFonts w:ascii="Arial" w:cs="Arial" w:eastAsia="Arial" w:hAnsi="Arial"/>
          <w:color w:val="2E5FAD"/>
          <w:sz w:val="24"/>
          <w:szCs w:val="24"/>
        </w:rPr>
        <w:t xml:space="preserve">Autonomy Doctrine &amp; Architecture Model</w:t>
      </w:r>
    </w:p>
    <w:p>
      <w:pPr>
        <w:spacing w:after="80" w:before="0"/>
        <w:jc w:val="center"/>
      </w:pPr>
      <w:r>
        <w:rPr>
          <w:rFonts w:ascii="Arial" w:cs="Arial" w:eastAsia="Arial" w:hAnsi="Arial"/>
          <w:color w:val="AAAAAA"/>
          <w:sz w:val="20"/>
          <w:szCs w:val="20"/>
        </w:rPr>
        <w:t xml:space="preserve">─────────────────────────────────────────</w:t>
      </w:r>
    </w:p>
    <w:p>
      <w:pPr>
        <w:spacing w:after="60" w:before="60"/>
        <w:jc w:val="center"/>
      </w:pPr>
      <w:r>
        <w:rPr>
          <w:rFonts w:ascii="Arial" w:cs="Arial" w:eastAsia="Arial" w:hAnsi="Arial"/>
          <w:b/>
          <w:bCs/>
          <w:color w:val="1E6B3C"/>
          <w:sz w:val="48"/>
          <w:szCs w:val="48"/>
        </w:rPr>
        <w:t xml:space="preserve">AGT LIGHT</w:t>
      </w:r>
    </w:p>
    <w:p>
      <w:pPr>
        <w:spacing w:after="60" w:before="0"/>
        <w:jc w:val="center"/>
      </w:pPr>
      <w:r>
        <w:rPr>
          <w:rFonts w:ascii="Arial" w:cs="Arial" w:eastAsia="Arial" w:hAnsi="Arial"/>
          <w:b w:val="false"/>
          <w:bCs w:val="false"/>
          <w:color w:val="2E5FAD"/>
          <w:sz w:val="26"/>
          <w:szCs w:val="26"/>
        </w:rPr>
        <w:t xml:space="preserve">Runtime Governance Implementation Plugin</w:t>
      </w:r>
    </w:p>
    <w:p>
      <w:pPr>
        <w:spacing w:after="80" w:before="0"/>
        <w:jc w:val="center"/>
      </w:pPr>
      <w:r>
        <w:rPr>
          <w:rFonts w:ascii="Arial" w:cs="Arial" w:eastAsia="Arial" w:hAnsi="Arial"/>
          <w:color w:val="AAAAAA"/>
          <w:sz w:val="20"/>
          <w:szCs w:val="20"/>
        </w:rPr>
        <w:t xml:space="preserve">─────────────────────────────────────────</w:t>
      </w:r>
    </w:p>
    <w:p>
      <w:pPr>
        <w:spacing w:after="60" w:before="60"/>
        <w:jc w:val="center"/>
      </w:pPr>
      <w:r>
        <w:rPr>
          <w:rFonts w:ascii="Arial" w:cs="Arial" w:eastAsia="Arial" w:hAnsi="Arial"/>
          <w:color w:val="17375E"/>
          <w:sz w:val="22"/>
          <w:szCs w:val="22"/>
        </w:rPr>
        <w:t xml:space="preserve">Positioning the Microsoft Agent Governance Toolkit</w:t>
      </w:r>
    </w:p>
    <w:p>
      <w:pPr>
        <w:spacing w:after="60" w:before="0"/>
        <w:jc w:val="center"/>
      </w:pPr>
      <w:r>
        <w:rPr>
          <w:rFonts w:ascii="Arial" w:cs="Arial" w:eastAsia="Arial" w:hAnsi="Arial"/>
          <w:color w:val="17375E"/>
          <w:sz w:val="22"/>
          <w:szCs w:val="22"/>
        </w:rPr>
        <w:t xml:space="preserve">as ADAM’s Recommended Runtime Layer</w:t>
      </w:r>
    </w:p>
    <w:p>
      <w:pPr>
        <w:spacing w:after="80" w:before="80"/>
        <w:jc w:val="center"/>
      </w:pPr>
      <w:r>
        <w:rPr>
          <w:rFonts w:ascii="Arial" w:cs="Arial" w:eastAsia="Arial" w:hAnsi="Arial"/>
          <w:color w:val="AAAAAA"/>
          <w:sz w:val="20"/>
          <w:szCs w:val="20"/>
        </w:rPr>
        <w:t xml:space="preserve">─────────────────────────────────────────</w:t>
      </w:r>
    </w:p>
    <w:p>
      <w:pPr>
        <w:spacing w:after="40" w:before="60"/>
        <w:jc w:val="center"/>
      </w:pPr>
      <w:r>
        <w:rPr>
          <w:rFonts w:ascii="Arial" w:cs="Arial" w:eastAsia="Arial" w:hAnsi="Arial"/>
          <w:color w:val="777777"/>
          <w:sz w:val="20"/>
          <w:szCs w:val="20"/>
        </w:rPr>
        <w:t xml:space="preserve">Version 1.1  •  April 2026</w:t>
      </w:r>
    </w:p>
    <w:p>
      <w:pPr>
        <w:spacing w:after="40" w:before="0"/>
        <w:jc w:val="center"/>
      </w:pPr>
      <w:r>
        <w:rPr>
          <w:rFonts w:ascii="Arial" w:cs="Arial" w:eastAsia="Arial" w:hAnsi="Arial"/>
          <w:color w:val="777777"/>
          <w:sz w:val="20"/>
          <w:szCs w:val="20"/>
        </w:rPr>
        <w:t xml:space="preserve">Companion to: ADAM – Autonomy Doctrine &amp; Architecture Model</w:t>
      </w:r>
    </w:p>
    <w:p>
      <w:pPr>
        <w:spacing w:after="40" w:before="0"/>
        <w:jc w:val="center"/>
      </w:pPr>
      <w:r>
        <w:rPr>
          <w:rFonts w:ascii="Arial" w:cs="Arial" w:eastAsia="Arial" w:hAnsi="Arial"/>
          <w:color w:val="777777"/>
          <w:sz w:val="18"/>
          <w:szCs w:val="18"/>
        </w:rPr>
        <w:t xml:space="preserve">Reference framework: OWASP Agentic Application Top 10 (December 2025)</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D" w:sz="4"/>
              <w:left w:val="single" w:color="2E5FAD" w:sz="4"/>
              <w:bottom w:val="single" w:color="2E5FAD" w:sz="4"/>
              <w:right w:val="single" w:color="2E5FAD" w:sz="4"/>
            </w:tcBorders>
            <w:shd w:fill="D5E8F0" w:val="clear"/>
            <w:tcMar>
              <w:top w:type="dxa" w:w="120"/>
              <w:left w:type="dxa" w:w="180"/>
              <w:bottom w:type="dxa" w:w="120"/>
              <w:right w:type="dxa" w:w="180"/>
            </w:tcMar>
          </w:tcPr>
          <w:p>
            <w:pPr>
              <w:spacing w:after="60" w:before="0"/>
            </w:pPr>
            <w:r>
              <w:rPr>
                <w:rFonts w:ascii="Arial" w:cs="Arial" w:eastAsia="Arial" w:hAnsi="Arial"/>
                <w:b/>
                <w:bCs/>
                <w:color w:val="1F3864"/>
                <w:sz w:val="20"/>
                <w:szCs w:val="20"/>
              </w:rPr>
              <w:t xml:space="preserve">Design Principle: Doctrine-to-Deployment, Not Toolkit-to-Doctrine</w:t>
            </w:r>
          </w:p>
          <w:p>
            <w:pPr>
              <w:spacing w:after="0" w:before="0"/>
              <w:jc w:val="both"/>
            </w:pPr>
            <w:r>
              <w:rPr>
                <w:rFonts w:ascii="Arial" w:cs="Arial" w:eastAsia="Arial" w:hAnsi="Arial"/>
                <w:color w:val="1A1A1A"/>
                <w:sz w:val="20"/>
                <w:szCs w:val="20"/>
              </w:rPr>
              <w:t xml:space="preserve">This document externalises ADAM’s runtime governance implementation as a modular, swappable plugin. ADAM’s doctrine layer — the CORE Engine, BOSS Score, Exception Economy, 5-Director Constitution, and 81+ Agent Mesh — is sovereign intellectual property that does not depend on any single toolkit. AGT is the current reference runtime. It is MIT-licensed, open-source, and may be replaced by any runtime that satisfies ADAM’s Runtime Governance Interface without changing a single line of ADAM doctrine.</w:t>
            </w:r>
          </w:p>
        </w:tc>
      </w:tr>
    </w:tbl>
    <w:p>
      <w:pPr>
        <w:spacing w:after="80" w:before="0"/>
      </w:pPr>
    </w:p>
    <w:p>
      <w:pPr>
        <w:spacing w:after="120" w:before="200"/>
      </w:pPr>
      <w:r>
        <w:rPr>
          <w:rFonts w:ascii="Arial" w:cs="Arial" w:eastAsia="Arial" w:hAnsi="Arial"/>
          <w:b/>
          <w:bCs/>
          <w:color w:val="1F3864"/>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Arial" w:cs="Arial" w:eastAsia="Arial" w:hAnsi="Arial"/>
          <w:b/>
          <w:bCs/>
          <w:color w:val="1F3864"/>
          <w:sz w:val="32"/>
          <w:szCs w:val="32"/>
        </w:rPr>
        <w:t xml:space="preserve">Part 1 — Why Runtime Governance Matters</w:t>
      </w:r>
    </w:p>
    <w:p>
      <w:pPr>
        <w:spacing w:after="120" w:before="80"/>
        <w:jc w:val="both"/>
      </w:pPr>
      <w:r>
        <w:rPr>
          <w:rFonts w:ascii="Arial" w:cs="Arial" w:eastAsia="Arial" w:hAnsi="Arial"/>
          <w:b w:val="false"/>
          <w:bCs w:val="false"/>
          <w:i w:val="false"/>
          <w:iCs w:val="false"/>
          <w:color w:val="1A1A1A"/>
          <w:sz w:val="20"/>
          <w:szCs w:val="20"/>
        </w:rPr>
        <w:t xml:space="preserve">ADAM defines what must be governed: which actions require approval, who is accountable, how doctrine is encoded, and what happens when autonomous systems diverge from intent. That is architecture. But architecture without enforcement is a beautifully formatted suggestion.</w:t>
      </w:r>
    </w:p>
    <w:p>
      <w:pPr>
        <w:spacing w:after="120" w:before="80"/>
        <w:jc w:val="both"/>
      </w:pPr>
      <w:r>
        <w:rPr>
          <w:rFonts w:ascii="Arial" w:cs="Arial" w:eastAsia="Arial" w:hAnsi="Arial"/>
          <w:b w:val="false"/>
          <w:bCs w:val="false"/>
          <w:i w:val="false"/>
          <w:iCs w:val="false"/>
          <w:color w:val="1A1A1A"/>
          <w:sz w:val="20"/>
          <w:szCs w:val="20"/>
        </w:rPr>
        <w:t xml:space="preserve">Runtime governance is the enforcement layer — the part that runs at the edge of every autonomous action, in sub-millisecond time, before an agent executes a tool call, delegates authority, or modifies external state. It is not a substitute for doctrine. It is doctrine in motion.</w:t>
      </w:r>
    </w:p>
    <w:p>
      <w:pPr>
        <w:spacing w:after="120" w:before="80"/>
        <w:jc w:val="both"/>
      </w:pPr>
      <w:r>
        <w:rPr>
          <w:rFonts w:ascii="Arial" w:cs="Arial" w:eastAsia="Arial" w:hAnsi="Arial"/>
          <w:b w:val="false"/>
          <w:bCs w:val="false"/>
          <w:i w:val="false"/>
          <w:iCs w:val="false"/>
          <w:color w:val="1A1A1A"/>
          <w:sz w:val="20"/>
          <w:szCs w:val="20"/>
        </w:rPr>
        <w:t xml:space="preserve">ADAM’s eight blueprint layers define the planes of control. Part 1 of this plugin explains the gap between those planes and their runtime implementation, and why that gap requires a dedicated, production-grade enforcement toolkit.</w:t>
      </w:r>
    </w:p>
    <w:p>
      <w:pPr>
        <w:spacing w:after="80" w:before="0"/>
      </w:pPr>
    </w:p>
    <w:p>
      <w:pPr>
        <w:pStyle w:val="Heading2"/>
        <w:spacing w:after="140" w:before="280"/>
      </w:pPr>
      <w:r>
        <w:rPr>
          <w:rFonts w:ascii="Arial" w:cs="Arial" w:eastAsia="Arial" w:hAnsi="Arial"/>
          <w:b/>
          <w:bCs/>
          <w:color w:val="1F3864"/>
          <w:sz w:val="26"/>
          <w:szCs w:val="26"/>
        </w:rPr>
        <w:t xml:space="preserve">1.1 The Policy-Action Gap</w:t>
      </w:r>
    </w:p>
    <w:p>
      <w:pPr>
        <w:spacing w:after="120" w:before="80"/>
        <w:jc w:val="both"/>
      </w:pPr>
      <w:r>
        <w:rPr>
          <w:rFonts w:ascii="Arial" w:cs="Arial" w:eastAsia="Arial" w:hAnsi="Arial"/>
          <w:b w:val="false"/>
          <w:bCs w:val="false"/>
          <w:i w:val="false"/>
          <w:iCs w:val="false"/>
          <w:color w:val="1A1A1A"/>
          <w:sz w:val="20"/>
          <w:szCs w:val="20"/>
        </w:rPr>
        <w:t xml:space="preserve">Enterprise AI governance frameworks — including ADAM — invest heavily in defining what agents may and may not do. Policy files. Rego rules. Doctrine graphs. BOSS scoring dimensions. These are essential, correct, and necessary. They are also all pre-execution artifacts.</w:t>
      </w:r>
    </w:p>
    <w:p>
      <w:pPr>
        <w:spacing w:after="120" w:before="80"/>
        <w:jc w:val="both"/>
      </w:pPr>
      <w:r>
        <w:rPr>
          <w:rFonts w:ascii="Arial" w:cs="Arial" w:eastAsia="Arial" w:hAnsi="Arial"/>
          <w:b w:val="false"/>
          <w:bCs w:val="false"/>
          <w:i w:val="false"/>
          <w:iCs w:val="false"/>
          <w:color w:val="1A1A1A"/>
          <w:sz w:val="20"/>
          <w:szCs w:val="20"/>
        </w:rPr>
        <w:t xml:space="preserve">Between a policy definition and an agent’s actual execution of a tool call, something must intercept, evaluate, permit or deny, and log. In production environments processing thousands of autonomous actions per hour, that interception cannot be a human review step. It must be deterministic, auditable, and fast enough not to be the bottleneck.</w:t>
      </w:r>
    </w:p>
    <w:p>
      <w:pPr>
        <w:spacing w:after="120" w:before="80"/>
        <w:jc w:val="both"/>
      </w:pPr>
      <w:r>
        <w:rPr>
          <w:rFonts w:ascii="Arial" w:cs="Arial" w:eastAsia="Arial" w:hAnsi="Arial"/>
          <w:b w:val="false"/>
          <w:bCs w:val="false"/>
          <w:i w:val="false"/>
          <w:iCs w:val="false"/>
          <w:color w:val="1A1A1A"/>
          <w:sz w:val="20"/>
          <w:szCs w:val="20"/>
        </w:rPr>
        <w:t xml:space="preserve">This is the policy-action gap. ADAM defines both ends. The Runtime Governance Interface (Section 3) defines what must sit in between. AGT Light is the recommended implementation.</w:t>
      </w:r>
    </w:p>
    <w:p>
      <w:pPr>
        <w:spacing w:after="80" w:before="0"/>
      </w:pPr>
    </w:p>
    <w:p>
      <w:pPr>
        <w:pStyle w:val="Heading2"/>
        <w:spacing w:after="140" w:before="280"/>
      </w:pPr>
      <w:r>
        <w:rPr>
          <w:rFonts w:ascii="Arial" w:cs="Arial" w:eastAsia="Arial" w:hAnsi="Arial"/>
          <w:b/>
          <w:bCs/>
          <w:color w:val="1F3864"/>
          <w:sz w:val="26"/>
          <w:szCs w:val="26"/>
        </w:rPr>
        <w:t xml:space="preserve">1.2 What Runtime Governance Must Deliver</w:t>
      </w:r>
    </w:p>
    <w:p>
      <w:pPr>
        <w:spacing w:after="120" w:before="80"/>
        <w:jc w:val="both"/>
      </w:pPr>
      <w:r>
        <w:rPr>
          <w:rFonts w:ascii="Arial" w:cs="Arial" w:eastAsia="Arial" w:hAnsi="Arial"/>
          <w:b w:val="false"/>
          <w:bCs w:val="false"/>
          <w:i w:val="false"/>
          <w:iCs w:val="false"/>
          <w:color w:val="1A1A1A"/>
          <w:sz w:val="20"/>
          <w:szCs w:val="20"/>
        </w:rPr>
        <w:t xml:space="preserve">Any runtime implementation adopted by ADAM — including AGT — must satisfy five non-negotiable requirements: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Requirement</w:t>
            </w:r>
          </w:p>
        </w:tc>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Description</w:t>
            </w:r>
          </w:p>
        </w:tc>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ADAM Plane Served</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Sub-ms Enforcement</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Policy evaluation at invocation boundary in &lt;0.1ms p99. Must not become an execution bottleneck.</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Policy &amp; Risk Plane</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Cryptographic Identity</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Every agent must carry a verifiable, non-forgeable identity. No anonymous execution.</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Security &amp; Trust Plane</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Execution Containment</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Actions must be sandboxed within defined authority boundaries. Privilege escalation must be blocked architecturally, not just logged.</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Policy &amp; Risk Plane / Agent Mesh</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Immutable Audit Trail</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Every evaluated action, permit, deny, and escalation must be forwarded to the Flight Recorder. Suppression must be architecturally impossible.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Evidence &amp; Audit Plane</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BOSS Score Input</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Runtime must emit structured telemetry that can feed BOSS Score computation. OWASP risk signals must be captured and forwarded.</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Policy &amp; Risk Plane</w:t>
            </w:r>
          </w:p>
        </w:tc>
      </w:tr>
    </w:tbl>
    <w:p>
      <w:pPr>
        <w:spacing w:after="80" w:before="0"/>
      </w:pPr>
    </w:p>
    <w:p>
      <w:r>
        <w:br w:type="page"/>
      </w:r>
    </w:p>
    <w:p>
      <w:pPr>
        <w:pStyle w:val="Heading1"/>
        <w:spacing w:after="140" w:before="280"/>
      </w:pPr>
      <w:r>
        <w:rPr>
          <w:rFonts w:ascii="Arial" w:cs="Arial" w:eastAsia="Arial" w:hAnsi="Arial"/>
          <w:b/>
          <w:bCs/>
          <w:color w:val="1F3864"/>
          <w:sz w:val="32"/>
          <w:szCs w:val="32"/>
        </w:rPr>
        <w:t xml:space="preserve">Part 2 — The Agent Governance Toolkit (AGT): What It Is and Why ADAM Recommends It</w:t>
      </w:r>
    </w:p>
    <w:p>
      <w:pPr>
        <w:spacing w:after="120" w:before="80"/>
        <w:jc w:val="both"/>
      </w:pPr>
      <w:r>
        <w:rPr>
          <w:rFonts w:ascii="Arial" w:cs="Arial" w:eastAsia="Arial" w:hAnsi="Arial"/>
          <w:b w:val="false"/>
          <w:bCs w:val="false"/>
          <w:i w:val="false"/>
          <w:iCs w:val="false"/>
          <w:color w:val="1A1A1A"/>
          <w:sz w:val="20"/>
          <w:szCs w:val="20"/>
        </w:rPr>
        <w:t xml:space="preserve">The Microsoft Agent Governance Toolkit (AGT) is an MIT-licensed, open-source, seven-package runtime security layer for AI agents released April 2026. It ships in Python, TypeScript, Rust, Go, and .NET, and integrates with major agent frameworks including LangChain, CrewAI, Google ADK, and others.</w:t>
      </w:r>
    </w:p>
    <w:p>
      <w:pPr>
        <w:spacing w:after="120" w:before="80"/>
        <w:jc w:val="both"/>
      </w:pPr>
      <w:r>
        <w:rPr>
          <w:rFonts w:ascii="Arial" w:cs="Arial" w:eastAsia="Arial" w:hAnsi="Arial"/>
          <w:b w:val="false"/>
          <w:bCs w:val="false"/>
          <w:i w:val="false"/>
          <w:iCs w:val="false"/>
          <w:color w:val="1A1A1A"/>
          <w:sz w:val="20"/>
          <w:szCs w:val="20"/>
        </w:rPr>
        <w:t xml:space="preserve">AGT claims complete coverage of the OWASP Agentic Application Top 10 (December 2025) — the de facto security taxonomy for enterprise AI agent systems. It provides sub-millisecond policy enforcement, cryptographic agent identity, execution privilege rings, automated regulatory compliance mapping, plugin lifecycle signing, and reinforcement learning governance.</w:t>
      </w:r>
    </w:p>
    <w:p>
      <w:pPr>
        <w:spacing w:after="120" w:before="80"/>
        <w:jc w:val="both"/>
      </w:pPr>
      <w:r>
        <w:rPr>
          <w:rFonts w:ascii="Arial" w:cs="Arial" w:eastAsia="Arial" w:hAnsi="Arial"/>
          <w:b w:val="false"/>
          <w:bCs w:val="false"/>
          <w:i w:val="false"/>
          <w:iCs w:val="false"/>
          <w:color w:val="1A1A1A"/>
          <w:sz w:val="20"/>
          <w:szCs w:val="20"/>
        </w:rPr>
        <w:t xml:space="preserve">AGT does not have a doctrine engine. It does not define organizational values, score business consequences across seven dimensions, manage human governance hierarchies, or enforce sovereignty. That is ADAM’s domain. AGT provides the enforcement machinery ADAM’s architecture requires at execution speed.</w:t>
      </w:r>
    </w:p>
    <w:p>
      <w:pPr>
        <w:spacing w:after="80" w:before="0"/>
      </w:pPr>
    </w:p>
    <w:p>
      <w:pPr>
        <w:pStyle w:val="Heading2"/>
        <w:spacing w:after="140" w:before="280"/>
      </w:pPr>
      <w:r>
        <w:rPr>
          <w:rFonts w:ascii="Arial" w:cs="Arial" w:eastAsia="Arial" w:hAnsi="Arial"/>
          <w:b/>
          <w:bCs/>
          <w:color w:val="1F3864"/>
          <w:sz w:val="26"/>
          <w:szCs w:val="26"/>
        </w:rPr>
        <w:t xml:space="preserve">2.1 Why This Is an Endorsement, Not a Dependency</w:t>
      </w:r>
    </w:p>
    <w:p>
      <w:pPr>
        <w:spacing w:after="120" w:before="80"/>
        <w:jc w:val="both"/>
      </w:pPr>
      <w:r>
        <w:rPr>
          <w:rFonts w:ascii="Arial" w:cs="Arial" w:eastAsia="Arial" w:hAnsi="Arial"/>
          <w:b w:val="false"/>
          <w:bCs w:val="false"/>
          <w:i w:val="false"/>
          <w:iCs w:val="false"/>
          <w:color w:val="1A1A1A"/>
          <w:sz w:val="20"/>
          <w:szCs w:val="20"/>
        </w:rPr>
        <w:t xml:space="preserve">When an organization with Microsoft’s engineering resources independently designs a runtime security layer that maps almost exactly to the control planes ADAM defined from first principles, that is not a coincidence. It is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D" w:sz="4"/>
              <w:left w:val="single" w:color="2E5FAD" w:sz="4"/>
              <w:bottom w:val="single" w:color="2E5FAD" w:sz="4"/>
              <w:right w:val="single" w:color="2E5FAD" w:sz="4"/>
            </w:tcBorders>
            <w:shd w:fill="D5E8F0" w:val="clear"/>
            <w:tcMar>
              <w:top w:type="dxa" w:w="120"/>
              <w:left w:type="dxa" w:w="180"/>
              <w:bottom w:type="dxa" w:w="120"/>
              <w:right w:type="dxa" w:w="180"/>
            </w:tcMar>
          </w:tcPr>
          <w:p>
            <w:pPr>
              <w:spacing w:after="60" w:before="0"/>
            </w:pPr>
            <w:r>
              <w:rPr>
                <w:rFonts w:ascii="Arial" w:cs="Arial" w:eastAsia="Arial" w:hAnsi="Arial"/>
                <w:b/>
                <w:bCs/>
                <w:color w:val="1F3864"/>
                <w:sz w:val="20"/>
                <w:szCs w:val="20"/>
              </w:rPr>
              <w:t xml:space="preserve">Architectural Validation Signal</w:t>
            </w:r>
          </w:p>
          <w:p>
            <w:pPr>
              <w:spacing w:after="0" w:before="0"/>
              <w:jc w:val="both"/>
            </w:pPr>
            <w:r>
              <w:rPr>
                <w:rFonts w:ascii="Arial" w:cs="Arial" w:eastAsia="Arial" w:hAnsi="Arial"/>
                <w:color w:val="1A1A1A"/>
                <w:sz w:val="20"/>
                <w:szCs w:val="20"/>
              </w:rPr>
              <w:t xml:space="preserve">AGT’s existence proves the industry has arrived at the same conclusions ADAM documented: agents need runtime policy enforcement, cryptographic identity, execution sandboxing, compliance automation, and trust scoring. ADAM designed the doctrine and architecture. AGT built the tools that implement a runtime subset of it. The correct framing: ADAM is the doctrine. AGT is one implementation of the execution layer.</w:t>
            </w:r>
          </w:p>
        </w:tc>
      </w:tr>
    </w:tbl>
    <w:p>
      <w:pPr>
        <w:spacing w:after="80" w:before="0"/>
      </w:pPr>
    </w:p>
    <w:p>
      <w:pPr>
        <w:spacing w:after="120" w:before="80"/>
        <w:jc w:val="both"/>
      </w:pPr>
      <w:r>
        <w:rPr>
          <w:rFonts w:ascii="Arial" w:cs="Arial" w:eastAsia="Arial" w:hAnsi="Arial"/>
          <w:b w:val="false"/>
          <w:bCs w:val="false"/>
          <w:i w:val="false"/>
          <w:iCs w:val="false"/>
          <w:color w:val="1A1A1A"/>
          <w:sz w:val="20"/>
          <w:szCs w:val="20"/>
        </w:rPr>
        <w:t xml:space="preserve">This positioning is deliberate and requires maintenance. ADAM must never be described as ‘built on AGT’ or ‘requiring AGT.’ The correct framing is: ADAM’s Runtime Governance Interface defines what any compliant runtime must deliver. AGT is the current recommended implementation. The architecture does not change if AGT is replaced.</w:t>
      </w:r>
    </w:p>
    <w:p>
      <w:pPr>
        <w:spacing w:after="80" w:before="0"/>
      </w:pPr>
    </w:p>
    <w:p>
      <w:pPr>
        <w:pStyle w:val="Heading2"/>
        <w:spacing w:after="140" w:before="280"/>
      </w:pPr>
      <w:r>
        <w:rPr>
          <w:rFonts w:ascii="Arial" w:cs="Arial" w:eastAsia="Arial" w:hAnsi="Arial"/>
          <w:b/>
          <w:bCs/>
          <w:color w:val="1F3864"/>
          <w:sz w:val="26"/>
          <w:szCs w:val="26"/>
        </w:rPr>
        <w:t xml:space="preserve">2.2 AGT’s Seven Packages</w:t>
      </w:r>
    </w:p>
    <w:p>
      <w:pPr>
        <w:spacing w:after="120" w:before="80"/>
        <w:jc w:val="both"/>
      </w:pPr>
      <w:r>
        <w:rPr>
          <w:rFonts w:ascii="Arial" w:cs="Arial" w:eastAsia="Arial" w:hAnsi="Arial"/>
          <w:b w:val="false"/>
          <w:bCs w:val="false"/>
          <w:i w:val="false"/>
          <w:iCs w:val="false"/>
          <w:color w:val="1A1A1A"/>
          <w:sz w:val="20"/>
          <w:szCs w:val="20"/>
        </w:rPr>
        <w:t xml:space="preserve">AGT ships as seven modular packages, each addressing a specific governance concern at the runtime layer. The following table describes each package, its function, and its performance/capability specification.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560"/>
        <w:gridCol w:w="2600"/>
      </w:tblGrid>
      <w:tr>
        <w:tc>
          <w:tcPr>
            <w:gridSpan w:val="1"/>
            <w:tcBorders>
              <w:top w:val="single" w:color="2E5FAD" w:sz="4"/>
              <w:left w:val="single" w:color="2E5FAD" w:sz="4"/>
              <w:bottom w:val="single" w:color="2E5FAD" w:sz="4"/>
              <w:right w:val="single" w:color="2E5FAD" w:sz="4"/>
            </w:tcBorders>
            <w:shd w:fill="D9EDDF" w:val="clear"/>
            <w:tcMar>
              <w:top w:type="dxa" w:w="80"/>
              <w:left w:type="dxa" w:w="120"/>
              <w:bottom w:type="dxa" w:w="80"/>
              <w:right w:type="dxa" w:w="120"/>
            </w:tcMar>
          </w:tcPr>
          <w:p>
            <w:r>
              <w:rPr>
                <w:rFonts w:ascii="Arial" w:cs="Arial" w:eastAsia="Arial" w:hAnsi="Arial"/>
                <w:b/>
                <w:bCs/>
                <w:color w:val="1E6B3C"/>
                <w:sz w:val="18"/>
                <w:szCs w:val="18"/>
              </w:rPr>
              <w:t xml:space="preserve">Package</w:t>
            </w:r>
          </w:p>
        </w:tc>
        <w:tc>
          <w:tcPr>
            <w:gridSpan w:val="1"/>
            <w:tcBorders>
              <w:top w:val="single" w:color="2E5FAD" w:sz="4"/>
              <w:left w:val="single" w:color="2E5FAD" w:sz="4"/>
              <w:bottom w:val="single" w:color="2E5FAD" w:sz="4"/>
              <w:right w:val="single" w:color="2E5FAD" w:sz="4"/>
            </w:tcBorders>
            <w:shd w:fill="D9EDDF" w:val="clear"/>
            <w:tcMar>
              <w:top w:type="dxa" w:w="80"/>
              <w:left w:type="dxa" w:w="120"/>
              <w:bottom w:type="dxa" w:w="80"/>
              <w:right w:type="dxa" w:w="120"/>
            </w:tcMar>
          </w:tcPr>
          <w:p>
            <w:r>
              <w:rPr>
                <w:rFonts w:ascii="Arial" w:cs="Arial" w:eastAsia="Arial" w:hAnsi="Arial"/>
                <w:b/>
                <w:bCs/>
                <w:color w:val="1E6B3C"/>
                <w:sz w:val="18"/>
                <w:szCs w:val="18"/>
              </w:rPr>
              <w:t xml:space="preserve">Function</w:t>
            </w:r>
          </w:p>
        </w:tc>
        <w:tc>
          <w:tcPr>
            <w:gridSpan w:val="1"/>
            <w:tcBorders>
              <w:top w:val="single" w:color="2E5FAD" w:sz="4"/>
              <w:left w:val="single" w:color="2E5FAD" w:sz="4"/>
              <w:bottom w:val="single" w:color="2E5FAD" w:sz="4"/>
              <w:right w:val="single" w:color="2E5FAD" w:sz="4"/>
            </w:tcBorders>
            <w:shd w:fill="D9EDDF" w:val="clear"/>
            <w:tcMar>
              <w:top w:type="dxa" w:w="80"/>
              <w:left w:type="dxa" w:w="120"/>
              <w:bottom w:type="dxa" w:w="80"/>
              <w:right w:type="dxa" w:w="120"/>
            </w:tcMar>
          </w:tcPr>
          <w:p>
            <w:r>
              <w:rPr>
                <w:rFonts w:ascii="Arial" w:cs="Arial" w:eastAsia="Arial" w:hAnsi="Arial"/>
                <w:b/>
                <w:bCs/>
                <w:color w:val="1E6B3C"/>
                <w:sz w:val="18"/>
                <w:szCs w:val="18"/>
              </w:rPr>
              <w:t xml:space="preserve">Key Capability</w:t>
            </w:r>
          </w:p>
        </w:tc>
        <w:tc>
          <w:tcPr>
            <w:gridSpan w:val="1"/>
            <w:tcBorders>
              <w:top w:val="single" w:color="2E5FAD" w:sz="4"/>
              <w:left w:val="single" w:color="2E5FAD" w:sz="4"/>
              <w:bottom w:val="single" w:color="2E5FAD" w:sz="4"/>
              <w:right w:val="single" w:color="2E5FAD" w:sz="4"/>
            </w:tcBorders>
            <w:shd w:fill="D9EDDF" w:val="clear"/>
            <w:tcMar>
              <w:top w:type="dxa" w:w="80"/>
              <w:left w:type="dxa" w:w="120"/>
              <w:bottom w:type="dxa" w:w="80"/>
              <w:right w:type="dxa" w:w="120"/>
            </w:tcMar>
          </w:tcPr>
          <w:p>
            <w:r>
              <w:rPr>
                <w:rFonts w:ascii="Arial" w:cs="Arial" w:eastAsia="Arial" w:hAnsi="Arial"/>
                <w:b/>
                <w:bCs/>
                <w:color w:val="1E6B3C"/>
                <w:sz w:val="18"/>
                <w:szCs w:val="18"/>
              </w:rPr>
              <w:t xml:space="preserve">Language Support</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Agent OS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Stateless policy engine; intercepts every action at invocation boundary</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&lt;0.1ms p99 latency; YAML / OPA Rego / Cedar rule formats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Python, TypeScript, Rust, Go, .NET</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Agent Mesh</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Cryptographic agent identity and inter-agent trust scoring</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DIDs + Ed25519 signatures; Inter-Agent Trust Protocol (IATP); trust score 0–1000</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Python, TypeScript, Rust, Go, .NET</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Agent Runtime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Execution containment via CPU-style privilege rings; saga orchestration; kill switch</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4-ring privilege model; compensating transaction sagas; emergency kill switch</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Python, TypeScript, Rust</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Agent SRE</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SRE discipline for agent meshes: SLOs, error budgets, circuit breakers, chaos engineering</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Quantitative SLO tracking; fault injection; circuit-breaker patterns for agents</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Python, TypeScript</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Agent Compliance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Automated regulatory classification mapping</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EU AI Act, HIPAA, SOC2 automated mapping; feeds BOSS Regulatory Impact dimension</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Python, TypeScript, Go</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Agent Marketplace</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Plugin and tool lifecycle with cryptographic signing</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Ed25519 manifest signing; attestation verification; revocation registry</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Python, TypeScript, Rust, Go, .NET</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Agent Lightning</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Reinforcement learning training governance and oversight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RL training boundaries; runaway optimization prevention; model lifecycle audit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Python</w:t>
            </w:r>
          </w:p>
        </w:tc>
      </w:tr>
    </w:tbl>
    <w:p>
      <w:pPr>
        <w:spacing w:after="80" w:before="0"/>
      </w:pPr>
    </w:p>
    <w:p>
      <w:pPr>
        <w:pStyle w:val="Heading2"/>
        <w:spacing w:after="140" w:before="280"/>
      </w:pPr>
      <w:r>
        <w:rPr>
          <w:rFonts w:ascii="Arial" w:cs="Arial" w:eastAsia="Arial" w:hAnsi="Arial"/>
          <w:b/>
          <w:bCs/>
          <w:color w:val="1F3864"/>
          <w:sz w:val="26"/>
          <w:szCs w:val="26"/>
        </w:rPr>
        <w:t xml:space="preserve">2.3 What AGT Does NOT Provide</w:t>
      </w:r>
    </w:p>
    <w:p>
      <w:pPr>
        <w:spacing w:after="120" w:before="80"/>
        <w:jc w:val="both"/>
      </w:pPr>
      <w:r>
        <w:rPr>
          <w:rFonts w:ascii="Arial" w:cs="Arial" w:eastAsia="Arial" w:hAnsi="Arial"/>
          <w:b w:val="false"/>
          <w:bCs w:val="false"/>
          <w:i w:val="false"/>
          <w:iCs w:val="false"/>
          <w:color w:val="1A1A1A"/>
          <w:sz w:val="20"/>
          <w:szCs w:val="20"/>
        </w:rPr>
        <w:t xml:space="preserve">The following capabilities are essential to ADAM and are explicitly absent from AGT. These are the sovereign architectural components that remain ADAM’s intellectual property regardless of which runtime implementation is used: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80"/>
        <w:gridCol w:w="3180"/>
      </w:tblGrid>
      <w:tr>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ADAM Capability</w:t>
            </w:r>
          </w:p>
        </w:tc>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Description</w:t>
            </w:r>
          </w:p>
        </w:tc>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Status in AGT</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CORE Engine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Executable organizational culture, strategy, objectives, rules, and expectations encoded as a queryable knowledge graph</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Absent. AGT enforces policies; ADAM writes them.</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BOSS Score</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7-dimension risk scoring (0–100) across Sovereignty, Security, Financial, Regulatory, Reputational, Rights, and Doctrinal dimensions with SOAP-to-OHSHAT escalation tiers</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Absent. AGT has compliance mapping; BOSS is multi-dimensional consequence scoring.</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Exception Economy</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Economic model for exceptions: autonomy budgets, non-idempotent penalties, 15% tolerance windows, director escalation triggers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Absent. AGT has kill switches; ADAM has an economic escalation model.</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5-Director Constitution</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Human governance model: CEO, CFO, Legal Director, Market Director, CISO defining intent, constraints, and risk tolerance</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Absent. AGT is not a governance model.</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81+ Agent Mesh Topology</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Complete enterprise agent topology across 5 layers with named agents, authority flows, and domain boundaries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Absent. AGT provides identity and communication; ADAM defines the topology.</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Flight Recorder</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Hash-chained, tamper-evident, cryptographically signed forensic evidence with 7-year WORM retention</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Absent. AGT has observability hooks; ADAM has constitutional evidence.</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Cryptographic Auth Vault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Privacy-preserving vault for high-risk authorization with smart-contract delegation and zero-knowledge proofs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Absent. AGT signs manifests; ADAM manages delegation authority.</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Sovereignty Architecture</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Jurisdictional data control, SEAL alignment, multi-cloud sovereignty by design</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Absent. AGT is cloud-agnostic; ADAM is sovereignty-first.</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Digital Twin Control Plane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Enterprise self-model, economic twin, risk prediction twin, and AI creativity twin for autonomous self-governance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Absent. AGT has no enterprise self-modeling capability.</w:t>
            </w:r>
          </w:p>
        </w:tc>
      </w:tr>
    </w:tbl>
    <w:p>
      <w:pPr>
        <w:spacing w:after="80" w:before="0"/>
      </w:pPr>
    </w:p>
    <w:p>
      <w:r>
        <w:br w:type="page"/>
      </w:r>
    </w:p>
    <w:p>
      <w:pPr>
        <w:pStyle w:val="Heading1"/>
        <w:spacing w:after="140" w:before="280"/>
      </w:pPr>
      <w:r>
        <w:rPr>
          <w:rFonts w:ascii="Arial" w:cs="Arial" w:eastAsia="Arial" w:hAnsi="Arial"/>
          <w:b/>
          <w:bCs/>
          <w:color w:val="1F3864"/>
          <w:sz w:val="32"/>
          <w:szCs w:val="32"/>
        </w:rPr>
        <w:t xml:space="preserve">Part 3 — ADAM Runtime Governance Interface (RGI)</w:t>
      </w:r>
    </w:p>
    <w:p>
      <w:pPr>
        <w:spacing w:after="120" w:before="80"/>
        <w:jc w:val="both"/>
      </w:pPr>
      <w:r>
        <w:rPr>
          <w:rFonts w:ascii="Arial" w:cs="Arial" w:eastAsia="Arial" w:hAnsi="Arial"/>
          <w:b w:val="false"/>
          <w:bCs w:val="false"/>
          <w:i w:val="false"/>
          <w:iCs w:val="false"/>
          <w:color w:val="1A1A1A"/>
          <w:sz w:val="20"/>
          <w:szCs w:val="20"/>
        </w:rPr>
        <w:t xml:space="preserve">The ADAM Runtime Governance Interface (RGI) is the abstract contract that any runtime enforcement framework must satisfy to be considered compatible with ADAM’s architecture. AGT satisfies this interface. LangGraph with custom guardrails can satisfy it. A proprietary enterprise toolkit built to specification can satisfy it.</w:t>
      </w:r>
    </w:p>
    <w:p>
      <w:pPr>
        <w:spacing w:after="120" w:before="80"/>
        <w:jc w:val="both"/>
      </w:pPr>
      <w:r>
        <w:rPr>
          <w:rFonts w:ascii="Arial" w:cs="Arial" w:eastAsia="Arial" w:hAnsi="Arial"/>
          <w:b w:val="false"/>
          <w:bCs w:val="false"/>
          <w:i w:val="false"/>
          <w:iCs w:val="false"/>
          <w:color w:val="1A1A1A"/>
          <w:sz w:val="20"/>
          <w:szCs w:val="20"/>
        </w:rPr>
        <w:t xml:space="preserve">Externalising the interface from the implementation is the architectural decision that keeps ADAM future-proof. If AGT is deprecated, acquired, or superseded by a better toolkit, the RGI does not change. The CORE Engine, BOSS Score, and 5-Director Constitution do not change. Only the binding layer is replaced.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D" w:sz="4"/>
              <w:left w:val="single" w:color="2E5FAD" w:sz="4"/>
              <w:bottom w:val="single" w:color="2E5FAD" w:sz="4"/>
              <w:right w:val="single" w:color="2E5FAD" w:sz="4"/>
            </w:tcBorders>
            <w:shd w:fill="D5E8F0" w:val="clear"/>
            <w:tcMar>
              <w:top w:type="dxa" w:w="120"/>
              <w:left w:type="dxa" w:w="180"/>
              <w:bottom w:type="dxa" w:w="120"/>
              <w:right w:type="dxa" w:w="180"/>
            </w:tcMar>
          </w:tcPr>
          <w:p>
            <w:pPr>
              <w:spacing w:after="60" w:before="0"/>
            </w:pPr>
            <w:r>
              <w:rPr>
                <w:rFonts w:ascii="Arial" w:cs="Arial" w:eastAsia="Arial" w:hAnsi="Arial"/>
                <w:b/>
                <w:bCs/>
                <w:color w:val="1F3864"/>
                <w:sz w:val="20"/>
                <w:szCs w:val="20"/>
              </w:rPr>
              <w:t xml:space="preserve">The Modularity Principle</w:t>
            </w:r>
          </w:p>
          <w:p>
            <w:pPr>
              <w:spacing w:after="0" w:before="0"/>
              <w:jc w:val="both"/>
            </w:pPr>
            <w:r>
              <w:rPr>
                <w:rFonts w:ascii="Arial" w:cs="Arial" w:eastAsia="Arial" w:hAnsi="Arial"/>
                <w:color w:val="1A1A1A"/>
                <w:sz w:val="20"/>
                <w:szCs w:val="20"/>
              </w:rPr>
              <w:t xml:space="preserve">ADAM treats its runtime implementation exactly as it treats LangGraph for agent orchestration: the current best-of-breed option, explicitly positioned as swappable. An organization that prefers CrewAI, a proprietary in-house toolkit, or a future framework not yet released can substitute any compliant implementation without rewriting ADAM’s doctrine, scoring methodology, or governance model. The interface is ADAM’s. The implementation is a plugin.</w:t>
            </w:r>
          </w:p>
        </w:tc>
      </w:tr>
    </w:tbl>
    <w:p>
      <w:pPr>
        <w:spacing w:after="80" w:before="0"/>
      </w:pPr>
    </w:p>
    <w:p>
      <w:pPr>
        <w:pStyle w:val="Heading2"/>
        <w:spacing w:after="140" w:before="280"/>
      </w:pPr>
      <w:r>
        <w:rPr>
          <w:rFonts w:ascii="Arial" w:cs="Arial" w:eastAsia="Arial" w:hAnsi="Arial"/>
          <w:b/>
          <w:bCs/>
          <w:color w:val="1F3864"/>
          <w:sz w:val="26"/>
          <w:szCs w:val="26"/>
        </w:rPr>
        <w:t xml:space="preserve">3.1 RGI Capability Specification</w:t>
      </w:r>
    </w:p>
    <w:p>
      <w:pPr>
        <w:spacing w:after="120" w:before="80"/>
        <w:jc w:val="both"/>
      </w:pPr>
      <w:r>
        <w:rPr>
          <w:rFonts w:ascii="Arial" w:cs="Arial" w:eastAsia="Arial" w:hAnsi="Arial"/>
          <w:b w:val="false"/>
          <w:bCs w:val="false"/>
          <w:i w:val="false"/>
          <w:iCs w:val="false"/>
          <w:color w:val="1A1A1A"/>
          <w:sz w:val="20"/>
          <w:szCs w:val="20"/>
        </w:rPr>
        <w:t xml:space="preserve">The following table defines the five capability domains of the ADAM Runtime Governance Interface. Any compliant runtime implementation must satisfy all five. Partial compliance must be documented and compensated through alternative controls.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2600"/>
        <w:gridCol w:w="2500"/>
        <w:gridCol w:w="2500"/>
      </w:tblGrid>
      <w:tr>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RGI Domain</w:t>
            </w:r>
          </w:p>
        </w:tc>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Required Capability</w:t>
            </w:r>
          </w:p>
        </w:tc>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AGT Implementation</w:t>
            </w:r>
          </w:p>
        </w:tc>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Alternative Approaches</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RGI-01: Policy Enforcement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Intercept every agent action at invocation boundary; evaluate against active policies; permit, deny, or escalate in &lt;0.1ms p99</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OS (YAML/Rego/Cedar); satisfies RGI-01 natively</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OPA Gatekeeper sidecar; custom FastAPI middleware; Envoy ext_authz</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RGI-02: Agent Identity</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Issue and verify non-forgeable cryptographic identity for every agent; support mTLS between agents; revoke compromised identities</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Mesh (DIDs + Ed25519 + IATP); satisfies RGI-02 natively</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SPIFFE/SPIRE; Istio mTLS; custom PKI with certificate rotation</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RGI-03: Execution Containment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Enforce privilege boundaries on agent execution; prevent lateral movement; support emergency shutdown</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Runtime (execution rings + kill switch); satisfies RGI-03 natively</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Kubernetes RBAC + PodSecurityAdmission; OPA Gatekeeper; custom capability restriction</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RGI-04: Telemetry Emission</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Emit structured audit events to Flight Recorder for every action evaluation; include BOSS Score inputs; OpenTelemetry-compatible</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SRE + Agent OS telemetry; requires ADAM Flight Recorder adapter</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OpenTelemetry SDK direct; custom event bus adapter; Azure Monitor integration</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RGI-05: Tool/Plugin Governance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Verify integrity of all external tools and plugins before agent invocation; maintain signed manifest registry; support revocation</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Marketplace (Ed25519 signing + attestation); satisfies RGI-05 natively</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Sigstore/cosign for tool signing; custom manifest registry; in-house attestation service</w:t>
            </w:r>
          </w:p>
        </w:tc>
      </w:tr>
    </w:tbl>
    <w:p>
      <w:pPr>
        <w:spacing w:after="80" w:before="0"/>
      </w:pPr>
    </w:p>
    <w:p>
      <w:pPr>
        <w:pStyle w:val="Heading2"/>
        <w:spacing w:after="140" w:before="280"/>
      </w:pPr>
      <w:r>
        <w:rPr>
          <w:rFonts w:ascii="Arial" w:cs="Arial" w:eastAsia="Arial" w:hAnsi="Arial"/>
          <w:b/>
          <w:bCs/>
          <w:color w:val="1F3864"/>
          <w:sz w:val="26"/>
          <w:szCs w:val="26"/>
        </w:rPr>
        <w:t xml:space="preserve">3.2 Substituting AGT: Framework Selection Guidance</w:t>
      </w:r>
    </w:p>
    <w:p>
      <w:pPr>
        <w:spacing w:after="120" w:before="80"/>
        <w:jc w:val="both"/>
      </w:pPr>
      <w:r>
        <w:rPr>
          <w:rFonts w:ascii="Arial" w:cs="Arial" w:eastAsia="Arial" w:hAnsi="Arial"/>
          <w:b w:val="false"/>
          <w:bCs w:val="false"/>
          <w:i w:val="false"/>
          <w:iCs w:val="false"/>
          <w:color w:val="1A1A1A"/>
          <w:sz w:val="20"/>
          <w:szCs w:val="20"/>
        </w:rPr>
        <w:t xml:space="preserve">Organizations that choose not to use AGT — or that operate in environments where AGT’s licensing, language support, or architecture is not suitable — may implement the Runtime Governance Interface using alternative approaches. The following guidance applies:</w:t>
      </w:r>
    </w:p>
    <w:p>
      <w:pPr>
        <w:pStyle w:val="ListParagraph"/>
        <w:numPr>
          <w:ilvl w:val="0"/>
          <w:numId w:val="2"/>
        </w:numPr>
        <w:spacing w:after="60" w:before="40"/>
      </w:pPr>
      <w:r>
        <w:rPr>
          <w:rFonts w:ascii="Arial" w:cs="Arial" w:eastAsia="Arial" w:hAnsi="Arial"/>
          <w:b w:val="false"/>
          <w:bCs w:val="false"/>
          <w:color w:val="1A1A1A"/>
          <w:sz w:val="20"/>
          <w:szCs w:val="20"/>
        </w:rPr>
        <w:t xml:space="preserve">RGI compliance is binary: a runtime either satisfies all five domains or it does not. Partial compliance must be documented as a risk acceptance in the BOSS Security Impact dimension, with compensating controls logged to the Flight Recorder.</w:t>
      </w:r>
    </w:p>
    <w:p>
      <w:pPr>
        <w:pStyle w:val="ListParagraph"/>
        <w:numPr>
          <w:ilvl w:val="0"/>
          <w:numId w:val="2"/>
        </w:numPr>
        <w:spacing w:after="60" w:before="40"/>
      </w:pPr>
      <w:r>
        <w:rPr>
          <w:rFonts w:ascii="Arial" w:cs="Arial" w:eastAsia="Arial" w:hAnsi="Arial"/>
          <w:b w:val="false"/>
          <w:bCs w:val="false"/>
          <w:color w:val="1A1A1A"/>
          <w:sz w:val="20"/>
          <w:szCs w:val="20"/>
        </w:rPr>
        <w:t xml:space="preserve">No runtime substitution requires changes to ADAM doctrine. The CORE Engine, BOSS Score, 5-Director Constitution, and 81+ Agent Mesh topology are independent of runtime choice.</w:t>
      </w:r>
    </w:p>
    <w:p>
      <w:pPr>
        <w:pStyle w:val="ListParagraph"/>
        <w:numPr>
          <w:ilvl w:val="0"/>
          <w:numId w:val="2"/>
        </w:numPr>
        <w:spacing w:after="60" w:before="40"/>
      </w:pPr>
      <w:r>
        <w:rPr>
          <w:rFonts w:ascii="Arial" w:cs="Arial" w:eastAsia="Arial" w:hAnsi="Arial"/>
          <w:b w:val="false"/>
          <w:bCs w:val="false"/>
          <w:color w:val="1A1A1A"/>
          <w:sz w:val="20"/>
          <w:szCs w:val="20"/>
        </w:rPr>
        <w:t xml:space="preserve">Alternative runtimes must produce OpenTelemetry-compatible telemetry and support the Flight Recorder event schema defined in this plugin’s companion deployment specification.</w:t>
      </w:r>
    </w:p>
    <w:p>
      <w:pPr>
        <w:pStyle w:val="ListParagraph"/>
        <w:numPr>
          <w:ilvl w:val="0"/>
          <w:numId w:val="2"/>
        </w:numPr>
        <w:spacing w:after="60" w:before="40"/>
      </w:pPr>
      <w:r>
        <w:rPr>
          <w:rFonts w:ascii="Arial" w:cs="Arial" w:eastAsia="Arial" w:hAnsi="Arial"/>
          <w:b w:val="false"/>
          <w:bCs w:val="false"/>
          <w:color w:val="1A1A1A"/>
          <w:sz w:val="20"/>
          <w:szCs w:val="20"/>
        </w:rPr>
        <w:t xml:space="preserve">Organizations using Microsoft’s Azure AI stack will find AGT the lowest-friction choice. Organizations with existing SPIFFE/SPIRE, Istio, or OPA deployments may prefer to extend those rather than introduce AGT.</w:t>
      </w:r>
    </w:p>
    <w:p>
      <w:pPr>
        <w:pStyle w:val="ListParagraph"/>
        <w:numPr>
          <w:ilvl w:val="0"/>
          <w:numId w:val="2"/>
        </w:numPr>
        <w:spacing w:after="60" w:before="40"/>
      </w:pPr>
      <w:r>
        <w:rPr>
          <w:rFonts w:ascii="Arial" w:cs="Arial" w:eastAsia="Arial" w:hAnsi="Arial"/>
          <w:b w:val="false"/>
          <w:bCs w:val="false"/>
          <w:color w:val="1A1A1A"/>
          <w:sz w:val="20"/>
          <w:szCs w:val="20"/>
        </w:rPr>
        <w:t xml:space="preserve">ADAM’s DNA Questionnaire includes runtime tooling preference questions. The DNA Deployment Tool generates appropriate infrastructure for both AGT and non-AGT configurations.</w:t>
      </w:r>
    </w:p>
    <w:p>
      <w:pPr>
        <w:spacing w:after="80" w:before="0"/>
      </w:pPr>
    </w:p>
    <w:p>
      <w:r>
        <w:br w:type="page"/>
      </w:r>
    </w:p>
    <w:p>
      <w:pPr>
        <w:pStyle w:val="Heading1"/>
        <w:spacing w:after="140" w:before="280"/>
      </w:pPr>
      <w:r>
        <w:rPr>
          <w:rFonts w:ascii="Arial" w:cs="Arial" w:eastAsia="Arial" w:hAnsi="Arial"/>
          <w:b/>
          <w:bCs/>
          <w:color w:val="1F3864"/>
          <w:sz w:val="32"/>
          <w:szCs w:val="32"/>
        </w:rPr>
        <w:t xml:space="preserve">Part 4 — AGT-to-ADAM Architecture Mapping</w:t>
      </w:r>
    </w:p>
    <w:p>
      <w:pPr>
        <w:spacing w:after="120" w:before="80"/>
        <w:jc w:val="both"/>
      </w:pPr>
      <w:r>
        <w:rPr>
          <w:rFonts w:ascii="Arial" w:cs="Arial" w:eastAsia="Arial" w:hAnsi="Arial"/>
          <w:b w:val="false"/>
          <w:bCs w:val="false"/>
          <w:i w:val="false"/>
          <w:iCs w:val="false"/>
          <w:color w:val="1A1A1A"/>
          <w:sz w:val="20"/>
          <w:szCs w:val="20"/>
        </w:rPr>
        <w:t xml:space="preserve">This section formally maps each AGT package to ADAM’s eight blueprint layers and the 81+ Agent Mesh. The mapping establishes where AGT reinforces ADAM’s existing architecture, where it fills documented gaps, and where ADAM extends beyond AGT’s scope.</w:t>
      </w:r>
    </w:p>
    <w:p>
      <w:pPr>
        <w:spacing w:after="120" w:before="80"/>
        <w:jc w:val="both"/>
      </w:pPr>
      <w:r>
        <w:rPr>
          <w:rFonts w:ascii="Arial" w:cs="Arial" w:eastAsia="Arial" w:hAnsi="Arial"/>
          <w:b w:val="false"/>
          <w:bCs w:val="false"/>
          <w:i w:val="false"/>
          <w:iCs w:val="false"/>
          <w:color w:val="1A1A1A"/>
          <w:sz w:val="20"/>
          <w:szCs w:val="20"/>
        </w:rPr>
        <w:t xml:space="preserve">The mapping is deliberately asymmetric: not every AGT package maps to a single ADAM layer, and not every ADAM layer has an AGT implementation. This asymmetry is correct and expected. ADAM is a complete enterprise governance architecture. AGT is a runtime security toolkit. They are complementary, not equivalent.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1760"/>
        <w:gridCol w:w="1800"/>
      </w:tblGrid>
      <w:tr>
        <w:tc>
          <w:tcPr>
            <w:gridSpan w:val="1"/>
            <w:tcBorders>
              <w:top w:val="single" w:color="2E5FAD" w:sz="4"/>
              <w:left w:val="single" w:color="2E5FAD" w:sz="4"/>
              <w:bottom w:val="single" w:color="2E5FAD" w:sz="4"/>
              <w:right w:val="single" w:color="2E5FAD" w:sz="4"/>
            </w:tcBorders>
            <w:shd w:fill="D9EDDF" w:val="clear"/>
            <w:tcMar>
              <w:top w:type="dxa" w:w="80"/>
              <w:left w:type="dxa" w:w="120"/>
              <w:bottom w:type="dxa" w:w="80"/>
              <w:right w:type="dxa" w:w="120"/>
            </w:tcMar>
          </w:tcPr>
          <w:p>
            <w:r>
              <w:rPr>
                <w:rFonts w:ascii="Arial" w:cs="Arial" w:eastAsia="Arial" w:hAnsi="Arial"/>
                <w:b/>
                <w:bCs/>
                <w:color w:val="1E6B3C"/>
                <w:sz w:val="18"/>
                <w:szCs w:val="18"/>
              </w:rPr>
              <w:t xml:space="preserve">AGT Package</w:t>
            </w:r>
          </w:p>
        </w:tc>
        <w:tc>
          <w:tcPr>
            <w:gridSpan w:val="1"/>
            <w:tcBorders>
              <w:top w:val="single" w:color="2E5FAD" w:sz="4"/>
              <w:left w:val="single" w:color="2E5FAD" w:sz="4"/>
              <w:bottom w:val="single" w:color="2E5FAD" w:sz="4"/>
              <w:right w:val="single" w:color="2E5FAD" w:sz="4"/>
            </w:tcBorders>
            <w:shd w:fill="D9EDDF" w:val="clear"/>
            <w:tcMar>
              <w:top w:type="dxa" w:w="80"/>
              <w:left w:type="dxa" w:w="120"/>
              <w:bottom w:type="dxa" w:w="80"/>
              <w:right w:type="dxa" w:w="120"/>
            </w:tcMar>
          </w:tcPr>
          <w:p>
            <w:r>
              <w:rPr>
                <w:rFonts w:ascii="Arial" w:cs="Arial" w:eastAsia="Arial" w:hAnsi="Arial"/>
                <w:b/>
                <w:bCs/>
                <w:color w:val="1E6B3C"/>
                <w:sz w:val="18"/>
                <w:szCs w:val="18"/>
              </w:rPr>
              <w:t xml:space="preserve">ADAM Blueprint Layer</w:t>
            </w:r>
          </w:p>
        </w:tc>
        <w:tc>
          <w:tcPr>
            <w:gridSpan w:val="1"/>
            <w:tcBorders>
              <w:top w:val="single" w:color="2E5FAD" w:sz="4"/>
              <w:left w:val="single" w:color="2E5FAD" w:sz="4"/>
              <w:bottom w:val="single" w:color="2E5FAD" w:sz="4"/>
              <w:right w:val="single" w:color="2E5FAD" w:sz="4"/>
            </w:tcBorders>
            <w:shd w:fill="D9EDDF" w:val="clear"/>
            <w:tcMar>
              <w:top w:type="dxa" w:w="80"/>
              <w:left w:type="dxa" w:w="120"/>
              <w:bottom w:type="dxa" w:w="80"/>
              <w:right w:type="dxa" w:w="120"/>
            </w:tcMar>
          </w:tcPr>
          <w:p>
            <w:r>
              <w:rPr>
                <w:rFonts w:ascii="Arial" w:cs="Arial" w:eastAsia="Arial" w:hAnsi="Arial"/>
                <w:b/>
                <w:bCs/>
                <w:color w:val="1E6B3C"/>
                <w:sz w:val="18"/>
                <w:szCs w:val="18"/>
              </w:rPr>
              <w:t xml:space="preserve">ADAM Agents Served</w:t>
            </w:r>
          </w:p>
        </w:tc>
        <w:tc>
          <w:tcPr>
            <w:gridSpan w:val="1"/>
            <w:tcBorders>
              <w:top w:val="single" w:color="2E5FAD" w:sz="4"/>
              <w:left w:val="single" w:color="2E5FAD" w:sz="4"/>
              <w:bottom w:val="single" w:color="2E5FAD" w:sz="4"/>
              <w:right w:val="single" w:color="2E5FAD" w:sz="4"/>
            </w:tcBorders>
            <w:shd w:fill="D9EDDF" w:val="clear"/>
            <w:tcMar>
              <w:top w:type="dxa" w:w="80"/>
              <w:left w:type="dxa" w:w="120"/>
              <w:bottom w:type="dxa" w:w="80"/>
              <w:right w:type="dxa" w:w="120"/>
            </w:tcMar>
          </w:tcPr>
          <w:p>
            <w:r>
              <w:rPr>
                <w:rFonts w:ascii="Arial" w:cs="Arial" w:eastAsia="Arial" w:hAnsi="Arial"/>
                <w:b/>
                <w:bCs/>
                <w:color w:val="1E6B3C"/>
                <w:sz w:val="18"/>
                <w:szCs w:val="18"/>
              </w:rPr>
              <w:t xml:space="preserve">RGI Domain Satisfied</w:t>
            </w:r>
          </w:p>
        </w:tc>
        <w:tc>
          <w:tcPr>
            <w:gridSpan w:val="1"/>
            <w:tcBorders>
              <w:top w:val="single" w:color="2E5FAD" w:sz="4"/>
              <w:left w:val="single" w:color="2E5FAD" w:sz="4"/>
              <w:bottom w:val="single" w:color="2E5FAD" w:sz="4"/>
              <w:right w:val="single" w:color="2E5FAD" w:sz="4"/>
            </w:tcBorders>
            <w:shd w:fill="D9EDDF" w:val="clear"/>
            <w:tcMar>
              <w:top w:type="dxa" w:w="80"/>
              <w:left w:type="dxa" w:w="120"/>
              <w:bottom w:type="dxa" w:w="80"/>
              <w:right w:type="dxa" w:w="120"/>
            </w:tcMar>
          </w:tcPr>
          <w:p>
            <w:r>
              <w:rPr>
                <w:rFonts w:ascii="Arial" w:cs="Arial" w:eastAsia="Arial" w:hAnsi="Arial"/>
                <w:b/>
                <w:bCs/>
                <w:color w:val="1E6B3C"/>
                <w:sz w:val="18"/>
                <w:szCs w:val="18"/>
              </w:rPr>
              <w:t xml:space="preserve">What AGT Adds</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E6B3C"/>
                <w:sz w:val="18"/>
                <w:szCs w:val="18"/>
              </w:rPr>
              <w:t xml:space="preserve">Agent OS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Policy &amp; Risk Plane + Policy Enforcement Orchestrator</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Security &amp; Trust Work Group; Compliance Enforcement Agent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RGI-01</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Sub-ms deterministic policy eval; Rego/Cedar/YAML; invocation boundary enforcement</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E6B3C"/>
                <w:sz w:val="18"/>
                <w:szCs w:val="18"/>
              </w:rPr>
              <w:t xml:space="preserve">Agent Mesh</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Security &amp; Trust Plane + A2A Protocol layer</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All agents using A2A communication; Governor Agents</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RGI-02</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DIDs + Ed25519 identity; IATP trust protocol; 0–1000 agent trust score</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E6B3C"/>
                <w:sz w:val="18"/>
                <w:szCs w:val="18"/>
              </w:rPr>
              <w:t xml:space="preserve">Agent Runtime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Mesh &amp; Orchestration Fabric + Containerised Bounded Authority</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Orchestration Plane (4 agents); all Work Group agents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RGI-03</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Execution rings (CPU privilege model); saga compensating transactions; kill switch</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E6B3C"/>
                <w:sz w:val="18"/>
                <w:szCs w:val="18"/>
              </w:rPr>
              <w:t xml:space="preserve">Agent SRE</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Stability &amp; Drift Plane + Operational Continuity Agent</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Operational Continuity Agent; Autonomy Stability Agent</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RGI-04 (partial)</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SLOs; error budgets; circuit breakers; chaos engineering for agent meshes</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E6B3C"/>
                <w:sz w:val="18"/>
                <w:szCs w:val="18"/>
              </w:rPr>
              <w:t xml:space="preserve">Agent Compliance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Policy &amp; Risk Plane + BOSS Regulatory Impact dimension</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Legal &amp; Compliance Governor Agent; Self-Audit Agent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RGI-04 (partial)</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Automated EU AI Act, HIPAA, SOC2 classification; feeds BOSS Regulatory Impact scoring</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E6B3C"/>
                <w:sz w:val="18"/>
                <w:szCs w:val="18"/>
              </w:rPr>
              <w:t xml:space="preserve">Agent Marketplace</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Interoperability Plane + Cryptographic Authorization Vault</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MCP Gateway Agent; Cryptographic Authorization Vault</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RGI-05</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Ed25519 manifest signing; attestation verification; revocation for external tools and plugins</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E6B3C"/>
                <w:sz w:val="18"/>
                <w:szCs w:val="18"/>
              </w:rPr>
              <w:t xml:space="preserve">Agent Lightning</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Stability &amp; Drift Plane + Autonomous Innovation Engine (Part XII)</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Model Lifecycle Management Agent; AI Creativity Twin</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None (supplementary)</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RL training governance; runaway optimization prevention; model lifecycle evidence</w:t>
            </w:r>
          </w:p>
        </w:tc>
      </w:tr>
    </w:tbl>
    <w:p>
      <w:pPr>
        <w:spacing w:after="80" w:before="0"/>
      </w:pPr>
    </w:p>
    <w:p>
      <w:pPr>
        <w:spacing w:after="80" w:before="0"/>
      </w:pPr>
    </w:p>
    <w:p>
      <w:pPr>
        <w:pStyle w:val="Heading2"/>
        <w:spacing w:after="140" w:before="280"/>
      </w:pPr>
      <w:r>
        <w:rPr>
          <w:rFonts w:ascii="Arial" w:cs="Arial" w:eastAsia="Arial" w:hAnsi="Arial"/>
          <w:b/>
          <w:bCs/>
          <w:color w:val="1F3864"/>
          <w:sz w:val="26"/>
          <w:szCs w:val="26"/>
        </w:rPr>
        <w:t xml:space="preserve">4.1 Security &amp; Trust Plane Reinforcement</w:t>
      </w:r>
    </w:p>
    <w:p>
      <w:pPr>
        <w:spacing w:after="120" w:before="80"/>
        <w:jc w:val="both"/>
      </w:pPr>
      <w:r>
        <w:rPr>
          <w:rFonts w:ascii="Arial" w:cs="Arial" w:eastAsia="Arial" w:hAnsi="Arial"/>
          <w:b w:val="false"/>
          <w:bCs w:val="false"/>
          <w:i w:val="false"/>
          <w:iCs w:val="false"/>
          <w:color w:val="1A1A1A"/>
          <w:sz w:val="20"/>
          <w:szCs w:val="20"/>
        </w:rPr>
        <w:t xml:space="preserve">ADAM’s Security &amp; Trust Plane (Part IV.4 of the main book) requires verifiable identity, mTLS between agents, and trust that is continuously re-evaluated rather than assumed at authentication. AGT’s Agent Mesh package provides a production-grade implementation of these requirements.</w:t>
      </w:r>
    </w:p>
    <w:p>
      <w:pPr>
        <w:pStyle w:val="ListParagraph"/>
        <w:numPr>
          <w:ilvl w:val="0"/>
          <w:numId w:val="2"/>
        </w:numPr>
        <w:spacing w:after="60" w:before="40"/>
      </w:pPr>
      <w:r>
        <w:rPr>
          <w:rFonts w:ascii="Arial" w:cs="Arial" w:eastAsia="Arial" w:hAnsi="Arial"/>
          <w:b w:val="false"/>
          <w:bCs w:val="false"/>
          <w:color w:val="1A1A1A"/>
          <w:sz w:val="20"/>
          <w:szCs w:val="20"/>
        </w:rPr>
        <w:t xml:space="preserve">Decentralised Identifiers (DIDs): Every agent receives a DID-based identity, non-guessable and cryptographically bound to Ed25519 key material. In ADAM’s 81+ Agent Mesh, this means every one of the named agents carries a verifiable identity that cannot be spoofed by a compromised agent impersonating a Governor Agent.</w:t>
      </w:r>
    </w:p>
    <w:p>
      <w:pPr>
        <w:pStyle w:val="ListParagraph"/>
        <w:numPr>
          <w:ilvl w:val="0"/>
          <w:numId w:val="2"/>
        </w:numPr>
        <w:spacing w:after="60" w:before="40"/>
      </w:pPr>
      <w:r>
        <w:rPr>
          <w:rFonts w:ascii="Arial" w:cs="Arial" w:eastAsia="Arial" w:hAnsi="Arial"/>
          <w:b w:val="false"/>
          <w:bCs w:val="false"/>
          <w:color w:val="1A1A1A"/>
          <w:sz w:val="20"/>
          <w:szCs w:val="20"/>
        </w:rPr>
        <w:t xml:space="preserve">Inter-Agent Trust Protocol (IATP): Agent Mesh’s trust scoring (0–1000, refreshed per interaction) provides the continuous trust re-evaluation ADAM’s Security &amp; Trust Plane specifies. An agent whose score drops below threshold is treated as untrusted, regardless of its static identity.</w:t>
      </w:r>
    </w:p>
    <w:p>
      <w:pPr>
        <w:pStyle w:val="ListParagraph"/>
        <w:numPr>
          <w:ilvl w:val="0"/>
          <w:numId w:val="2"/>
        </w:numPr>
        <w:spacing w:after="60" w:before="40"/>
      </w:pPr>
      <w:r>
        <w:rPr>
          <w:rFonts w:ascii="Arial" w:cs="Arial" w:eastAsia="Arial" w:hAnsi="Arial"/>
          <w:b w:val="false"/>
          <w:bCs w:val="false"/>
          <w:color w:val="1A1A1A"/>
          <w:sz w:val="20"/>
          <w:szCs w:val="20"/>
        </w:rPr>
        <w:t xml:space="preserve">Two-Dimensional Trust Model: AGT’s agent trust score (0–1000) measures agent trustworthiness. ADAM’s BOSS Score (0–100) measures action risk. Together they create complementary coverage: is this agent trustworthy? And is this action safe? Both conditions must be met for autonomous execution without escalation.</w:t>
      </w:r>
    </w:p>
    <w:p>
      <w:pPr>
        <w:spacing w:after="80" w:before="0"/>
      </w:pPr>
    </w:p>
    <w:p>
      <w:pPr>
        <w:pStyle w:val="Heading2"/>
        <w:spacing w:after="140" w:before="280"/>
      </w:pPr>
      <w:r>
        <w:rPr>
          <w:rFonts w:ascii="Arial" w:cs="Arial" w:eastAsia="Arial" w:hAnsi="Arial"/>
          <w:b/>
          <w:bCs/>
          <w:color w:val="1F3864"/>
          <w:sz w:val="26"/>
          <w:szCs w:val="26"/>
        </w:rPr>
        <w:t xml:space="preserve">4.2 Execution Rings and Bounded Authority</w:t>
      </w:r>
    </w:p>
    <w:p>
      <w:pPr>
        <w:spacing w:after="120" w:before="80"/>
        <w:jc w:val="both"/>
      </w:pPr>
      <w:r>
        <w:rPr>
          <w:rFonts w:ascii="Arial" w:cs="Arial" w:eastAsia="Arial" w:hAnsi="Arial"/>
          <w:b w:val="false"/>
          <w:bCs w:val="false"/>
          <w:i w:val="false"/>
          <w:iCs w:val="false"/>
          <w:color w:val="1A1A1A"/>
          <w:sz w:val="20"/>
          <w:szCs w:val="20"/>
        </w:rPr>
        <w:t xml:space="preserve">ADAM’s architecture specifies bounded authority containers: agents operate within defined authority scopes and cannot self-elevate. AGT’s Agent Runtime formalises this as execution rings, modelled on the CPU privilege ring model (Ring 0 = highest privilege, Ring 3 = lowest).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930"/>
        <w:gridCol w:w="2730"/>
      </w:tblGrid>
      <w:tr>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Ring</w:t>
            </w:r>
          </w:p>
        </w:tc>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ADAM Agent Class</w:t>
            </w:r>
          </w:p>
        </w:tc>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Authority Scope</w:t>
            </w:r>
          </w:p>
        </w:tc>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Escalation Condition</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Ring 0</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Meta-Governance Agents (3); Doctrine Root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Full doctrine write access; CORE Engine modification; policy publication</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Director Constitutional action only; OHSHAT tier</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Ring 1</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Governor Agents (5 domain governors)</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Domain-scoped doctrine enforcement; exception adjudication; escalation authority</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BOSS ELEVATED (31–50) or higher; Director review</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Ring 2</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Orchestration Agents (4); Work Group leads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Task orchestration; tool invocation within authorised tool list; no doctrine write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BOSS MODERATE (11–30); Governor Agent review</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Ring 3</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Work Group Agents (63+); Digital Twin Agents (4)</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Execution of assigned tasks within bounded tool set; read-only doctrine access</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BOSS SOAP (0–10); full autonomy within ring</w:t>
            </w:r>
          </w:p>
        </w:tc>
      </w:tr>
    </w:tbl>
    <w:p>
      <w:pPr>
        <w:spacing w:after="80" w:before="0"/>
      </w:pPr>
    </w:p>
    <w:p>
      <w:pPr>
        <w:spacing w:after="120" w:before="80"/>
        <w:jc w:val="both"/>
      </w:pPr>
      <w:r>
        <w:rPr>
          <w:rFonts w:ascii="Arial" w:cs="Arial" w:eastAsia="Arial" w:hAnsi="Arial"/>
          <w:b w:val="false"/>
          <w:bCs w:val="false"/>
          <w:i w:val="false"/>
          <w:iCs w:val="false"/>
          <w:color w:val="1A1A1A"/>
          <w:sz w:val="20"/>
          <w:szCs w:val="20"/>
        </w:rPr>
        <w:t xml:space="preserve">Cross-ring privilege escalation is blocked at the execution boundary by AGT Agent Runtime. An agent in Ring 3 cannot invoke Ring 1 capabilities regardless of runtime request. Escalation flows through ADAM’s defined escalation hierarchy via Intent Objects, not through direct ring traversal.</w:t>
      </w:r>
    </w:p>
    <w:p>
      <w:pPr>
        <w:spacing w:after="80" w:before="0"/>
      </w:pPr>
    </w:p>
    <w:p>
      <w:pPr>
        <w:pStyle w:val="Heading2"/>
        <w:spacing w:after="140" w:before="280"/>
      </w:pPr>
      <w:r>
        <w:rPr>
          <w:rFonts w:ascii="Arial" w:cs="Arial" w:eastAsia="Arial" w:hAnsi="Arial"/>
          <w:b/>
          <w:bCs/>
          <w:color w:val="1F3864"/>
          <w:sz w:val="26"/>
          <w:szCs w:val="26"/>
        </w:rPr>
        <w:t xml:space="preserve">4.3 Stability &amp; Drift Plane: Quantitative SRE Discipline</w:t>
      </w:r>
    </w:p>
    <w:p>
      <w:pPr>
        <w:spacing w:after="120" w:before="80"/>
        <w:jc w:val="both"/>
      </w:pPr>
      <w:r>
        <w:rPr>
          <w:rFonts w:ascii="Arial" w:cs="Arial" w:eastAsia="Arial" w:hAnsi="Arial"/>
          <w:b w:val="false"/>
          <w:bCs w:val="false"/>
          <w:i w:val="false"/>
          <w:iCs w:val="false"/>
          <w:color w:val="1A1A1A"/>
          <w:sz w:val="20"/>
          <w:szCs w:val="20"/>
        </w:rPr>
        <w:t xml:space="preserve">ADAM’s Stability &amp; Drift Plane (Part IV.5 of the main book) describes resilience engineering for autonomous agent meshes conceptually. AGT’s Agent SRE package provides the quantitative operational discipline this plane requires in production deployments.</w:t>
      </w:r>
    </w:p>
    <w:p>
      <w:pPr>
        <w:pStyle w:val="ListParagraph"/>
        <w:numPr>
          <w:ilvl w:val="0"/>
          <w:numId w:val="2"/>
        </w:numPr>
        <w:spacing w:after="60" w:before="40"/>
      </w:pPr>
      <w:r>
        <w:rPr>
          <w:rFonts w:ascii="Arial" w:cs="Arial" w:eastAsia="Arial" w:hAnsi="Arial"/>
          <w:b w:val="false"/>
          <w:bCs w:val="false"/>
          <w:color w:val="1A1A1A"/>
          <w:sz w:val="20"/>
          <w:szCs w:val="20"/>
        </w:rPr>
        <w:t xml:space="preserve">Service Level Objectives (SLOs): Define measurable reliability targets for agent execution (e.g., 99.5% intent completion within defined latency bounds). Breach of SLOs triggers Stability &amp; Drift Plane escalation via the Autonomy Stability Agent.</w:t>
      </w:r>
    </w:p>
    <w:p>
      <w:pPr>
        <w:pStyle w:val="ListParagraph"/>
        <w:numPr>
          <w:ilvl w:val="0"/>
          <w:numId w:val="2"/>
        </w:numPr>
        <w:spacing w:after="60" w:before="40"/>
      </w:pPr>
      <w:r>
        <w:rPr>
          <w:rFonts w:ascii="Arial" w:cs="Arial" w:eastAsia="Arial" w:hAnsi="Arial"/>
          <w:b w:val="false"/>
          <w:bCs w:val="false"/>
          <w:color w:val="1A1A1A"/>
          <w:sz w:val="20"/>
          <w:szCs w:val="20"/>
        </w:rPr>
        <w:t xml:space="preserve">Error Budgets: Track the cumulative deviation from SLO targets over a rolling window. When error budget is exhausted, the Operational Continuity Agent enforces autonomy constraint until the budget recovers, without requiring director intervention.</w:t>
      </w:r>
    </w:p>
    <w:p>
      <w:pPr>
        <w:pStyle w:val="ListParagraph"/>
        <w:numPr>
          <w:ilvl w:val="0"/>
          <w:numId w:val="2"/>
        </w:numPr>
        <w:spacing w:after="60" w:before="40"/>
      </w:pPr>
      <w:r>
        <w:rPr>
          <w:rFonts w:ascii="Arial" w:cs="Arial" w:eastAsia="Arial" w:hAnsi="Arial"/>
          <w:b w:val="false"/>
          <w:bCs w:val="false"/>
          <w:color w:val="1A1A1A"/>
          <w:sz w:val="20"/>
          <w:szCs w:val="20"/>
        </w:rPr>
        <w:t xml:space="preserve">Circuit Breakers: Prevent cascade failures across the 81+ Agent Mesh. When a downstream agent or service degrades, circuit breakers trip automatically, routing to fallback behavior while Recovery &amp; Rollback hooks execute.</w:t>
      </w:r>
    </w:p>
    <w:p>
      <w:pPr>
        <w:pStyle w:val="ListParagraph"/>
        <w:numPr>
          <w:ilvl w:val="0"/>
          <w:numId w:val="2"/>
        </w:numPr>
        <w:spacing w:after="60" w:before="40"/>
      </w:pPr>
      <w:r>
        <w:rPr>
          <w:rFonts w:ascii="Arial" w:cs="Arial" w:eastAsia="Arial" w:hAnsi="Arial"/>
          <w:b w:val="false"/>
          <w:bCs w:val="false"/>
          <w:color w:val="1A1A1A"/>
          <w:sz w:val="20"/>
          <w:szCs w:val="20"/>
        </w:rPr>
        <w:t xml:space="preserve">Chaos Engineering: Agent SRE supports controlled fault injection against agent mesh components to validate resilience design assumptions. Chaos experiments must be scheduled through the 5-Director Constitution and evidenced in the Flight Recorder.</w:t>
      </w:r>
    </w:p>
    <w:p>
      <w:pPr>
        <w:spacing w:after="80" w:before="0"/>
      </w:pPr>
    </w:p>
    <w:p>
      <w:pPr>
        <w:pStyle w:val="Heading2"/>
        <w:spacing w:after="140" w:before="280"/>
      </w:pPr>
      <w:r>
        <w:rPr>
          <w:rFonts w:ascii="Arial" w:cs="Arial" w:eastAsia="Arial" w:hAnsi="Arial"/>
          <w:b/>
          <w:bCs/>
          <w:color w:val="1F3864"/>
          <w:sz w:val="26"/>
          <w:szCs w:val="26"/>
        </w:rPr>
        <w:t xml:space="preserve">4.4 Agent Compliance and BOSS Regulatory Impact Dimension</w:t>
      </w:r>
    </w:p>
    <w:p>
      <w:pPr>
        <w:spacing w:after="120" w:before="80"/>
        <w:jc w:val="both"/>
      </w:pPr>
      <w:r>
        <w:rPr>
          <w:rFonts w:ascii="Arial" w:cs="Arial" w:eastAsia="Arial" w:hAnsi="Arial"/>
          <w:b w:val="false"/>
          <w:bCs w:val="false"/>
          <w:i w:val="false"/>
          <w:iCs w:val="false"/>
          <w:color w:val="1A1A1A"/>
          <w:sz w:val="20"/>
          <w:szCs w:val="20"/>
        </w:rPr>
        <w:t xml:space="preserve">The BOSS Score v3.2’s Regulatory Impact dimension (weight 3.0, Priority Tier: High; tied to EU AI Act + CMMC + NIST frameworks) currently requires human-in-the-loop assessment for many regulatory classifications. AGT’s Agent Compliance package provides automated regulatory classification that can feed this dimension with machine-generated inputs.</w:t>
      </w:r>
    </w:p>
    <w:p>
      <w:pPr>
        <w:spacing w:after="120" w:before="80"/>
        <w:jc w:val="both"/>
      </w:pPr>
      <w:r>
        <w:rPr>
          <w:rFonts w:ascii="Arial" w:cs="Arial" w:eastAsia="Arial" w:hAnsi="Arial"/>
          <w:b w:val="false"/>
          <w:bCs w:val="false"/>
          <w:i w:val="false"/>
          <w:iCs w:val="false"/>
          <w:color w:val="1A1A1A"/>
          <w:sz w:val="20"/>
          <w:szCs w:val="20"/>
        </w:rPr>
        <w:t xml:space="preserve">Important architectural boundary: AGT Agent Compliance produces regulatory classification signals. BOSS Score Regulatory Impact scoring remains ADAM’s sovereign computation. AGT is a data source, not the scoring engine. The BOSS Score formula does not change. The quality and timeliness of its Regulatory Impact inputs improves.</w:t>
      </w:r>
    </w:p>
    <w:p>
      <w:pPr>
        <w:pStyle w:val="ListParagraph"/>
        <w:numPr>
          <w:ilvl w:val="0"/>
          <w:numId w:val="2"/>
        </w:numPr>
        <w:spacing w:after="60" w:before="40"/>
      </w:pPr>
      <w:r>
        <w:rPr>
          <w:rFonts w:ascii="Arial" w:cs="Arial" w:eastAsia="Arial" w:hAnsi="Arial"/>
          <w:b w:val="false"/>
          <w:bCs w:val="false"/>
          <w:color w:val="1A1A1A"/>
          <w:sz w:val="20"/>
          <w:szCs w:val="20"/>
        </w:rPr>
        <w:t xml:space="preserve">Agent Compliance can continuously classify every autonomous action against EU AI Act obligations without requiring a compliance review cycle.</w:t>
      </w:r>
    </w:p>
    <w:p>
      <w:pPr>
        <w:pStyle w:val="ListParagraph"/>
        <w:numPr>
          <w:ilvl w:val="0"/>
          <w:numId w:val="2"/>
        </w:numPr>
        <w:spacing w:after="60" w:before="40"/>
      </w:pPr>
      <w:r>
        <w:rPr>
          <w:rFonts w:ascii="Arial" w:cs="Arial" w:eastAsia="Arial" w:hAnsi="Arial"/>
          <w:b w:val="false"/>
          <w:bCs w:val="false"/>
          <w:color w:val="1A1A1A"/>
          <w:sz w:val="20"/>
          <w:szCs w:val="20"/>
        </w:rPr>
        <w:t xml:space="preserve">Classification output is structured telemetry forwarded to the BOSS Score engine as a Regulatory Impact sub-component input.</w:t>
      </w:r>
    </w:p>
    <w:p>
      <w:pPr>
        <w:pStyle w:val="ListParagraph"/>
        <w:numPr>
          <w:ilvl w:val="0"/>
          <w:numId w:val="2"/>
        </w:numPr>
        <w:spacing w:after="60" w:before="40"/>
      </w:pPr>
      <w:r>
        <w:rPr>
          <w:rFonts w:ascii="Arial" w:cs="Arial" w:eastAsia="Arial" w:hAnsi="Arial"/>
          <w:b w:val="false"/>
          <w:bCs w:val="false"/>
          <w:color w:val="1A1A1A"/>
          <w:sz w:val="20"/>
          <w:szCs w:val="20"/>
        </w:rPr>
        <w:t xml:space="preserve">Regulatory obligation breaches detected by Agent Compliance automatically trigger Flight Recorder entries with OHSHAT-tier flagging if the breach is a hard rule violation.</w:t>
      </w:r>
    </w:p>
    <w:p>
      <w:pPr>
        <w:spacing w:after="80" w:before="0"/>
      </w:pPr>
    </w:p>
    <w:p>
      <w:r>
        <w:br w:type="page"/>
      </w:r>
    </w:p>
    <w:p>
      <w:pPr>
        <w:pStyle w:val="Heading1"/>
        <w:spacing w:after="140" w:before="280"/>
      </w:pPr>
      <w:r>
        <w:rPr>
          <w:rFonts w:ascii="Arial" w:cs="Arial" w:eastAsia="Arial" w:hAnsi="Arial"/>
          <w:b/>
          <w:bCs/>
          <w:color w:val="1F3864"/>
          <w:sz w:val="32"/>
          <w:szCs w:val="32"/>
        </w:rPr>
        <w:t xml:space="preserve">Part 5 — OWASP Agentic Application Top 10 Coverage</w:t>
      </w:r>
    </w:p>
    <w:p>
      <w:pPr>
        <w:spacing w:after="120" w:before="80"/>
        <w:jc w:val="both"/>
      </w:pPr>
      <w:r>
        <w:rPr>
          <w:rFonts w:ascii="Arial" w:cs="Arial" w:eastAsia="Arial" w:hAnsi="Arial"/>
          <w:b w:val="false"/>
          <w:bCs w:val="false"/>
          <w:i w:val="false"/>
          <w:iCs w:val="false"/>
          <w:color w:val="1A1A1A"/>
          <w:sz w:val="20"/>
          <w:szCs w:val="20"/>
        </w:rPr>
        <w:t xml:space="preserve">The OWASP Agentic Application Top 10 (December 2025) has become the de facto security taxonomy for enterprise AI agent deployments. AGT claims 10/10 runtime coverage of these risks. ADAM provides complete architectural coverage of all 10 risks.</w:t>
      </w:r>
    </w:p>
    <w:p>
      <w:pPr>
        <w:spacing w:after="120" w:before="80"/>
        <w:jc w:val="both"/>
      </w:pPr>
      <w:r>
        <w:rPr>
          <w:rFonts w:ascii="Arial" w:cs="Arial" w:eastAsia="Arial" w:hAnsi="Arial"/>
          <w:b w:val="false"/>
          <w:bCs w:val="false"/>
          <w:i w:val="false"/>
          <w:iCs w:val="false"/>
          <w:color w:val="1A1A1A"/>
          <w:sz w:val="20"/>
          <w:szCs w:val="20"/>
        </w:rPr>
        <w:t xml:space="preserve">The following table maps each OWASP risk to ADAM’s architectural coverage and AGT’s runtime enforcement. Organizations adopting ADAM with AGT Light can cite this table as their OWASP Agentic Top 10 compliance posture.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3000"/>
        <w:gridCol w:w="2100"/>
        <w:gridCol w:w="1760"/>
      </w:tblGrid>
      <w:tr>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OWASP</w:t>
            </w:r>
          </w:p>
        </w:tc>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Risk</w:t>
            </w:r>
          </w:p>
        </w:tc>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ADAM Architectural Coverage</w:t>
            </w:r>
          </w:p>
        </w:tc>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AGT Runtime Enforcement</w:t>
            </w:r>
          </w:p>
        </w:tc>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BOSS Dimension</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AA01</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Excessive Agency</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BOSS Score + Exception Economy + bounded authority containers. Agents cannot self-authorize scope expansion beyond CORE Engine grants.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OS policy + Agent Runtime execution rings; capability sandboxing blocks tool calls outside authorised list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Sovereignty Action</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AA02</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Unrestricted Autonomy</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Autonomy budgets + CORE Engine doctrine + Director escalation tiers (SOAP→OHSHAT). Autonomy is a finite, consumable resource. 15% exception tolerance window enforces mandatory review.</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OS (BOSS tier gates) + Agent Runtime (kill switch) + Agent SRE (circuit breakers enforce operational stopping conditions at error budget exhaustion)</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Sovereignty Action</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AA03</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Goal Hijacking</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Separation of intelligence from execution capability. Policy &amp; Risk Plane validates intent against CORE Engine doctrine at every orchestration step.</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OS semantic intent classifier blocks instruction injection at invocation boundary</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Doctrinal Alignment</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AA04</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Tool Misuse</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Cryptographic Authorization Vault governs high-risk tool invocations. Policy-bounded invocation contracts specify authorised tools per agent per context.</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OS capability sandboxing; Agent Marketplace manifest verification before any plugin invocation</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Security Impact</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AA05</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Identity &amp; Access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Security &amp; Trust Plane: verifiable identity requirement, scoped permissions, mTLS enforcement. No anonymous execution permitted.</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Mesh: DIDs + Ed25519 + IATP trust scoring; compromised identity revocation</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Security Impact</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AA06</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Uncontrolled Delegation</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Authority boundaries enforced by CORE Engine. Governor Agent approval gates are required for all cross-domain delegation. Delegation authority stored in Cryptographic Authorization Vault.</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Mesh IATP + trust scoring; delegation without valid trust score is blocked at Agent Mesh layer</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Sovereignty Action</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AA07</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Insufficient Monitoring</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Flight Recorder: hash-chained, tamper-evident, 7-year WORM retention. Evidence &amp; Audit Plane. Self-Audit Agent continuously validates evidence integrity.</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SRE observability layer; OpenTelemetry telemetry forwarded to Flight Recorder via RGI-04</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Security Impact</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AA08</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Supply Chain Vulnerabilities</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MCP-Ready Control Surfaces enforce signed tool contracts. Interoperability Plane governs external integration security posture.</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Marketplace: Ed25519 signing of all external tools and plugins; attestation verification; revocation registry</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Rights Certainty</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AA09</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Operational Disruption</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Stability &amp; Drift Plane + Operational Continuity Agent. Native idempotency and Recovery &amp; Rollback Hook. Non-idempotent action penalties (+15 additive BOSS penalty, ADAM v1.4 / BOSS v3.2) create economic disincentive for disruptive patterns.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SRE circuit breakers trip on downstream degradation; Agent Runtime saga compensation wraps all operations with rollback. Chaos engineering validates resilience pre-production.</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Security Impact</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AA10</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Misalignment &amp; Trust Erosion</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CORE Engine drift detection + Autonomy Stability Agent + BOSS Doctrinal Alignment dimension. Drift is detected, scored, and escalated before it becomes erosion.</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Lightning RL governance prevents value drift during model updates; training boundaries enforced at runtime</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Doctrinal Alignment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D" w:sz="4"/>
              <w:left w:val="single" w:color="2E5FAD" w:sz="4"/>
              <w:bottom w:val="single" w:color="2E5FAD" w:sz="4"/>
              <w:right w:val="single" w:color="2E5FAD" w:sz="4"/>
            </w:tcBorders>
            <w:shd w:fill="D9EDDF" w:val="clear"/>
            <w:tcMar>
              <w:top w:type="dxa" w:w="120"/>
              <w:left w:type="dxa" w:w="180"/>
              <w:bottom w:type="dxa" w:w="120"/>
              <w:right w:type="dxa" w:w="180"/>
            </w:tcMar>
          </w:tcPr>
          <w:p>
            <w:pPr>
              <w:spacing w:after="60" w:before="0"/>
            </w:pPr>
            <w:r>
              <w:rPr>
                <w:rFonts w:ascii="Arial" w:cs="Arial" w:eastAsia="Arial" w:hAnsi="Arial"/>
                <w:b/>
                <w:bCs/>
                <w:color w:val="1E6B3C"/>
                <w:sz w:val="20"/>
                <w:szCs w:val="20"/>
              </w:rPr>
              <w:t xml:space="preserve">OWASP Compliance Posture Summary</w:t>
            </w:r>
          </w:p>
          <w:p>
            <w:pPr>
              <w:spacing w:after="0" w:before="0"/>
              <w:jc w:val="both"/>
            </w:pPr>
            <w:r>
              <w:rPr>
                <w:rFonts w:ascii="Arial" w:cs="Arial" w:eastAsia="Arial" w:hAnsi="Arial"/>
                <w:color w:val="1A1A1A"/>
                <w:sz w:val="20"/>
                <w:szCs w:val="20"/>
              </w:rPr>
              <w:t xml:space="preserve">ADAM provides complete architectural coverage of all 10 OWASP Agentic Application risks through its eight blueprint layers, BOSS Score dimensions, and Exception Economy. AGT adds runtime enforcement at the execution boundary for all 10 risks. Together, ADAM + AGT Light constitutes defense in depth: architectural governance backed by execution-time enforcement. Neither is sufficient alone. Together they are the enterprise standard.</w:t>
            </w:r>
          </w:p>
        </w:tc>
      </w:tr>
    </w:tbl>
    <w:p>
      <w:pPr>
        <w:spacing w:after="80" w:before="0"/>
      </w:pPr>
    </w:p>
    <w:p>
      <w:r>
        <w:br w:type="page"/>
      </w:r>
    </w:p>
    <w:p>
      <w:pPr>
        <w:pStyle w:val="Heading1"/>
        <w:spacing w:after="140" w:before="280"/>
      </w:pPr>
      <w:r>
        <w:rPr>
          <w:rFonts w:ascii="Arial" w:cs="Arial" w:eastAsia="Arial" w:hAnsi="Arial"/>
          <w:b/>
          <w:bCs/>
          <w:color w:val="1F3864"/>
          <w:sz w:val="32"/>
          <w:szCs w:val="32"/>
        </w:rPr>
        <w:t xml:space="preserve">Part 6 — Naming Disambiguation: AGT vs. ADAM Terminology</w:t>
      </w:r>
    </w:p>
    <w:p>
      <w:pPr>
        <w:spacing w:after="120" w:before="80"/>
        <w:jc w:val="both"/>
      </w:pPr>
      <w:r>
        <w:rPr>
          <w:rFonts w:ascii="Arial" w:cs="Arial" w:eastAsia="Arial" w:hAnsi="Arial"/>
          <w:b w:val="false"/>
          <w:bCs w:val="false"/>
          <w:i w:val="false"/>
          <w:iCs w:val="false"/>
          <w:color w:val="1A1A1A"/>
          <w:sz w:val="20"/>
          <w:szCs w:val="20"/>
        </w:rPr>
        <w:t xml:space="preserve">AGT and ADAM share several surface-level terminology overlaps. These overlaps are not contradictions — they reflect the fact that the industry has converged on similar concepts — but they require explicit disambiguation to avoid confusion when using both frameworks together.</w:t>
      </w:r>
    </w:p>
    <w:p>
      <w:pPr>
        <w:spacing w:after="120" w:before="80"/>
        <w:jc w:val="both"/>
      </w:pPr>
      <w:r>
        <w:rPr>
          <w:rFonts w:ascii="Arial" w:cs="Arial" w:eastAsia="Arial" w:hAnsi="Arial"/>
          <w:b w:val="false"/>
          <w:bCs w:val="false"/>
          <w:i w:val="false"/>
          <w:iCs w:val="false"/>
          <w:color w:val="1A1A1A"/>
          <w:sz w:val="20"/>
          <w:szCs w:val="20"/>
        </w:rPr>
        <w:t xml:space="preserve">The following table is the quick-reference disambiguation guide. The full expanded reference — with detailed explanations, usage examples, correct and incorrect usage patterns, and enforcement rules — is available in docs/agt-adam-disambiguation.md. When in doubt about which ‘agent mesh’ or ‘trust score’ is being referenced, consult that document.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060"/>
      </w:tblGrid>
      <w:tr>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Term</w:t>
            </w:r>
          </w:p>
        </w:tc>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In AGT</w:t>
            </w:r>
          </w:p>
        </w:tc>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In ADAM</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Agent Mesh</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AGT package providing cryptographic agent identity (DIDs), inter-agent trust protocol (IATP), and 0–1000 trust scoring</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The 81+ Agent enterprise topology: 5 layers, named agents, Governor Agents, Orchestration Plane, Work Groups, Digital Twins, Meta-Governance. ADAM’s agent mesh is the organization; AGT’s Agent Mesh is the communication and identity layer within it.</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Policy Engine</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OS: stateless interceptor evaluating YAML/Rego/Cedar at &lt;0.1ms per action</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CORE Engine + Policy &amp; Risk Plane: executable doctrine encoding culture, objectives, rules, expectations, and risk appetite as a queryable knowledge graph. ADAM’s policy engine defines what to enforce; AGT’s enforces it.</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Trust Score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0–1000 behavioral rating of an individual agent’s trustworthiness, refreshed per interaction by Agent Mesh IATP</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BOSS Score: 0–100 multi-dimensional consequence rating of an individual action across 7 dimensions. AGT scores agents; BOSS scores actions. Both must be favorable for autonomous execution.</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Kill Switch</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Emergency agent termination within Agent Runtime execution rings</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Exception Economy OHSHAT tier (76–100): all 5 Directors notified, autonomous operations suspended, full evidence capture, system enters safe mode. ADAM’s equivalent is an enterprise-wide constitutional event, not just a runtime termination.</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Compliance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Compliance: automated mapping to EU AI Act, HIPAA, SOC2 via runtime classification</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ADAM Legal &amp; Arbitration + BOSS Regulatory Impact dimension: controls-to-obligations mapping across EU AI Act, DORA, NIS2, Singapore IMDA, ISO 42001, TOGAF, NIST + structured scoring. ADAM’s compliance is governance architecture; AGT’s is classification automation.</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Governor Agent</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No equivalent in AGT. AGT has no governance hierarchy.</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Governor Agents are ADAM’s domain-level governance layer: 5 named Domain Governor Agents (Financial, Legal &amp; Compliance, Security &amp; Trust, Market &amp; Ecosystem, Operations &amp; Delivery) that resolve conflicts, enforce doctrine, and act as the authoritative decision layer for their domains. They sit above the Orchestration Plane.</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bCs/>
                <w:color w:val="1F3864"/>
                <w:sz w:val="18"/>
                <w:szCs w:val="18"/>
              </w:rPr>
              <w:t xml:space="preserve">Flight Recorder</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No equivalent. AGT’s Agent SRE provides observability telemetry only.</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ADAM’s constitutional forensic evidence system: hash-chained, tamper-evident, cryptographically signed entries; 7-year WORM retention; hot/cool/archive tiers. Not the same as operational telemetry. Flight Recorder entries are legal evidence, not metrics.</w:t>
            </w:r>
          </w:p>
        </w:tc>
      </w:tr>
    </w:tbl>
    <w:p>
      <w:pPr>
        <w:spacing w:after="80" w:before="0"/>
      </w:pPr>
    </w:p>
    <w:p>
      <w:r>
        <w:br w:type="page"/>
      </w:r>
    </w:p>
    <w:p>
      <w:pPr>
        <w:pStyle w:val="Heading1"/>
        <w:spacing w:after="140" w:before="280"/>
      </w:pPr>
      <w:r>
        <w:rPr>
          <w:rFonts w:ascii="Arial" w:cs="Arial" w:eastAsia="Arial" w:hAnsi="Arial"/>
          <w:b/>
          <w:bCs/>
          <w:color w:val="1F3864"/>
          <w:sz w:val="32"/>
          <w:szCs w:val="32"/>
        </w:rPr>
        <w:t xml:space="preserve">Part 7 — Risks, Mitigations, and Adoption Guidance</w:t>
      </w:r>
    </w:p>
    <w:p>
      <w:pPr>
        <w:spacing w:after="120" w:before="80"/>
        <w:jc w:val="both"/>
      </w:pPr>
      <w:r>
        <w:rPr>
          <w:rFonts w:ascii="Arial" w:cs="Arial" w:eastAsia="Arial" w:hAnsi="Arial"/>
          <w:b w:val="false"/>
          <w:bCs w:val="false"/>
          <w:i w:val="false"/>
          <w:iCs w:val="false"/>
          <w:color w:val="1A1A1A"/>
          <w:sz w:val="20"/>
          <w:szCs w:val="20"/>
        </w:rPr>
        <w:t xml:space="preserve">No architectural decision is without trade-offs. The following risks apply to the AGT Light positioning and must be communicated clearly to any organization adopting ADAM with AGT as the runtime implementation.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F4F00" w:sz="4"/>
              <w:left w:val="single" w:color="7F4F00" w:sz="4"/>
              <w:bottom w:val="single" w:color="7F4F00" w:sz="4"/>
              <w:right w:val="single" w:color="7F4F00" w:sz="4"/>
            </w:tcBorders>
            <w:shd w:fill="FFF2CC" w:val="clear"/>
            <w:tcMar>
              <w:top w:type="dxa" w:w="100"/>
              <w:left w:type="dxa" w:w="160"/>
              <w:bottom w:type="dxa" w:w="10"/>
              <w:right w:type="dxa" w:w="160"/>
            </w:tcMar>
          </w:tcPr>
          <w:p>
            <w:r>
              <w:rPr>
                <w:rFonts w:ascii="Arial" w:cs="Arial" w:eastAsia="Arial" w:hAnsi="Arial"/>
                <w:b/>
                <w:bCs/>
                <w:color w:val="7F4F00"/>
                <w:sz w:val="20"/>
                <w:szCs w:val="20"/>
              </w:rPr>
              <w:t xml:space="preserve">⚠  Risk: Perceived Microsoft Dependency</w:t>
            </w:r>
          </w:p>
        </w:tc>
      </w:tr>
      <w:tr>
        <w:tc>
          <w:tcPr>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60"/>
            </w:pPr>
            <w:r>
              <w:rPr>
                <w:rFonts w:ascii="Arial" w:cs="Arial" w:eastAsia="Arial" w:hAnsi="Arial"/>
                <w:color w:val="1A1A1A"/>
                <w:sz w:val="19"/>
                <w:szCs w:val="19"/>
              </w:rPr>
              <w:t xml:space="preserve">Even though AGT is MIT-licensed and open-source, organizations may perceive ADAM as aligned with the Microsoft ecosystem, creating procurement or sovereignty concerns. This is particularly relevant for EU-focused deployments with strict sovereignty requirements.</w:t>
            </w:r>
          </w:p>
          <w:p>
            <w:pPr>
              <w:spacing w:after="60"/>
            </w:pPr>
            <w:r>
              <w:rPr>
                <w:rFonts w:ascii="Arial" w:cs="Arial" w:eastAsia="Arial" w:hAnsi="Arial"/>
                <w:b/>
                <w:bCs/>
                <w:color w:val="1F3864"/>
                <w:sz w:val="19"/>
                <w:szCs w:val="19"/>
              </w:rPr>
              <w:t xml:space="preserve">Mitigation: </w:t>
            </w:r>
            <w:r>
              <w:rPr>
                <w:rFonts w:ascii="Arial" w:cs="Arial" w:eastAsia="Arial" w:hAnsi="Arial"/>
                <w:color w:val="1A1A1A"/>
                <w:sz w:val="19"/>
                <w:szCs w:val="19"/>
              </w:rPr>
              <w:t xml:space="preserve">Always frame AGT as one implementation of the Runtime Governance Interface, not as ADAM’s architecture. Lead with the RGI definition. Maintain the Alternative Approaches column in the RGI table. Use the phrase: ‘ADAM recommends AGT as the current reference implementation.’ Never: ‘ADAM uses AGT.’</w:t>
            </w:r>
          </w:p>
          <w:p>
            <w:pPr>
              <w:spacing w:after="0"/>
            </w:pPr>
            <w:r>
              <w:rPr>
                <w:rFonts w:ascii="Arial" w:cs="Arial" w:eastAsia="Arial" w:hAnsi="Arial"/>
                <w:b/>
                <w:bCs/>
                <w:color w:val="1F3864"/>
                <w:sz w:val="19"/>
                <w:szCs w:val="19"/>
              </w:rPr>
              <w:t xml:space="preserve">Residual Risk: </w:t>
            </w:r>
            <w:r>
              <w:rPr>
                <w:rFonts w:ascii="Arial" w:cs="Arial" w:eastAsia="Arial" w:hAnsi="Arial"/>
                <w:color w:val="1A1A1A"/>
                <w:sz w:val="19"/>
                <w:szCs w:val="19"/>
              </w:rPr>
              <w:t xml:space="preserve">Low — MIT license eliminates vendor lock-in at the code level. ADAM’s architecture is independent.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F4F00" w:sz="4"/>
              <w:left w:val="single" w:color="7F4F00" w:sz="4"/>
              <w:bottom w:val="single" w:color="7F4F00" w:sz="4"/>
              <w:right w:val="single" w:color="7F4F00" w:sz="4"/>
            </w:tcBorders>
            <w:shd w:fill="FFF2CC" w:val="clear"/>
            <w:tcMar>
              <w:top w:type="dxa" w:w="100"/>
              <w:left w:type="dxa" w:w="160"/>
              <w:bottom w:type="dxa" w:w="10"/>
              <w:right w:type="dxa" w:w="160"/>
            </w:tcMar>
          </w:tcPr>
          <w:p>
            <w:r>
              <w:rPr>
                <w:rFonts w:ascii="Arial" w:cs="Arial" w:eastAsia="Arial" w:hAnsi="Arial"/>
                <w:b/>
                <w:bCs/>
                <w:color w:val="7F4F00"/>
                <w:sz w:val="20"/>
                <w:szCs w:val="20"/>
              </w:rPr>
              <w:t xml:space="preserve">⚠  Risk: AGT Roadmap Risk</w:t>
            </w:r>
          </w:p>
        </w:tc>
      </w:tr>
      <w:tr>
        <w:tc>
          <w:tcPr>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60"/>
            </w:pPr>
            <w:r>
              <w:rPr>
                <w:rFonts w:ascii="Arial" w:cs="Arial" w:eastAsia="Arial" w:hAnsi="Arial"/>
                <w:color w:val="1A1A1A"/>
                <w:sz w:val="19"/>
                <w:szCs w:val="19"/>
              </w:rPr>
              <w:t xml:space="preserve">Microsoft controls AGT’s feature roadmap and maintenance schedule. If a package is deprecated, renamed, or reorganized, ADAM’s plugin documentation requires an update.</w:t>
            </w:r>
          </w:p>
          <w:p>
            <w:pPr>
              <w:spacing w:after="60"/>
            </w:pPr>
            <w:r>
              <w:rPr>
                <w:rFonts w:ascii="Arial" w:cs="Arial" w:eastAsia="Arial" w:hAnsi="Arial"/>
                <w:b/>
                <w:bCs/>
                <w:color w:val="1F3864"/>
                <w:sz w:val="19"/>
                <w:szCs w:val="19"/>
              </w:rPr>
              <w:t xml:space="preserve">Mitigation: </w:t>
            </w:r>
            <w:r>
              <w:rPr>
                <w:rFonts w:ascii="Arial" w:cs="Arial" w:eastAsia="Arial" w:hAnsi="Arial"/>
                <w:color w:val="1A1A1A"/>
                <w:sz w:val="19"/>
                <w:szCs w:val="19"/>
              </w:rPr>
              <w:t xml:space="preserve">Integrate at the RGI interface level, not the implementation level. The deployment specification references RGI capability domains first and AGT packages as the current implementing technology. Monitor AGT releases via GitHub. The DNA Deployment Tool version-pins AGT packages with explicit upgrade procedures.</w:t>
            </w:r>
          </w:p>
          <w:p>
            <w:pPr>
              <w:spacing w:after="0"/>
            </w:pPr>
            <w:r>
              <w:rPr>
                <w:rFonts w:ascii="Arial" w:cs="Arial" w:eastAsia="Arial" w:hAnsi="Arial"/>
                <w:b/>
                <w:bCs/>
                <w:color w:val="1F3864"/>
                <w:sz w:val="19"/>
                <w:szCs w:val="19"/>
              </w:rPr>
              <w:t xml:space="preserve">Residual Risk: </w:t>
            </w:r>
            <w:r>
              <w:rPr>
                <w:rFonts w:ascii="Arial" w:cs="Arial" w:eastAsia="Arial" w:hAnsi="Arial"/>
                <w:color w:val="1A1A1A"/>
                <w:sz w:val="19"/>
                <w:szCs w:val="19"/>
              </w:rPr>
              <w:t xml:space="preserve">Medium — AGT was released April 2026. Production maturity at enterprise scale is not yet demonstrated. Treat as ‘promising,’ not ‘proven.’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F4F00" w:sz="4"/>
              <w:left w:val="single" w:color="7F4F00" w:sz="4"/>
              <w:bottom w:val="single" w:color="7F4F00" w:sz="4"/>
              <w:right w:val="single" w:color="7F4F00" w:sz="4"/>
            </w:tcBorders>
            <w:shd w:fill="FFF2CC" w:val="clear"/>
            <w:tcMar>
              <w:top w:type="dxa" w:w="100"/>
              <w:left w:type="dxa" w:w="160"/>
              <w:bottom w:type="dxa" w:w="10"/>
              <w:right w:type="dxa" w:w="160"/>
            </w:tcMar>
          </w:tcPr>
          <w:p>
            <w:r>
              <w:rPr>
                <w:rFonts w:ascii="Arial" w:cs="Arial" w:eastAsia="Arial" w:hAnsi="Arial"/>
                <w:b/>
                <w:bCs/>
                <w:color w:val="7F4F00"/>
                <w:sz w:val="20"/>
                <w:szCs w:val="20"/>
              </w:rPr>
              <w:t xml:space="preserve">⚠  Risk: Naming Confusion</w:t>
            </w:r>
          </w:p>
        </w:tc>
      </w:tr>
      <w:tr>
        <w:tc>
          <w:tcPr>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60"/>
            </w:pPr>
            <w:r>
              <w:rPr>
                <w:rFonts w:ascii="Arial" w:cs="Arial" w:eastAsia="Arial" w:hAnsi="Arial"/>
                <w:color w:val="1A1A1A"/>
                <w:sz w:val="19"/>
                <w:szCs w:val="19"/>
              </w:rPr>
              <w:t xml:space="preserve">The overlapping terminology between AGT and ADAM (Agent Mesh, Policy Engine, Trust Score, Kill Switch) creates communication risk. Readers and implementers may conflate concepts from both frameworks.</w:t>
            </w:r>
          </w:p>
          <w:p>
            <w:pPr>
              <w:spacing w:after="60"/>
            </w:pPr>
            <w:r>
              <w:rPr>
                <w:rFonts w:ascii="Arial" w:cs="Arial" w:eastAsia="Arial" w:hAnsi="Arial"/>
                <w:b/>
                <w:bCs/>
                <w:color w:val="1F3864"/>
                <w:sz w:val="19"/>
                <w:szCs w:val="19"/>
              </w:rPr>
              <w:t xml:space="preserve">Mitigation: </w:t>
            </w:r>
            <w:r>
              <w:rPr>
                <w:rFonts w:ascii="Arial" w:cs="Arial" w:eastAsia="Arial" w:hAnsi="Arial"/>
                <w:color w:val="1A1A1A"/>
                <w:sz w:val="19"/>
                <w:szCs w:val="19"/>
              </w:rPr>
              <w:t xml:space="preserve">Use the Naming Disambiguation Table (Part 6) as a mandatory reference in all team communications during adoption. Include the disambiguation table in onboarding materials and deployment runbooks. Never use bare ‘agent mesh’ in technical documentation without qualifying: ‘ADAM agent mesh’ or ‘AGT Agent Mesh.’</w:t>
            </w:r>
          </w:p>
          <w:p>
            <w:pPr>
              <w:spacing w:after="0"/>
            </w:pPr>
            <w:r>
              <w:rPr>
                <w:rFonts w:ascii="Arial" w:cs="Arial" w:eastAsia="Arial" w:hAnsi="Arial"/>
                <w:b/>
                <w:bCs/>
                <w:color w:val="1F3864"/>
                <w:sz w:val="19"/>
                <w:szCs w:val="19"/>
              </w:rPr>
              <w:t xml:space="preserve">Residual Risk: </w:t>
            </w:r>
            <w:r>
              <w:rPr>
                <w:rFonts w:ascii="Arial" w:cs="Arial" w:eastAsia="Arial" w:hAnsi="Arial"/>
                <w:color w:val="1A1A1A"/>
                <w:sz w:val="19"/>
                <w:szCs w:val="19"/>
              </w:rPr>
              <w:t xml:space="preserve">Low with discipline — systematic use of qualified terminology eliminates ambiguity.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F4F00" w:sz="4"/>
              <w:left w:val="single" w:color="7F4F00" w:sz="4"/>
              <w:bottom w:val="single" w:color="7F4F00" w:sz="4"/>
              <w:right w:val="single" w:color="7F4F00" w:sz="4"/>
            </w:tcBorders>
            <w:shd w:fill="FFF2CC" w:val="clear"/>
            <w:tcMar>
              <w:top w:type="dxa" w:w="100"/>
              <w:left w:type="dxa" w:w="160"/>
              <w:bottom w:type="dxa" w:w="10"/>
              <w:right w:type="dxa" w:w="160"/>
            </w:tcMar>
          </w:tcPr>
          <w:p>
            <w:r>
              <w:rPr>
                <w:rFonts w:ascii="Arial" w:cs="Arial" w:eastAsia="Arial" w:hAnsi="Arial"/>
                <w:b/>
                <w:bCs/>
                <w:color w:val="7F4F00"/>
                <w:sz w:val="20"/>
                <w:szCs w:val="20"/>
              </w:rPr>
              <w:t xml:space="preserve">⚠  Risk: Over-Specification Trap</w:t>
            </w:r>
          </w:p>
        </w:tc>
      </w:tr>
      <w:tr>
        <w:tc>
          <w:tcPr>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pPr>
              <w:spacing w:after="60"/>
            </w:pPr>
            <w:r>
              <w:rPr>
                <w:rFonts w:ascii="Arial" w:cs="Arial" w:eastAsia="Arial" w:hAnsi="Arial"/>
                <w:color w:val="1A1A1A"/>
                <w:sz w:val="19"/>
                <w:szCs w:val="19"/>
              </w:rPr>
              <w:t xml:space="preserve">Mapping AGT too precisely throughout ADAM’s documentation risks converting ADAM into an AGT implementation guide rather than an architectural reference. This undermines ADAM’s product-agnostic value proposition.</w:t>
            </w:r>
          </w:p>
          <w:p>
            <w:pPr>
              <w:spacing w:after="60"/>
            </w:pPr>
            <w:r>
              <w:rPr>
                <w:rFonts w:ascii="Arial" w:cs="Arial" w:eastAsia="Arial" w:hAnsi="Arial"/>
                <w:b/>
                <w:bCs/>
                <w:color w:val="1F3864"/>
                <w:sz w:val="19"/>
                <w:szCs w:val="19"/>
              </w:rPr>
              <w:t xml:space="preserve">Mitigation: </w:t>
            </w:r>
            <w:r>
              <w:rPr>
                <w:rFonts w:ascii="Arial" w:cs="Arial" w:eastAsia="Arial" w:hAnsi="Arial"/>
                <w:color w:val="1A1A1A"/>
                <w:sz w:val="19"/>
                <w:szCs w:val="19"/>
              </w:rPr>
              <w:t xml:space="preserve">Keep AGT content in this externalized plugin document. The main ADAM book references the Runtime Governance Interface and cites AGT as the recommended implementation in dedicated subsections only. No AGT-specific content woven throughout main book chapters.</w:t>
            </w:r>
          </w:p>
          <w:p>
            <w:pPr>
              <w:spacing w:after="0"/>
            </w:pPr>
            <w:r>
              <w:rPr>
                <w:rFonts w:ascii="Arial" w:cs="Arial" w:eastAsia="Arial" w:hAnsi="Arial"/>
                <w:b/>
                <w:bCs/>
                <w:color w:val="1F3864"/>
                <w:sz w:val="19"/>
                <w:szCs w:val="19"/>
              </w:rPr>
              <w:t xml:space="preserve">Residual Risk: </w:t>
            </w:r>
            <w:r>
              <w:rPr>
                <w:rFonts w:ascii="Arial" w:cs="Arial" w:eastAsia="Arial" w:hAnsi="Arial"/>
                <w:color w:val="1A1A1A"/>
                <w:sz w:val="19"/>
                <w:szCs w:val="19"/>
              </w:rPr>
              <w:t xml:space="preserve">Low with discipline — the plugin architecture enforces the separation.</w:t>
            </w:r>
          </w:p>
        </w:tc>
      </w:tr>
    </w:tbl>
    <w:p>
      <w:pPr>
        <w:spacing w:after="80" w:before="0"/>
      </w:pPr>
    </w:p>
    <w:p>
      <w:r>
        <w:br w:type="page"/>
      </w:r>
    </w:p>
    <w:p>
      <w:pPr>
        <w:pStyle w:val="Heading1"/>
        <w:spacing w:after="140" w:before="280"/>
      </w:pPr>
      <w:r>
        <w:rPr>
          <w:rFonts w:ascii="Arial" w:cs="Arial" w:eastAsia="Arial" w:hAnsi="Arial"/>
          <w:b/>
          <w:bCs/>
          <w:color w:val="1F3864"/>
          <w:sz w:val="32"/>
          <w:szCs w:val="32"/>
        </w:rPr>
        <w:t xml:space="preserve">Part 8 — Integration Architecture: How AGT Light Connects to ADAM</w:t>
      </w:r>
    </w:p>
    <w:p>
      <w:pPr>
        <w:spacing w:after="120" w:before="80"/>
        <w:jc w:val="both"/>
      </w:pPr>
      <w:r>
        <w:rPr>
          <w:rFonts w:ascii="Arial" w:cs="Arial" w:eastAsia="Arial" w:hAnsi="Arial"/>
          <w:b w:val="false"/>
          <w:bCs w:val="false"/>
          <w:i w:val="false"/>
          <w:iCs w:val="false"/>
          <w:color w:val="1A1A1A"/>
          <w:sz w:val="20"/>
          <w:szCs w:val="20"/>
        </w:rPr>
        <w:t xml:space="preserve">This section describes the integration architecture at a component level. Detailed infrastructure specifications, Kubernetes manifests, Helm charts, and Terraform modules are in the companion ADAM AGT Light Deployment Specification document included in this plugin directory.</w:t>
      </w:r>
    </w:p>
    <w:p>
      <w:pPr>
        <w:spacing w:after="80" w:before="0"/>
      </w:pPr>
    </w:p>
    <w:p>
      <w:pPr>
        <w:pStyle w:val="Heading2"/>
        <w:spacing w:after="140" w:before="280"/>
      </w:pPr>
      <w:r>
        <w:rPr>
          <w:rFonts w:ascii="Arial" w:cs="Arial" w:eastAsia="Arial" w:hAnsi="Arial"/>
          <w:b/>
          <w:bCs/>
          <w:color w:val="1F3864"/>
          <w:sz w:val="26"/>
          <w:szCs w:val="26"/>
        </w:rPr>
        <w:t xml:space="preserve">8.1 Deployment Pattern: Sidecar Runtime Enforcement</w:t>
      </w:r>
    </w:p>
    <w:p>
      <w:pPr>
        <w:spacing w:after="120" w:before="80"/>
        <w:jc w:val="both"/>
      </w:pPr>
      <w:r>
        <w:rPr>
          <w:rFonts w:ascii="Arial" w:cs="Arial" w:eastAsia="Arial" w:hAnsi="Arial"/>
          <w:b w:val="false"/>
          <w:bCs w:val="false"/>
          <w:i w:val="false"/>
          <w:iCs w:val="false"/>
          <w:color w:val="1A1A1A"/>
          <w:sz w:val="20"/>
          <w:szCs w:val="20"/>
        </w:rPr>
        <w:t xml:space="preserve">AGT packages are deployed as sidecar containers within the ADAM agent mesh’s Kubernetes node pools. This architecture means:</w:t>
      </w:r>
    </w:p>
    <w:p>
      <w:pPr>
        <w:pStyle w:val="ListParagraph"/>
        <w:numPr>
          <w:ilvl w:val="0"/>
          <w:numId w:val="2"/>
        </w:numPr>
        <w:spacing w:after="60" w:before="40"/>
      </w:pPr>
      <w:r>
        <w:rPr>
          <w:rFonts w:ascii="Arial" w:cs="Arial" w:eastAsia="Arial" w:hAnsi="Arial"/>
          <w:b w:val="false"/>
          <w:bCs w:val="false"/>
          <w:color w:val="1A1A1A"/>
          <w:sz w:val="20"/>
          <w:szCs w:val="20"/>
        </w:rPr>
        <w:t xml:space="preserve">Agent OS sidecars intercept every outbound tool call from a work group agent pod before it reaches an external service. Policy evaluation is local and in-process, keeping latency below the &lt;0.1ms p99 threshold.</w:t>
      </w:r>
    </w:p>
    <w:p>
      <w:pPr>
        <w:pStyle w:val="ListParagraph"/>
        <w:numPr>
          <w:ilvl w:val="0"/>
          <w:numId w:val="2"/>
        </w:numPr>
        <w:spacing w:after="60" w:before="40"/>
      </w:pPr>
      <w:r>
        <w:rPr>
          <w:rFonts w:ascii="Arial" w:cs="Arial" w:eastAsia="Arial" w:hAnsi="Arial"/>
          <w:b w:val="false"/>
          <w:bCs w:val="false"/>
          <w:color w:val="1A1A1A"/>
          <w:sz w:val="20"/>
          <w:szCs w:val="20"/>
        </w:rPr>
        <w:t xml:space="preserve">Agent Mesh provides a per-pod identity service integrated with the existing Istio mTLS layer. Every agent pod receives a DID-based certificate at startup, replacing or supplementing Istio’s internal SVID certificates.</w:t>
      </w:r>
    </w:p>
    <w:p>
      <w:pPr>
        <w:pStyle w:val="ListParagraph"/>
        <w:numPr>
          <w:ilvl w:val="0"/>
          <w:numId w:val="2"/>
        </w:numPr>
        <w:spacing w:after="60" w:before="40"/>
      </w:pPr>
      <w:r>
        <w:rPr>
          <w:rFonts w:ascii="Arial" w:cs="Arial" w:eastAsia="Arial" w:hAnsi="Arial"/>
          <w:b w:val="false"/>
          <w:bCs w:val="false"/>
          <w:color w:val="1A1A1A"/>
          <w:sz w:val="20"/>
          <w:szCs w:val="20"/>
        </w:rPr>
        <w:t xml:space="preserve">Agent Runtime ring enforcement is implemented as a Kubernetes admission controller that validates pod privilege claims against the ring assignment in the CORE Graph Agent vertex.</w:t>
      </w:r>
    </w:p>
    <w:p>
      <w:pPr>
        <w:pStyle w:val="ListParagraph"/>
        <w:numPr>
          <w:ilvl w:val="0"/>
          <w:numId w:val="2"/>
        </w:numPr>
        <w:spacing w:after="60" w:before="40"/>
      </w:pPr>
      <w:r>
        <w:rPr>
          <w:rFonts w:ascii="Arial" w:cs="Arial" w:eastAsia="Arial" w:hAnsi="Arial"/>
          <w:b w:val="false"/>
          <w:bCs w:val="false"/>
          <w:color w:val="1A1A1A"/>
          <w:sz w:val="20"/>
          <w:szCs w:val="20"/>
        </w:rPr>
        <w:t xml:space="preserve">Agent SRE runs as a dedicated observability sidecar, forwarding structured SLO telemetry to Azure Monitor and the Flight Recorder RGI-04 adapter.</w:t>
      </w:r>
    </w:p>
    <w:p>
      <w:pPr>
        <w:pStyle w:val="ListParagraph"/>
        <w:numPr>
          <w:ilvl w:val="0"/>
          <w:numId w:val="2"/>
        </w:numPr>
        <w:spacing w:after="60" w:before="40"/>
      </w:pPr>
      <w:r>
        <w:rPr>
          <w:rFonts w:ascii="Arial" w:cs="Arial" w:eastAsia="Arial" w:hAnsi="Arial"/>
          <w:b w:val="false"/>
          <w:bCs w:val="false"/>
          <w:color w:val="1A1A1A"/>
          <w:sz w:val="20"/>
          <w:szCs w:val="20"/>
        </w:rPr>
        <w:t xml:space="preserve">Agent Compliance runs as a shared service (not per-pod sidecar) within the Governance node pool, receiving structured action telemetry and returning classification signals to the BOSS Score engine.</w:t>
      </w:r>
    </w:p>
    <w:p>
      <w:pPr>
        <w:pStyle w:val="ListParagraph"/>
        <w:numPr>
          <w:ilvl w:val="0"/>
          <w:numId w:val="2"/>
        </w:numPr>
        <w:spacing w:after="60" w:before="40"/>
      </w:pPr>
      <w:r>
        <w:rPr>
          <w:rFonts w:ascii="Arial" w:cs="Arial" w:eastAsia="Arial" w:hAnsi="Arial"/>
          <w:b w:val="false"/>
          <w:bCs w:val="false"/>
          <w:color w:val="1A1A1A"/>
          <w:sz w:val="20"/>
          <w:szCs w:val="20"/>
        </w:rPr>
        <w:t xml:space="preserve">Agent Marketplace provides a signed plugin registry service, consulted by the MCP Gateway Agent before any external tool invocation.</w:t>
      </w:r>
    </w:p>
    <w:p>
      <w:pPr>
        <w:spacing w:after="80" w:before="0"/>
      </w:pPr>
    </w:p>
    <w:p>
      <w:pPr>
        <w:pStyle w:val="Heading2"/>
        <w:spacing w:after="140" w:before="280"/>
      </w:pPr>
      <w:r>
        <w:rPr>
          <w:rFonts w:ascii="Arial" w:cs="Arial" w:eastAsia="Arial" w:hAnsi="Arial"/>
          <w:b/>
          <w:bCs/>
          <w:color w:val="1F3864"/>
          <w:sz w:val="26"/>
          <w:szCs w:val="26"/>
        </w:rPr>
        <w:t xml:space="preserve">8.2 Data Flow: Action Evaluation Sequence</w:t>
      </w:r>
    </w:p>
    <w:p>
      <w:pPr>
        <w:spacing w:after="120" w:before="80"/>
        <w:jc w:val="both"/>
      </w:pPr>
      <w:r>
        <w:rPr>
          <w:rFonts w:ascii="Arial" w:cs="Arial" w:eastAsia="Arial" w:hAnsi="Arial"/>
          <w:b w:val="false"/>
          <w:bCs w:val="false"/>
          <w:i w:val="false"/>
          <w:iCs w:val="false"/>
          <w:color w:val="1A1A1A"/>
          <w:sz w:val="20"/>
          <w:szCs w:val="20"/>
        </w:rPr>
        <w:t xml:space="preserve">The following sequence describes how an autonomous action flows through ADAM’s governance layers with AGT Light enforcement active: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4280"/>
        <w:gridCol w:w="2600"/>
      </w:tblGrid>
      <w:tr>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Step</w:t>
            </w:r>
          </w:p>
        </w:tc>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Component</w:t>
            </w:r>
          </w:p>
        </w:tc>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Action</w:t>
            </w:r>
          </w:p>
        </w:tc>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ADAM Layer</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1</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Intent Object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Director or upstream agent submits Intent Object to Orchestration Plane with desired outcome, constraints, risk tolerance, and context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Human Interface Layer</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2</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Governor Agent</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Governor Agent validates Intent Object against CORE Engine doctrine graph; checks BOSS Score pre-computation; routes to appropriate work group</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Governor Agent Layer</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3</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OS (AGT)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Policy sidecar intercepts action at invocation boundary; evaluates active Rego/YAML/Cedar rules; permits, denies, or escalates in &lt;0.1ms</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Policy &amp; Risk Plane</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4</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Mesh (AGT)</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Verifies agent identity (DID + Ed25519); checks inter-agent trust score; validates delegation chain if cross-domain</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Security &amp; Trust Plane</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5</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BOSS Score Engine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Computes composite BOSS Score across 7 dimensions including AGT Agent Compliance signals; assigns SOAP/MODERATE/ELEVATED/HIGH/OHSHAT tier</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Policy &amp; Risk Plane</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6</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Runtime (AGT)</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Enforces execution ring; executes action within bounded authority container; saga orchestration wraps the execution for rollback capability</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Mesh &amp; Orchestration Fabric</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7</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Flight Recorder</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All evaluation events, BOSS Score, permit/deny outcome, execution result, and AGT SRE telemetry are hash-chained and written to immutable evidence store</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Evidence &amp; Audit Plane</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8</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Exception Economy</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If action is an exception, autonomy budget is decremented; penalty applied if non-idempotent; escalation triggered if budget threshold breached</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Policy &amp; Risk Plane</w:t>
            </w:r>
          </w:p>
        </w:tc>
      </w:tr>
    </w:tbl>
    <w:p>
      <w:pPr>
        <w:spacing w:after="80" w:before="0"/>
      </w:pPr>
    </w:p>
    <w:p>
      <w:pPr>
        <w:pStyle w:val="Heading2"/>
        <w:spacing w:after="140" w:before="280"/>
      </w:pPr>
      <w:r>
        <w:rPr>
          <w:rFonts w:ascii="Arial" w:cs="Arial" w:eastAsia="Arial" w:hAnsi="Arial"/>
          <w:b/>
          <w:bCs/>
          <w:color w:val="1F3864"/>
          <w:sz w:val="26"/>
          <w:szCs w:val="26"/>
        </w:rPr>
        <w:t xml:space="preserve">8.3 Flight Recorder Integration</w:t>
      </w:r>
    </w:p>
    <w:p>
      <w:pPr>
        <w:spacing w:after="120" w:before="80"/>
        <w:jc w:val="both"/>
      </w:pPr>
      <w:r>
        <w:rPr>
          <w:rFonts w:ascii="Arial" w:cs="Arial" w:eastAsia="Arial" w:hAnsi="Arial"/>
          <w:b w:val="false"/>
          <w:bCs w:val="false"/>
          <w:i w:val="false"/>
          <w:iCs w:val="false"/>
          <w:color w:val="1A1A1A"/>
          <w:sz w:val="20"/>
          <w:szCs w:val="20"/>
        </w:rPr>
        <w:t xml:space="preserve">AGT’s telemetry output is not the Flight Recorder. AGT emits OpenTelemetry-compatible spans and metrics. The Flight Recorder is ADAM’s constitutional evidence system with hash-chaining, cryptographic signing, and WORM retention.</w:t>
      </w:r>
    </w:p>
    <w:p>
      <w:pPr>
        <w:spacing w:after="120" w:before="80"/>
        <w:jc w:val="both"/>
      </w:pPr>
      <w:r>
        <w:rPr>
          <w:rFonts w:ascii="Arial" w:cs="Arial" w:eastAsia="Arial" w:hAnsi="Arial"/>
          <w:b w:val="false"/>
          <w:bCs w:val="false"/>
          <w:i w:val="false"/>
          <w:iCs w:val="false"/>
          <w:color w:val="1A1A1A"/>
          <w:sz w:val="20"/>
          <w:szCs w:val="20"/>
        </w:rPr>
        <w:t xml:space="preserve">The integration requires an RGI-04 adapter: a service that receives AGT’s structured telemetry, enriches it with ADAM context (Intent Object ID, BOSS Score, Agent ID from CORE Graph, doctrine version), signs the resulting record with HSM-backed key material, and appends it to the Flight Recorder evidence chain.</w:t>
      </w:r>
    </w:p>
    <w:p>
      <w:pPr>
        <w:spacing w:after="120" w:before="80"/>
        <w:jc w:val="both"/>
      </w:pPr>
      <w:r>
        <w:rPr>
          <w:rFonts w:ascii="Arial" w:cs="Arial" w:eastAsia="Arial" w:hAnsi="Arial"/>
          <w:b w:val="false"/>
          <w:bCs w:val="false"/>
          <w:i w:val="false"/>
          <w:iCs w:val="false"/>
          <w:color w:val="1A1A1A"/>
          <w:sz w:val="20"/>
          <w:szCs w:val="20"/>
        </w:rPr>
        <w:t xml:space="preserve">This adapter is included in the deployment specification as a containerized service deployed alongside AGT’s Agent SRE sidecar. It is ADAM’s property and is not provided by AGT.</w:t>
      </w:r>
    </w:p>
    <w:p>
      <w:pPr>
        <w:spacing w:after="80" w:before="0"/>
      </w:pPr>
    </w:p>
    <w:p>
      <w:r>
        <w:br w:type="page"/>
      </w:r>
    </w:p>
    <w:p>
      <w:pPr>
        <w:pStyle w:val="Heading1"/>
        <w:spacing w:after="140" w:before="280"/>
      </w:pPr>
      <w:r>
        <w:rPr>
          <w:rFonts w:ascii="Arial" w:cs="Arial" w:eastAsia="Arial" w:hAnsi="Arial"/>
          <w:b/>
          <w:bCs/>
          <w:color w:val="1F3864"/>
          <w:sz w:val="32"/>
          <w:szCs w:val="32"/>
        </w:rPr>
        <w:t xml:space="preserve">Part 9 — Implementation Guidance</w:t>
      </w:r>
    </w:p>
    <w:p>
      <w:pPr>
        <w:spacing w:after="120" w:before="80"/>
        <w:jc w:val="both"/>
      </w:pPr>
      <w:r>
        <w:rPr>
          <w:rFonts w:ascii="Arial" w:cs="Arial" w:eastAsia="Arial" w:hAnsi="Arial"/>
          <w:b w:val="false"/>
          <w:bCs w:val="false"/>
          <w:i w:val="false"/>
          <w:iCs w:val="false"/>
          <w:color w:val="1A1A1A"/>
          <w:sz w:val="20"/>
          <w:szCs w:val="20"/>
        </w:rPr>
        <w:t xml:space="preserve">This section provides practical guidance for implementing AGT Light within an ADAM deployment. Detailed step-by-step instructions, Helm chart configurations, and environment-specific settings are in the companion deployment specification.</w:t>
      </w:r>
    </w:p>
    <w:p>
      <w:pPr>
        <w:spacing w:after="80" w:before="0"/>
      </w:pPr>
    </w:p>
    <w:p>
      <w:pPr>
        <w:pStyle w:val="Heading2"/>
        <w:spacing w:after="140" w:before="280"/>
      </w:pPr>
      <w:r>
        <w:rPr>
          <w:rFonts w:ascii="Arial" w:cs="Arial" w:eastAsia="Arial" w:hAnsi="Arial"/>
          <w:b/>
          <w:bCs/>
          <w:color w:val="1F3864"/>
          <w:sz w:val="26"/>
          <w:szCs w:val="26"/>
        </w:rPr>
        <w:t xml:space="preserve">9.1 Adoption Phases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3800"/>
        <w:gridCol w:w="3160"/>
      </w:tblGrid>
      <w:tr>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Phase</w:t>
            </w:r>
          </w:p>
        </w:tc>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Name</w:t>
            </w:r>
          </w:p>
        </w:tc>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AGT Packages Activated</w:t>
            </w:r>
          </w:p>
        </w:tc>
        <w:tc>
          <w:tcPr>
            <w:gridSpan w:val="1"/>
            <w:tcBorders>
              <w:top w:val="single" w:color="2E5FAD" w:sz="4"/>
              <w:left w:val="single" w:color="2E5FAD" w:sz="4"/>
              <w:bottom w:val="single" w:color="2E5FAD" w:sz="4"/>
              <w:right w:val="single" w:color="2E5FAD" w:sz="4"/>
            </w:tcBorders>
            <w:shd w:fill="D5E8F0" w:val="clear"/>
            <w:tcMar>
              <w:top w:type="dxa" w:w="80"/>
              <w:left w:type="dxa" w:w="120"/>
              <w:bottom w:type="dxa" w:w="80"/>
              <w:right w:type="dxa" w:w="120"/>
            </w:tcMar>
          </w:tcPr>
          <w:p>
            <w:r>
              <w:rPr>
                <w:rFonts w:ascii="Arial" w:cs="Arial" w:eastAsia="Arial" w:hAnsi="Arial"/>
                <w:b/>
                <w:bCs/>
                <w:color w:val="1F3864"/>
                <w:sz w:val="18"/>
                <w:szCs w:val="18"/>
              </w:rPr>
              <w:t xml:space="preserve">ADAM Integration</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1</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Identity Foundation</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Mesh only — establish cryptographic agent identity across the 81+ Agent Mesh. No policy enforcement yet.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Security &amp; Trust Plane; enriches CORE Graph Agent vertices with DID identity records</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2</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Policy Enforcement</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OS — deploy policy sidecars; initial policies in YAML (low risk); migrate to Rego for complex rules</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Policy &amp; Risk Plane; policies sourced from CORE Engine Rego exports; BOSS Score pre-check gates integration</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3</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Containment &amp; Audit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Runtime + Agent SRE + Flight Recorder RGI-04 adapter</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Execution rings mapped to ADAM authority levels; all telemetry forwarded to Flight Recorder; SLOs tied to Stability &amp; Drift Plane</w:t>
            </w:r>
          </w:p>
        </w:tc>
      </w:tr>
      <w:tr>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4</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Compliance Automation</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Agent Compliance + Agent Marketplace</w:t>
            </w:r>
          </w:p>
        </w:tc>
        <w:tc>
          <w:tcPr>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BOSS Regulatory Impact dimension receives automated classification inputs; external tools signed and registered in Cryptographic Authorization Vault</w:t>
            </w:r>
          </w:p>
        </w:tc>
      </w:tr>
      <w:tr>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5</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Full AGT Light</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All 7 packages active; Agent Lightning for RL-enabled deployments only</w:t>
            </w:r>
          </w:p>
        </w:tc>
        <w:tc>
          <w:tcPr>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top"/>
          </w:tcPr>
          <w:p>
            <w:pPr>
              <w:jc w:val="left"/>
            </w:pPr>
            <w:r>
              <w:rPr>
                <w:rFonts w:ascii="Arial" w:cs="Arial" w:eastAsia="Arial" w:hAnsi="Arial"/>
                <w:b w:val="false"/>
                <w:bCs w:val="false"/>
                <w:color w:val="1A1A1A"/>
                <w:sz w:val="18"/>
                <w:szCs w:val="18"/>
              </w:rPr>
              <w:t xml:space="preserve">Full RGI compliance across all 5 domains; OWASP AA01–AA10 defense in depth; BOSS Score 7-dimension automation maximized</w:t>
            </w:r>
          </w:p>
        </w:tc>
      </w:tr>
    </w:tbl>
    <w:p>
      <w:pPr>
        <w:spacing w:after="80" w:before="0"/>
      </w:pPr>
    </w:p>
    <w:p>
      <w:pPr>
        <w:pStyle w:val="Heading2"/>
        <w:spacing w:after="140" w:before="280"/>
      </w:pPr>
      <w:r>
        <w:rPr>
          <w:rFonts w:ascii="Arial" w:cs="Arial" w:eastAsia="Arial" w:hAnsi="Arial"/>
          <w:b/>
          <w:bCs/>
          <w:color w:val="1F3864"/>
          <w:sz w:val="26"/>
          <w:szCs w:val="26"/>
        </w:rPr>
        <w:t xml:space="preserve">9.2 DNA Questionnaire Additions</w:t>
      </w:r>
    </w:p>
    <w:p>
      <w:pPr>
        <w:spacing w:after="120" w:before="80"/>
        <w:jc w:val="both"/>
      </w:pPr>
      <w:r>
        <w:rPr>
          <w:rFonts w:ascii="Arial" w:cs="Arial" w:eastAsia="Arial" w:hAnsi="Arial"/>
          <w:b w:val="false"/>
          <w:bCs w:val="false"/>
          <w:i w:val="false"/>
          <w:iCs w:val="false"/>
          <w:color w:val="1A1A1A"/>
          <w:sz w:val="20"/>
          <w:szCs w:val="20"/>
        </w:rPr>
        <w:t xml:space="preserve">Organizations using the ADAM DNA Questionnaire should answer the following additional questions under Section 12 (Infrastructure &amp; Scaling) to generate AGT Light-aware deployment configurations:</w:t>
      </w:r>
    </w:p>
    <w:p>
      <w:pPr>
        <w:pStyle w:val="ListParagraph"/>
        <w:numPr>
          <w:ilvl w:val="0"/>
          <w:numId w:val="2"/>
        </w:numPr>
        <w:spacing w:after="60" w:before="40"/>
      </w:pPr>
      <w:r>
        <w:rPr>
          <w:rFonts w:ascii="Arial" w:cs="Arial" w:eastAsia="Arial" w:hAnsi="Arial"/>
          <w:b w:val="false"/>
          <w:bCs w:val="false"/>
          <w:color w:val="1A1A1A"/>
          <w:sz w:val="20"/>
          <w:szCs w:val="20"/>
        </w:rPr>
        <w:t xml:space="preserve">Runtime security tooling preference: AGT (recommended) / Alternative (specify) / In-house implementation</w:t>
      </w:r>
    </w:p>
    <w:p>
      <w:pPr>
        <w:pStyle w:val="ListParagraph"/>
        <w:numPr>
          <w:ilvl w:val="0"/>
          <w:numId w:val="2"/>
        </w:numPr>
        <w:spacing w:after="60" w:before="40"/>
      </w:pPr>
      <w:r>
        <w:rPr>
          <w:rFonts w:ascii="Arial" w:cs="Arial" w:eastAsia="Arial" w:hAnsi="Arial"/>
          <w:b w:val="false"/>
          <w:bCs w:val="false"/>
          <w:color w:val="1A1A1A"/>
          <w:sz w:val="20"/>
          <w:szCs w:val="20"/>
        </w:rPr>
        <w:t xml:space="preserve">AGT language environment: Python / TypeScript / Rust / Go / .NET / Multi-language (select all that apply)</w:t>
      </w:r>
    </w:p>
    <w:p>
      <w:pPr>
        <w:pStyle w:val="ListParagraph"/>
        <w:numPr>
          <w:ilvl w:val="0"/>
          <w:numId w:val="2"/>
        </w:numPr>
        <w:spacing w:after="60" w:before="40"/>
      </w:pPr>
      <w:r>
        <w:rPr>
          <w:rFonts w:ascii="Arial" w:cs="Arial" w:eastAsia="Arial" w:hAnsi="Arial"/>
          <w:b w:val="false"/>
          <w:bCs w:val="false"/>
          <w:color w:val="1A1A1A"/>
          <w:sz w:val="20"/>
          <w:szCs w:val="20"/>
        </w:rPr>
        <w:t xml:space="preserve">OWASP Agentic Top 10 awareness: Yes / No (if No, include OWASP primer in onboarding deliverables)</w:t>
      </w:r>
    </w:p>
    <w:p>
      <w:pPr>
        <w:pStyle w:val="ListParagraph"/>
        <w:numPr>
          <w:ilvl w:val="0"/>
          <w:numId w:val="2"/>
        </w:numPr>
        <w:spacing w:after="60" w:before="40"/>
      </w:pPr>
      <w:r>
        <w:rPr>
          <w:rFonts w:ascii="Arial" w:cs="Arial" w:eastAsia="Arial" w:hAnsi="Arial"/>
          <w:b w:val="false"/>
          <w:bCs w:val="false"/>
          <w:color w:val="1A1A1A"/>
          <w:sz w:val="20"/>
          <w:szCs w:val="20"/>
        </w:rPr>
        <w:t xml:space="preserve">Agent trust score threshold for autonomous execution (default: 700): [Organization-specific value]</w:t>
      </w:r>
    </w:p>
    <w:p>
      <w:pPr>
        <w:pStyle w:val="ListParagraph"/>
        <w:numPr>
          <w:ilvl w:val="0"/>
          <w:numId w:val="2"/>
        </w:numPr>
        <w:spacing w:after="60" w:before="40"/>
      </w:pPr>
      <w:r>
        <w:rPr>
          <w:rFonts w:ascii="Arial" w:cs="Arial" w:eastAsia="Arial" w:hAnsi="Arial"/>
          <w:b w:val="false"/>
          <w:bCs w:val="false"/>
          <w:color w:val="1A1A1A"/>
          <w:sz w:val="20"/>
          <w:szCs w:val="20"/>
        </w:rPr>
        <w:t xml:space="preserve">Regulatory framework priorities beyond EU AI Act: HIPAA / SOC2 / DORA / NIS2 / ISO 42001 / Other</w:t>
      </w:r>
    </w:p>
    <w:p>
      <w:pPr>
        <w:pStyle w:val="ListParagraph"/>
        <w:numPr>
          <w:ilvl w:val="0"/>
          <w:numId w:val="2"/>
        </w:numPr>
        <w:spacing w:after="60" w:before="40"/>
      </w:pPr>
      <w:r>
        <w:rPr>
          <w:rFonts w:ascii="Arial" w:cs="Arial" w:eastAsia="Arial" w:hAnsi="Arial"/>
          <w:b w:val="false"/>
          <w:bCs w:val="false"/>
          <w:color w:val="1A1A1A"/>
          <w:sz w:val="20"/>
          <w:szCs w:val="20"/>
        </w:rPr>
        <w:t xml:space="preserve">Chaos engineering authorization: Pre-authorized (proceed per schedule) / Director approval required per experiment</w:t>
      </w:r>
    </w:p>
    <w:p>
      <w:pPr>
        <w:spacing w:after="80" w:before="0"/>
      </w:pPr>
    </w:p>
    <w:p>
      <w:pPr>
        <w:pStyle w:val="Heading2"/>
        <w:spacing w:after="140" w:before="280"/>
      </w:pPr>
      <w:r>
        <w:rPr>
          <w:rFonts w:ascii="Arial" w:cs="Arial" w:eastAsia="Arial" w:hAnsi="Arial"/>
          <w:b/>
          <w:bCs/>
          <w:color w:val="1F3864"/>
          <w:sz w:val="26"/>
          <w:szCs w:val="26"/>
        </w:rPr>
        <w:t xml:space="preserve">9.3 Choosing Not to Use AGT: What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D" w:sz="4"/>
              <w:left w:val="single" w:color="2E5FAD" w:sz="4"/>
              <w:bottom w:val="single" w:color="2E5FAD" w:sz="4"/>
              <w:right w:val="single" w:color="2E5FAD" w:sz="4"/>
            </w:tcBorders>
            <w:shd w:fill="FFF2CC" w:val="clear"/>
            <w:tcMar>
              <w:top w:type="dxa" w:w="120"/>
              <w:left w:type="dxa" w:w="180"/>
              <w:bottom w:type="dxa" w:w="120"/>
              <w:right w:type="dxa" w:w="180"/>
            </w:tcMar>
          </w:tcPr>
          <w:p>
            <w:pPr>
              <w:spacing w:after="60" w:before="0"/>
            </w:pPr>
            <w:r>
              <w:rPr>
                <w:rFonts w:ascii="Arial" w:cs="Arial" w:eastAsia="Arial" w:hAnsi="Arial"/>
                <w:b/>
                <w:bCs/>
                <w:color w:val="7F4F00"/>
                <w:sz w:val="20"/>
                <w:szCs w:val="20"/>
              </w:rPr>
              <w:t xml:space="preserve">This Is Why It’s a Plugin, Not a Chapter</w:t>
            </w:r>
          </w:p>
          <w:p>
            <w:pPr>
              <w:spacing w:after="0" w:before="0"/>
              <w:jc w:val="both"/>
            </w:pPr>
            <w:r>
              <w:rPr>
                <w:rFonts w:ascii="Arial" w:cs="Arial" w:eastAsia="Arial" w:hAnsi="Arial"/>
                <w:color w:val="1A1A1A"/>
                <w:sz w:val="20"/>
                <w:szCs w:val="20"/>
              </w:rPr>
              <w:t xml:space="preserve">Nothing in ADAM’s core doctrine, scoring, or governance model changes if AGT is not used. This document is externalized precisely so that organizations making different runtime choices are not encumbered by AGT-specific implementation details. The Runtime Governance Interface (Part 3) is the only section that applies universally. Everything else in this document is AGT-specific guidance.</w:t>
            </w:r>
          </w:p>
        </w:tc>
      </w:tr>
    </w:tbl>
    <w:p>
      <w:pPr>
        <w:spacing w:after="80" w:before="0"/>
      </w:pPr>
    </w:p>
    <w:p>
      <w:pPr>
        <w:spacing w:after="120" w:before="80"/>
        <w:jc w:val="both"/>
      </w:pPr>
      <w:r>
        <w:rPr>
          <w:rFonts w:ascii="Arial" w:cs="Arial" w:eastAsia="Arial" w:hAnsi="Arial"/>
          <w:b w:val="false"/>
          <w:bCs w:val="false"/>
          <w:i w:val="false"/>
          <w:iCs w:val="false"/>
          <w:color w:val="1A1A1A"/>
          <w:sz w:val="20"/>
          <w:szCs w:val="20"/>
        </w:rPr>
        <w:t xml:space="preserve">If an organization selects an alternative runtime implementation, the following actions are required:</w:t>
      </w:r>
    </w:p>
    <w:p>
      <w:pPr>
        <w:pStyle w:val="ListParagraph"/>
        <w:numPr>
          <w:ilvl w:val="0"/>
          <w:numId w:val="2"/>
        </w:numPr>
        <w:spacing w:after="60" w:before="40"/>
      </w:pPr>
      <w:r>
        <w:rPr>
          <w:rFonts w:ascii="Arial" w:cs="Arial" w:eastAsia="Arial" w:hAnsi="Arial"/>
          <w:b w:val="false"/>
          <w:bCs w:val="false"/>
          <w:color w:val="1A1A1A"/>
          <w:sz w:val="20"/>
          <w:szCs w:val="20"/>
        </w:rPr>
        <w:t xml:space="preserve">Complete the RGI compliance checklist (docs/rgi-compliance-checklist.md) for the alternative implementation. One row per RGI domain. Any domain marked partially satisfied or not satisfied must be documented as a BOSS Security Impact risk acceptance record and logged to the Flight Recorder.</w:t>
      </w:r>
    </w:p>
    <w:p>
      <w:pPr>
        <w:pStyle w:val="ListParagraph"/>
        <w:numPr>
          <w:ilvl w:val="0"/>
          <w:numId w:val="2"/>
        </w:numPr>
        <w:spacing w:after="60" w:before="40"/>
      </w:pPr>
      <w:r>
        <w:rPr>
          <w:rFonts w:ascii="Arial" w:cs="Arial" w:eastAsia="Arial" w:hAnsi="Arial"/>
          <w:b w:val="false"/>
          <w:bCs w:val="false"/>
          <w:color w:val="1A1A1A"/>
          <w:sz w:val="20"/>
          <w:szCs w:val="20"/>
        </w:rPr>
        <w:t xml:space="preserve">Confirm that the alternative implementation produces OpenTelemetry-compatible telemetry that can be adapted to the Flight Recorder event schema (schemas/flight-recorder-event-v2.json). The ADAM-proprietary RGI-04 adapter is required regardless of runtime choice.</w:t>
      </w:r>
    </w:p>
    <w:p>
      <w:pPr>
        <w:pStyle w:val="ListParagraph"/>
        <w:numPr>
          <w:ilvl w:val="0"/>
          <w:numId w:val="2"/>
        </w:numPr>
        <w:spacing w:after="60" w:before="40"/>
      </w:pPr>
      <w:r>
        <w:rPr>
          <w:rFonts w:ascii="Arial" w:cs="Arial" w:eastAsia="Arial" w:hAnsi="Arial"/>
          <w:b w:val="false"/>
          <w:bCs w:val="false"/>
          <w:color w:val="1A1A1A"/>
          <w:sz w:val="20"/>
          <w:szCs w:val="20"/>
        </w:rPr>
        <w:t xml:space="preserve">Update the DNA Deployment Specification runtime section (Section 10) with the alternative toolkit’s Helm chart, configuration schema, and version pinning.</w:t>
      </w:r>
    </w:p>
    <w:p>
      <w:pPr>
        <w:pStyle w:val="ListParagraph"/>
        <w:numPr>
          <w:ilvl w:val="0"/>
          <w:numId w:val="2"/>
        </w:numPr>
        <w:spacing w:after="60" w:before="40"/>
      </w:pPr>
      <w:r>
        <w:rPr>
          <w:rFonts w:ascii="Arial" w:cs="Arial" w:eastAsia="Arial" w:hAnsi="Arial"/>
          <w:b w:val="false"/>
          <w:bCs w:val="false"/>
          <w:color w:val="1A1A1A"/>
          <w:sz w:val="20"/>
          <w:szCs w:val="20"/>
        </w:rPr>
        <w:t xml:space="preserve">Review the OWASP enforcement posture configuration (config/owasp-posture-config.yaml) and annotate each AA01–AA10 entry with the alternative implementation’s coverage. Gaps become BOSS Security Impact score inputs. The machine-readable mapping (schemas/owasp-adam-agt-mapping.json) may need updating.</w:t>
      </w:r>
    </w:p>
    <w:p>
      <w:pPr>
        <w:pStyle w:val="ListParagraph"/>
        <w:numPr>
          <w:ilvl w:val="0"/>
          <w:numId w:val="2"/>
        </w:numPr>
        <w:spacing w:after="60" w:before="40"/>
      </w:pPr>
      <w:r>
        <w:rPr>
          <w:rFonts w:ascii="Arial" w:cs="Arial" w:eastAsia="Arial" w:hAnsi="Arial"/>
          <w:b w:val="false"/>
          <w:bCs w:val="false"/>
          <w:color w:val="1A1A1A"/>
          <w:sz w:val="20"/>
          <w:szCs w:val="20"/>
        </w:rPr>
        <w:t xml:space="preserve">Review the terminology disambiguation guide (docs/agt-adam-disambiguation.md) and update any terms that the alternative implementation uses differently. Terminology consistency is a governance requirement, not a style preference.</w:t>
      </w:r>
    </w:p>
    <w:p>
      <w:pPr>
        <w:spacing w:after="80" w:before="0"/>
      </w:pPr>
    </w:p>
    <w:p>
      <w:r>
        <w:br w:type="page"/>
      </w:r>
    </w:p>
    <w:p>
      <w:pPr>
        <w:pStyle w:val="Heading1"/>
        <w:spacing w:after="140" w:before="280"/>
      </w:pPr>
      <w:r>
        <w:rPr>
          <w:rFonts w:ascii="Arial" w:cs="Arial" w:eastAsia="Arial" w:hAnsi="Arial"/>
          <w:b/>
          <w:bCs/>
          <w:color w:val="1F3864"/>
          <w:sz w:val="32"/>
          <w:szCs w:val="32"/>
        </w:rPr>
        <w:t xml:space="preserve">Part 10 — Glossary of AGT Light Terms</w:t>
      </w:r>
    </w:p>
    <w:p>
      <w:pPr>
        <w:spacing w:after="120" w:before="80"/>
        <w:jc w:val="both"/>
      </w:pPr>
      <w:r>
        <w:rPr>
          <w:rFonts w:ascii="Arial" w:cs="Arial" w:eastAsia="Arial" w:hAnsi="Arial"/>
          <w:b w:val="false"/>
          <w:bCs w:val="false"/>
          <w:i w:val="false"/>
          <w:iCs w:val="false"/>
          <w:color w:val="1A1A1A"/>
          <w:sz w:val="20"/>
          <w:szCs w:val="20"/>
        </w:rPr>
        <w:t xml:space="preserve">The following terms are specific to the AGT Light plugin and complement the main ADAM glossary. ADAM-specific terms (BOSS Score, CORE Engine, Exception Economy, Flight Recorder, etc.) are defined in the main book.</w:t>
      </w:r>
    </w:p>
    <w:p>
      <w:pPr>
        <w:spacing w:after="80" w:before="0"/>
      </w:pPr>
    </w:p>
    <w:p>
      <w:pPr>
        <w:spacing w:after="40" w:before="120"/>
      </w:pPr>
      <w:r>
        <w:rPr>
          <w:rFonts w:ascii="Arial" w:cs="Arial" w:eastAsia="Arial" w:hAnsi="Arial"/>
          <w:b/>
          <w:bCs/>
          <w:color w:val="1F3864"/>
          <w:sz w:val="20"/>
          <w:szCs w:val="20"/>
        </w:rPr>
        <w:t xml:space="preserve">Agent Governance Toolkit (AGT)</w:t>
      </w:r>
    </w:p>
    <w:p>
      <w:pPr>
        <w:spacing w:after="120" w:before="0"/>
      </w:pPr>
      <w:r>
        <w:rPr>
          <w:rFonts w:ascii="Arial" w:cs="Arial" w:eastAsia="Arial" w:hAnsi="Arial"/>
          <w:color w:val="1A1A1A"/>
          <w:sz w:val="20"/>
          <w:szCs w:val="20"/>
        </w:rPr>
        <w:t xml:space="preserve">MIT-licensed, open-source seven-package runtime security layer for AI agents released by Microsoft in April 2026. Covers all 10 OWASP Agentic Application risks. Available in Python, TypeScript, Rust, Go, and .NET.</w:t>
      </w:r>
    </w:p>
    <w:p>
      <w:pPr>
        <w:spacing w:after="40" w:before="120"/>
      </w:pPr>
      <w:r>
        <w:rPr>
          <w:rFonts w:ascii="Arial" w:cs="Arial" w:eastAsia="Arial" w:hAnsi="Arial"/>
          <w:b/>
          <w:bCs/>
          <w:color w:val="1F3864"/>
          <w:sz w:val="20"/>
          <w:szCs w:val="20"/>
        </w:rPr>
        <w:t xml:space="preserve">AGT Light</w:t>
      </w:r>
    </w:p>
    <w:p>
      <w:pPr>
        <w:spacing w:after="120" w:before="0"/>
      </w:pPr>
      <w:r>
        <w:rPr>
          <w:rFonts w:ascii="Arial" w:cs="Arial" w:eastAsia="Arial" w:hAnsi="Arial"/>
          <w:color w:val="1A1A1A"/>
          <w:sz w:val="20"/>
          <w:szCs w:val="20"/>
        </w:rPr>
        <w:t xml:space="preserve">ADAM’s externalized, modular positioning of AGT as the recommended runtime implementation layer. 'Light' distinguishes this plugin approach from a full structural integration, preserving ADAM’s independence.</w:t>
      </w:r>
    </w:p>
    <w:p>
      <w:pPr>
        <w:spacing w:after="40" w:before="120"/>
      </w:pPr>
      <w:r>
        <w:rPr>
          <w:rFonts w:ascii="Arial" w:cs="Arial" w:eastAsia="Arial" w:hAnsi="Arial"/>
          <w:b/>
          <w:bCs/>
          <w:color w:val="1F3864"/>
          <w:sz w:val="20"/>
          <w:szCs w:val="20"/>
        </w:rPr>
        <w:t xml:space="preserve">Decentralised Identifiers (DIDs)</w:t>
      </w:r>
    </w:p>
    <w:p>
      <w:pPr>
        <w:spacing w:after="120" w:before="0"/>
      </w:pPr>
      <w:r>
        <w:rPr>
          <w:rFonts w:ascii="Arial" w:cs="Arial" w:eastAsia="Arial" w:hAnsi="Arial"/>
          <w:color w:val="1A1A1A"/>
          <w:sz w:val="20"/>
          <w:szCs w:val="20"/>
        </w:rPr>
        <w:t xml:space="preserve">W3C-standardised cryptographic identity scheme used by AGT Agent Mesh to provide non-forgeable, verifiable agent identity without relying on a central authority.</w:t>
      </w:r>
    </w:p>
    <w:p>
      <w:pPr>
        <w:spacing w:after="40" w:before="120"/>
      </w:pPr>
      <w:r>
        <w:rPr>
          <w:rFonts w:ascii="Arial" w:cs="Arial" w:eastAsia="Arial" w:hAnsi="Arial"/>
          <w:b/>
          <w:bCs/>
          <w:color w:val="1F3864"/>
          <w:sz w:val="20"/>
          <w:szCs w:val="20"/>
        </w:rPr>
        <w:t xml:space="preserve">Ed25519</w:t>
      </w:r>
    </w:p>
    <w:p>
      <w:pPr>
        <w:spacing w:after="120" w:before="0"/>
      </w:pPr>
      <w:r>
        <w:rPr>
          <w:rFonts w:ascii="Arial" w:cs="Arial" w:eastAsia="Arial" w:hAnsi="Arial"/>
          <w:color w:val="1A1A1A"/>
          <w:sz w:val="20"/>
          <w:szCs w:val="20"/>
        </w:rPr>
        <w:t xml:space="preserve">Elliptic curve signature algorithm used by AGT for agent identity signing and plugin manifest verification. Chosen for performance and security characteristics.</w:t>
      </w:r>
    </w:p>
    <w:p>
      <w:pPr>
        <w:spacing w:after="40" w:before="120"/>
      </w:pPr>
      <w:r>
        <w:rPr>
          <w:rFonts w:ascii="Arial" w:cs="Arial" w:eastAsia="Arial" w:hAnsi="Arial"/>
          <w:b/>
          <w:bCs/>
          <w:color w:val="1F3864"/>
          <w:sz w:val="20"/>
          <w:szCs w:val="20"/>
        </w:rPr>
        <w:t xml:space="preserve">Execution Rings</w:t>
      </w:r>
    </w:p>
    <w:p>
      <w:pPr>
        <w:spacing w:after="120" w:before="0"/>
      </w:pPr>
      <w:r>
        <w:rPr>
          <w:rFonts w:ascii="Arial" w:cs="Arial" w:eastAsia="Arial" w:hAnsi="Arial"/>
          <w:color w:val="1A1A1A"/>
          <w:sz w:val="20"/>
          <w:szCs w:val="20"/>
        </w:rPr>
        <w:t xml:space="preserve">AGT Agent Runtime’s privilege containment model, modelled on CPU privilege rings. Ring 0 = highest privilege (doctrine-level); Ring 3 = lowest privilege (individual work group agents). Maps to ADAM’s bounded authority model.</w:t>
      </w:r>
    </w:p>
    <w:p>
      <w:pPr>
        <w:spacing w:after="40" w:before="120"/>
      </w:pPr>
      <w:r>
        <w:rPr>
          <w:rFonts w:ascii="Arial" w:cs="Arial" w:eastAsia="Arial" w:hAnsi="Arial"/>
          <w:b/>
          <w:bCs/>
          <w:color w:val="1F3864"/>
          <w:sz w:val="20"/>
          <w:szCs w:val="20"/>
        </w:rPr>
        <w:t xml:space="preserve">Inter-Agent Trust Protocol (IATP)</w:t>
      </w:r>
    </w:p>
    <w:p>
      <w:pPr>
        <w:spacing w:after="120" w:before="0"/>
      </w:pPr>
      <w:r>
        <w:rPr>
          <w:rFonts w:ascii="Arial" w:cs="Arial" w:eastAsia="Arial" w:hAnsi="Arial"/>
          <w:color w:val="1A1A1A"/>
          <w:sz w:val="20"/>
          <w:szCs w:val="20"/>
        </w:rPr>
        <w:t xml:space="preserve">AGT Agent Mesh protocol for verifying and scoring trust between agents. Produces a 0–1000 trust score refreshed per interaction. Complements (does not replace) ADAM’s BOSS Score.</w:t>
      </w:r>
    </w:p>
    <w:p>
      <w:pPr>
        <w:spacing w:after="40" w:before="120"/>
      </w:pPr>
      <w:r>
        <w:rPr>
          <w:rFonts w:ascii="Arial" w:cs="Arial" w:eastAsia="Arial" w:hAnsi="Arial"/>
          <w:b/>
          <w:bCs/>
          <w:color w:val="1F3864"/>
          <w:sz w:val="20"/>
          <w:szCs w:val="20"/>
        </w:rPr>
        <w:t xml:space="preserve">OWASP Agentic Application Top 10</w:t>
      </w:r>
    </w:p>
    <w:p>
      <w:pPr>
        <w:spacing w:after="120" w:before="0"/>
      </w:pPr>
      <w:r>
        <w:rPr>
          <w:rFonts w:ascii="Arial" w:cs="Arial" w:eastAsia="Arial" w:hAnsi="Arial"/>
          <w:color w:val="1A1A1A"/>
          <w:sz w:val="20"/>
          <w:szCs w:val="20"/>
        </w:rPr>
        <w:t xml:space="preserve">OWASP’s December 2025 taxonomy of the top 10 security risks in AI agent deployments. Codes AA01–AA10. Has become the de facto industry security standard for enterprise agent systems.</w:t>
      </w:r>
    </w:p>
    <w:p>
      <w:pPr>
        <w:spacing w:after="40" w:before="120"/>
      </w:pPr>
      <w:r>
        <w:rPr>
          <w:rFonts w:ascii="Arial" w:cs="Arial" w:eastAsia="Arial" w:hAnsi="Arial"/>
          <w:b/>
          <w:bCs/>
          <w:color w:val="1F3864"/>
          <w:sz w:val="20"/>
          <w:szCs w:val="20"/>
        </w:rPr>
        <w:t xml:space="preserve">Runtime Governance Interface (RGI)</w:t>
      </w:r>
    </w:p>
    <w:p>
      <w:pPr>
        <w:spacing w:after="120" w:before="0"/>
      </w:pPr>
      <w:r>
        <w:rPr>
          <w:rFonts w:ascii="Arial" w:cs="Arial" w:eastAsia="Arial" w:hAnsi="Arial"/>
          <w:color w:val="1A1A1A"/>
          <w:sz w:val="20"/>
          <w:szCs w:val="20"/>
        </w:rPr>
        <w:t xml:space="preserve">ADAM’s abstract contract defining the five capability domains any compliant runtime enforcement framework must satisfy: Policy Enforcement (RGI-01), Agent Identity (RGI-02), Execution Containment (RGI-03), Telemetry Emission (RGI-04), and Tool/Plugin Governance (RGI-05).</w:t>
      </w:r>
    </w:p>
    <w:p>
      <w:pPr>
        <w:spacing w:after="40" w:before="120"/>
      </w:pPr>
      <w:r>
        <w:rPr>
          <w:rFonts w:ascii="Arial" w:cs="Arial" w:eastAsia="Arial" w:hAnsi="Arial"/>
          <w:b/>
          <w:bCs/>
          <w:color w:val="1F3864"/>
          <w:sz w:val="20"/>
          <w:szCs w:val="20"/>
        </w:rPr>
        <w:t xml:space="preserve">Two-Dimensional Trust Model</w:t>
      </w:r>
    </w:p>
    <w:p>
      <w:pPr>
        <w:spacing w:after="120" w:before="0"/>
      </w:pPr>
      <w:r>
        <w:rPr>
          <w:rFonts w:ascii="Arial" w:cs="Arial" w:eastAsia="Arial" w:hAnsi="Arial"/>
          <w:color w:val="1A1A1A"/>
          <w:sz w:val="20"/>
          <w:szCs w:val="20"/>
        </w:rPr>
        <w:t xml:space="preserve">ADAM + AGT Light’s combined trust model: AGT’s agent trust score (0–1000) measures whether an agent is trustworthy; BOSS Score (0–100) measures whether an action is safe. Both conditions must be satisfied for autonomous execution without escalation.</w:t>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D" w:sz="6" w:space="1"/>
      </w:pBdr>
    </w:pPr>
    <w:r>
      <w:rPr>
        <w:rFonts w:ascii="Arial" w:cs="Arial" w:eastAsia="Arial" w:hAnsi="Arial"/>
        <w:color w:val="777777"/>
        <w:sz w:val="16"/>
        <w:szCs w:val="16"/>
      </w:rPr>
      <w:t xml:space="preserve">ADAM • AGT Light Plugin  |  Autonomy Doctrine &amp; Architecture Model</w:t>
    </w:r>
    <w:r>
      <w:rPr>
        <w:rFonts w:ascii="Arial" w:cs="Arial" w:eastAsia="Arial" w:hAnsi="Arial"/>
        <w:color w:val="777777"/>
        <w:sz w:val="16"/>
        <w:szCs w:val="16"/>
      </w:rPr>
      <w:t xml:space="preserve">    Page </w:t>
    </w:r>
    <w:r>
      <w:rPr>
        <w:rFonts w:ascii="Arial" w:cs="Arial" w:eastAsia="Arial" w:hAnsi="Arial"/>
        <w:color w:val="777777"/>
        <w:sz w:val="16"/>
        <w:szCs w:val="16"/>
      </w:rPr>
      <w:fldChar w:fldCharType="begin"/>
      <w:instrText xml:space="preserve">PAGE</w:instrText>
      <w:fldChar w:fldCharType="separate"/>
      <w:fldChar w:fldCharType="end"/>
    </w:r>
    <w:r>
      <w:rPr>
        <w:rFonts w:ascii="Arial" w:cs="Arial" w:eastAsia="Arial" w:hAnsi="Arial"/>
        <w:color w:val="777777"/>
        <w:sz w:val="16"/>
        <w:szCs w:val="16"/>
      </w:rPr>
      <w:t xml:space="preserve"> of </w:t>
    </w:r>
    <w:r>
      <w:rPr>
        <w:rFonts w:ascii="Arial" w:cs="Arial" w:eastAsia="Arial" w:hAnsi="Arial"/>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pPr>
    <w:r>
      <w:rPr>
        <w:rFonts w:ascii="Arial" w:cs="Arial" w:eastAsia="Arial" w:hAnsi="Arial"/>
        <w:b/>
        <w:bCs/>
        <w:color w:val="1F3864"/>
        <w:sz w:val="18"/>
        <w:szCs w:val="18"/>
      </w:rPr>
      <w:t xml:space="preserve">ADAM — AGT Light: Runtime Governance Implementation Plugin</w:t>
    </w:r>
    <w:r>
      <w:rPr>
        <w:rFonts w:ascii="Arial" w:cs="Arial" w:eastAsia="Arial" w:hAnsi="Arial"/>
        <w:color w:val="777777"/>
        <w:sz w:val="16"/>
        <w:szCs w:val="16"/>
      </w:rPr>
      <w:t xml:space="preserve">    •    Version 1.1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AD"/>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737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2026-04-12T17:44:56.178Z</dcterms:created>
  <dcterms:modified xsi:type="dcterms:W3CDTF">2026-04-12T17:44:56.181Z</dcterms:modified>
</cp:coreProperties>
</file>

<file path=docProps/custom.xml><?xml version="1.0" encoding="utf-8"?>
<Properties xmlns="http://schemas.openxmlformats.org/officeDocument/2006/custom-properties" xmlns:vt="http://schemas.openxmlformats.org/officeDocument/2006/docPropsVTypes"/>
</file>