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0E68" w14:textId="77777777" w:rsidR="00A92CAB" w:rsidRDefault="00A92CAB">
      <w:pPr>
        <w:spacing w:after="240"/>
      </w:pPr>
    </w:p>
    <w:p w14:paraId="2E9F0E69" w14:textId="77777777" w:rsidR="00A92CAB" w:rsidRDefault="00000000">
      <w:pPr>
        <w:jc w:val="center"/>
      </w:pPr>
      <w:r>
        <w:rPr>
          <w:b/>
          <w:bCs/>
          <w:color w:val="1F3864"/>
          <w:sz w:val="72"/>
          <w:szCs w:val="72"/>
        </w:rPr>
        <w:t>ADAM</w:t>
      </w:r>
    </w:p>
    <w:p w14:paraId="2E9F0E6A" w14:textId="77777777" w:rsidR="00A92CAB" w:rsidRDefault="00000000">
      <w:pPr>
        <w:spacing w:after="240"/>
        <w:jc w:val="center"/>
      </w:pPr>
      <w:r>
        <w:rPr>
          <w:color w:val="2E75B6"/>
          <w:sz w:val="32"/>
          <w:szCs w:val="32"/>
        </w:rPr>
        <w:t>Autonomy Doctrine &amp; Architecture Model</w:t>
      </w:r>
    </w:p>
    <w:p w14:paraId="2E9F0E6B" w14:textId="77777777" w:rsidR="00A92CAB" w:rsidRDefault="00A92CAB">
      <w:pPr>
        <w:pBdr>
          <w:bottom w:val="single" w:sz="4" w:space="6" w:color="CCCCCC"/>
        </w:pBdr>
        <w:spacing w:before="120" w:after="120"/>
      </w:pPr>
    </w:p>
    <w:p w14:paraId="2E9F0E6C" w14:textId="77777777" w:rsidR="00A92CAB" w:rsidRDefault="00000000">
      <w:pPr>
        <w:spacing w:before="240" w:after="240"/>
        <w:jc w:val="center"/>
      </w:pPr>
      <w:r>
        <w:rPr>
          <w:b/>
          <w:bCs/>
          <w:color w:val="1F3864"/>
          <w:sz w:val="40"/>
          <w:szCs w:val="40"/>
        </w:rPr>
        <w:t>Copyright Notice &amp; Use Agreement</w:t>
      </w:r>
    </w:p>
    <w:p w14:paraId="2E9F0E6D" w14:textId="77777777" w:rsidR="00A92CAB" w:rsidRDefault="00A92CAB">
      <w:pPr>
        <w:pBdr>
          <w:bottom w:val="single" w:sz="4" w:space="6" w:color="CCCCCC"/>
        </w:pBdr>
        <w:spacing w:before="120" w:after="120"/>
      </w:pPr>
    </w:p>
    <w:p w14:paraId="2E9F0E6E" w14:textId="77777777" w:rsidR="00A92CAB" w:rsidRDefault="00A92CAB">
      <w:pPr>
        <w:spacing w:after="120"/>
      </w:pPr>
    </w:p>
    <w:p w14:paraId="2E9F0E6F" w14:textId="77777777" w:rsidR="00A92CAB" w:rsidRDefault="00000000">
      <w:pPr>
        <w:spacing w:after="60"/>
        <w:jc w:val="center"/>
      </w:pPr>
      <w:r>
        <w:rPr>
          <w:b/>
          <w:bCs/>
          <w:color w:val="1F3864"/>
          <w:sz w:val="28"/>
          <w:szCs w:val="28"/>
        </w:rPr>
        <w:t>Michael Lamb</w:t>
      </w:r>
    </w:p>
    <w:p w14:paraId="2E9F0E70" w14:textId="77777777" w:rsidR="00A92CAB" w:rsidRDefault="00000000">
      <w:pPr>
        <w:spacing w:after="60"/>
        <w:jc w:val="center"/>
      </w:pPr>
      <w:r>
        <w:rPr>
          <w:color w:val="595959"/>
        </w:rPr>
        <w:t>The Hague, Netherlands</w:t>
      </w:r>
    </w:p>
    <w:p w14:paraId="2E9F0E71" w14:textId="77777777" w:rsidR="00A92CAB" w:rsidRDefault="00000000">
      <w:pPr>
        <w:spacing w:after="60"/>
        <w:jc w:val="center"/>
      </w:pPr>
      <w:r>
        <w:rPr>
          <w:i/>
          <w:iCs/>
          <w:color w:val="595959"/>
        </w:rPr>
        <w:t>First Edition — 2026</w:t>
      </w:r>
    </w:p>
    <w:p w14:paraId="2E9F0E72" w14:textId="77777777" w:rsidR="00A92CAB" w:rsidRDefault="00A92CAB">
      <w:pPr>
        <w:spacing w:after="360"/>
      </w:pPr>
    </w:p>
    <w:p w14:paraId="2E9F0E73" w14:textId="77777777" w:rsidR="00A92CAB" w:rsidRDefault="00000000">
      <w:pPr>
        <w:pStyle w:val="Heading1"/>
        <w:pBdr>
          <w:bottom w:val="single" w:sz="6" w:space="6" w:color="2E75B6"/>
        </w:pBdr>
      </w:pPr>
      <w:r>
        <w:t>1. Copyright Notice</w:t>
      </w:r>
    </w:p>
    <w:p w14:paraId="2E9F0E74" w14:textId="77777777" w:rsidR="00A92CAB" w:rsidRDefault="00000000">
      <w:pPr>
        <w:spacing w:before="80" w:after="120"/>
      </w:pPr>
      <w:r>
        <w:t>Copyright © 2025–2026 Michael Lamb. All rights reserved worldwide.</w:t>
      </w:r>
    </w:p>
    <w:p w14:paraId="2E9F0E75" w14:textId="77777777" w:rsidR="00A92CAB" w:rsidRDefault="00A92CAB">
      <w:pPr>
        <w:spacing w:after="120"/>
      </w:pPr>
    </w:p>
    <w:p w14:paraId="2E9F0E76" w14:textId="77777777" w:rsidR="00A92CAB" w:rsidRDefault="00000000">
      <w:pPr>
        <w:spacing w:before="80" w:after="120"/>
      </w:pPr>
      <w:r>
        <w:t>This work, including all written text, conceptual frameworks, architectural designs, diagrams, scoring models, governance models, and associated documentation published under the name ADAM — Autonomy Doctrine &amp; Architecture Model (hereinafter “ADAM” or “the Work”), is the exclusive intellectual property of Michael Lamb, residing in The Hague, Netherlands.</w:t>
      </w:r>
    </w:p>
    <w:p w14:paraId="2E9F0E77" w14:textId="77777777" w:rsidR="00A92CAB" w:rsidRDefault="00A92CAB">
      <w:pPr>
        <w:spacing w:after="120"/>
      </w:pPr>
    </w:p>
    <w:p w14:paraId="2E9F0E78" w14:textId="77777777" w:rsidR="00A92CAB" w:rsidRDefault="00000000">
      <w:pPr>
        <w:spacing w:before="80" w:after="120"/>
      </w:pPr>
      <w:r>
        <w:t>The Work is protected under applicable copyright law, including but not limited to:</w:t>
      </w:r>
    </w:p>
    <w:p w14:paraId="2E9F0E79" w14:textId="77777777" w:rsidR="00A92CAB" w:rsidRDefault="00000000">
      <w:pPr>
        <w:pStyle w:val="ListParagraph"/>
        <w:numPr>
          <w:ilvl w:val="0"/>
          <w:numId w:val="2"/>
        </w:numPr>
        <w:spacing w:before="60" w:after="60"/>
      </w:pPr>
      <w:r>
        <w:t>The Berne Convention for the Protection of Literary and Artistic Works (international)</w:t>
      </w:r>
    </w:p>
    <w:p w14:paraId="2E9F0E7A" w14:textId="77777777" w:rsidR="00A92CAB" w:rsidRDefault="00000000">
      <w:pPr>
        <w:pStyle w:val="ListParagraph"/>
        <w:numPr>
          <w:ilvl w:val="0"/>
          <w:numId w:val="2"/>
        </w:numPr>
        <w:spacing w:before="60" w:after="60"/>
      </w:pPr>
      <w:r>
        <w:t>The Agreement on Trade-Related Aspects of Intellectual Property Rights (TRIPS)</w:t>
      </w:r>
    </w:p>
    <w:p w14:paraId="2E9F0E7B" w14:textId="77777777" w:rsidR="00A92CAB" w:rsidRDefault="00000000">
      <w:pPr>
        <w:pStyle w:val="ListParagraph"/>
        <w:numPr>
          <w:ilvl w:val="0"/>
          <w:numId w:val="2"/>
        </w:numPr>
        <w:spacing w:before="60" w:after="60"/>
      </w:pPr>
      <w:r>
        <w:t>The European Union Directive 2001/29/EC on copyright and related rights</w:t>
      </w:r>
    </w:p>
    <w:p w14:paraId="2E9F0E7C" w14:textId="77777777" w:rsidR="00A92CAB" w:rsidRDefault="00000000">
      <w:pPr>
        <w:pStyle w:val="ListParagraph"/>
        <w:numPr>
          <w:ilvl w:val="0"/>
          <w:numId w:val="2"/>
        </w:numPr>
        <w:spacing w:before="60" w:after="60"/>
      </w:pPr>
      <w:r>
        <w:t>The Digital Millennium Copyright Act (DMCA) — United States</w:t>
      </w:r>
    </w:p>
    <w:p w14:paraId="2E9F0E7D" w14:textId="77777777" w:rsidR="00A92CAB" w:rsidRDefault="00000000">
      <w:pPr>
        <w:pStyle w:val="ListParagraph"/>
        <w:numPr>
          <w:ilvl w:val="0"/>
          <w:numId w:val="2"/>
        </w:numPr>
        <w:spacing w:before="60" w:after="60"/>
      </w:pPr>
      <w:r>
        <w:t>The Copyright Act of the Netherlands (Auteurswet)</w:t>
      </w:r>
    </w:p>
    <w:p w14:paraId="2E9F0E7E" w14:textId="77777777" w:rsidR="00A92CAB" w:rsidRDefault="00000000">
      <w:pPr>
        <w:pStyle w:val="ListParagraph"/>
        <w:numPr>
          <w:ilvl w:val="0"/>
          <w:numId w:val="2"/>
        </w:numPr>
        <w:spacing w:before="60" w:after="60"/>
      </w:pPr>
      <w:r>
        <w:t>All other applicable national and international copyright laws and treaties</w:t>
      </w:r>
    </w:p>
    <w:p w14:paraId="2E9F0E7F" w14:textId="77777777" w:rsidR="00A92CAB" w:rsidRDefault="00A92CAB">
      <w:pPr>
        <w:spacing w:after="120"/>
      </w:pPr>
    </w:p>
    <w:p w14:paraId="2E9F0E80" w14:textId="77777777" w:rsidR="00A92CAB" w:rsidRDefault="00000000">
      <w:pPr>
        <w:spacing w:before="80" w:after="120"/>
      </w:pPr>
      <w:r>
        <w:t>This copyright notice applies to all editions, translations, formats, and derivative summaries of the Work, whether distributed in print, electronic, digital, video, or any other medium.</w:t>
      </w:r>
    </w:p>
    <w:p w14:paraId="2E9F0E81" w14:textId="77777777" w:rsidR="00A92CAB" w:rsidRDefault="00A92CAB">
      <w:pPr>
        <w:spacing w:after="240"/>
      </w:pPr>
    </w:p>
    <w:p w14:paraId="2E9F0E82" w14:textId="77777777" w:rsidR="00A92CAB" w:rsidRDefault="00000000">
      <w:pPr>
        <w:pStyle w:val="Heading1"/>
        <w:pBdr>
          <w:bottom w:val="single" w:sz="6" w:space="6" w:color="2E75B6"/>
        </w:pBdr>
      </w:pPr>
      <w:r>
        <w:lastRenderedPageBreak/>
        <w:t>2. Publication &amp; Distribution Channels</w:t>
      </w:r>
    </w:p>
    <w:p w14:paraId="2E9F0E83" w14:textId="77777777" w:rsidR="00A92CAB" w:rsidRDefault="00000000">
      <w:pPr>
        <w:pStyle w:val="Heading2"/>
      </w:pPr>
      <w:r>
        <w:t>2.1  Commercial Publication — The Core Book</w:t>
      </w:r>
    </w:p>
    <w:p w14:paraId="2E9F0E84" w14:textId="77777777" w:rsidR="00A92CAB" w:rsidRDefault="00000000">
      <w:pPr>
        <w:spacing w:before="80" w:after="120"/>
      </w:pPr>
      <w:r>
        <w:t>The primary book document — ADAM: Autonomy Doctrine &amp; Architecture Model — is sold as a commercial e-book (PDF format) through the following authorized distribution channels:</w:t>
      </w:r>
    </w:p>
    <w:p w14:paraId="2E9F0E85" w14:textId="77777777" w:rsidR="00A92CAB" w:rsidRDefault="00000000">
      <w:pPr>
        <w:pStyle w:val="ListParagraph"/>
        <w:numPr>
          <w:ilvl w:val="0"/>
          <w:numId w:val="2"/>
        </w:numPr>
        <w:spacing w:before="60" w:after="60"/>
      </w:pPr>
      <w:r>
        <w:t>Amazon.com Kindle and e-book marketplace</w:t>
      </w:r>
    </w:p>
    <w:p w14:paraId="2E9F0E86" w14:textId="77777777" w:rsidR="00A92CAB" w:rsidRDefault="00000000">
      <w:pPr>
        <w:pStyle w:val="ListParagraph"/>
        <w:numPr>
          <w:ilvl w:val="0"/>
          <w:numId w:val="2"/>
        </w:numPr>
        <w:spacing w:before="60" w:after="60"/>
      </w:pPr>
      <w:r>
        <w:t>Gumroad and other authorized e-book retail platforms as designated by the Author</w:t>
      </w:r>
    </w:p>
    <w:p w14:paraId="2E9F0E87" w14:textId="77777777" w:rsidR="00A92CAB" w:rsidRDefault="00000000">
      <w:pPr>
        <w:pStyle w:val="ListParagraph"/>
        <w:numPr>
          <w:ilvl w:val="0"/>
          <w:numId w:val="2"/>
        </w:numPr>
        <w:spacing w:before="60" w:after="60"/>
      </w:pPr>
      <w:r>
        <w:t>Any other online retail channel expressly authorized by the Author in writing</w:t>
      </w:r>
    </w:p>
    <w:p w14:paraId="2E9F0E88" w14:textId="77777777" w:rsidR="00A92CAB" w:rsidRDefault="00A92CAB">
      <w:pPr>
        <w:spacing w:after="120"/>
      </w:pPr>
    </w:p>
    <w:p w14:paraId="2E9F0E89" w14:textId="77777777" w:rsidR="00A92CAB" w:rsidRDefault="00000000">
      <w:pPr>
        <w:spacing w:before="80" w:after="120"/>
      </w:pPr>
      <w:r>
        <w:t>Purchase of the commercial book through any authorized channel constitutes acceptance of the terms set forth in this Agreement.</w:t>
      </w:r>
    </w:p>
    <w:p w14:paraId="2E9F0E8A" w14:textId="77777777" w:rsidR="00A92CAB" w:rsidRDefault="00A92CAB">
      <w:pPr>
        <w:spacing w:after="120"/>
      </w:pPr>
    </w:p>
    <w:p w14:paraId="2E9F0E8B" w14:textId="77777777" w:rsidR="00A92CAB" w:rsidRDefault="00000000">
      <w:pPr>
        <w:pStyle w:val="Heading2"/>
      </w:pPr>
      <w:r>
        <w:t>2.2  Open-Source Publication — Companion Content</w:t>
      </w:r>
    </w:p>
    <w:p w14:paraId="2E9F0E8C" w14:textId="77777777" w:rsidR="00A92CAB" w:rsidRDefault="00000000">
      <w:pPr>
        <w:spacing w:before="80" w:after="120"/>
      </w:pPr>
      <w:r>
        <w:t>The following companion content is published by the Author under open-source licensing and is freely available to the public:</w:t>
      </w:r>
    </w:p>
    <w:p w14:paraId="2E9F0E8D" w14:textId="77777777" w:rsidR="00A92CAB" w:rsidRDefault="00000000">
      <w:pPr>
        <w:pStyle w:val="ListParagraph"/>
        <w:numPr>
          <w:ilvl w:val="0"/>
          <w:numId w:val="2"/>
        </w:numPr>
        <w:spacing w:before="60" w:after="60"/>
      </w:pPr>
      <w:r>
        <w:t>Source code, plugin modules, feeder code, agent templates, scoring formulas (including the BOSS Scoring Formula), configuration schemas, and all technical implementation assets — published on the Author’s GitHub repository</w:t>
      </w:r>
    </w:p>
    <w:p w14:paraId="2E9F0E8E" w14:textId="33507D2C" w:rsidR="00A92CAB" w:rsidRDefault="00000000">
      <w:pPr>
        <w:pStyle w:val="ListParagraph"/>
        <w:numPr>
          <w:ilvl w:val="0"/>
          <w:numId w:val="2"/>
        </w:numPr>
        <w:spacing w:before="60" w:after="60"/>
      </w:pPr>
      <w:r>
        <w:t>Video content, tutorials, walkthroughs, and commentary published on the Author’s official YouTube channel</w:t>
      </w:r>
      <w:r w:rsidR="00A31894">
        <w:rPr>
          <w:lang w:val="en-US"/>
        </w:rPr>
        <w:t>, Linked-In or other social platforms</w:t>
      </w:r>
    </w:p>
    <w:p w14:paraId="2E9F0E8F" w14:textId="77777777" w:rsidR="00A92CAB" w:rsidRDefault="00A92CAB">
      <w:pPr>
        <w:spacing w:after="120"/>
      </w:pPr>
    </w:p>
    <w:p w14:paraId="2E9F0E90" w14:textId="77777777" w:rsidR="00A92CAB" w:rsidRDefault="00000000">
      <w:pPr>
        <w:spacing w:before="80" w:after="120"/>
      </w:pPr>
      <w:r>
        <w:t>Open-source content is released under the Apache License 2.0 unless otherwise noted within individual repository files. The applicable license terms are provided within each repository and govern permissible use of those specific assets.</w:t>
      </w:r>
    </w:p>
    <w:p w14:paraId="2E9F0E91" w14:textId="77777777" w:rsidR="00A92CAB" w:rsidRDefault="00A92CAB">
      <w:pPr>
        <w:spacing w:after="240"/>
      </w:pPr>
    </w:p>
    <w:p w14:paraId="2E9F0E92" w14:textId="77777777" w:rsidR="00A92CAB" w:rsidRDefault="00000000">
      <w:pPr>
        <w:pStyle w:val="Heading1"/>
        <w:pBdr>
          <w:bottom w:val="single" w:sz="6" w:space="6" w:color="2E75B6"/>
        </w:pBdr>
      </w:pPr>
      <w:r>
        <w:t>3. Grant of Rights</w:t>
      </w:r>
    </w:p>
    <w:p w14:paraId="2E9F0E93" w14:textId="77777777" w:rsidR="00A92CAB" w:rsidRDefault="00000000">
      <w:pPr>
        <w:pStyle w:val="Heading2"/>
      </w:pPr>
      <w:r>
        <w:t>3.1  Rights Granted Upon Purchase of the Commercial Book</w:t>
      </w:r>
    </w:p>
    <w:p w14:paraId="2E9F0E94" w14:textId="77777777" w:rsidR="00A92CAB" w:rsidRDefault="00000000">
      <w:pPr>
        <w:spacing w:before="80" w:after="120"/>
      </w:pPr>
      <w:r>
        <w:t>Upon lawful purchase of the commercial edition of the Book through an authorized channel, the purchaser (hereinafter “Licensed User”) is granted a non-exclusive, non-transferable, worldwide, personal license to:</w:t>
      </w:r>
    </w:p>
    <w:p w14:paraId="2E9F0E95" w14:textId="77777777" w:rsidR="00A92CAB" w:rsidRDefault="00000000">
      <w:pPr>
        <w:pStyle w:val="ListParagraph"/>
        <w:numPr>
          <w:ilvl w:val="0"/>
          <w:numId w:val="2"/>
        </w:numPr>
        <w:spacing w:before="60" w:after="60"/>
      </w:pPr>
      <w:r>
        <w:t>Read, study, and reference the Book for personal, educational, and professional purposes</w:t>
      </w:r>
    </w:p>
    <w:p w14:paraId="2E9F0E96" w14:textId="77777777" w:rsidR="00A92CAB" w:rsidRDefault="00000000">
      <w:pPr>
        <w:pStyle w:val="ListParagraph"/>
        <w:numPr>
          <w:ilvl w:val="0"/>
          <w:numId w:val="2"/>
        </w:numPr>
        <w:spacing w:before="60" w:after="60"/>
      </w:pPr>
      <w:r>
        <w:t>Implement the full ADAM blueprint — including all frameworks, doctrines, architectures, scoring systems, and governance models described within — within the Licensed User’s own organization or on behalf of a client</w:t>
      </w:r>
    </w:p>
    <w:p w14:paraId="2E9F0E97" w14:textId="77777777" w:rsidR="00A92CAB" w:rsidRDefault="00000000">
      <w:pPr>
        <w:pStyle w:val="ListParagraph"/>
        <w:numPr>
          <w:ilvl w:val="0"/>
          <w:numId w:val="2"/>
        </w:numPr>
        <w:spacing w:before="60" w:after="60"/>
      </w:pPr>
      <w:r>
        <w:t>Reference and cite the Work, with appropriate attribution to the Author, in derivative business plans, technical designs, presentations, or internal documentation</w:t>
      </w:r>
    </w:p>
    <w:p w14:paraId="2E9F0E98" w14:textId="77777777" w:rsidR="00A92CAB" w:rsidRDefault="00A92CAB">
      <w:pPr>
        <w:spacing w:after="120"/>
      </w:pPr>
    </w:p>
    <w:p w14:paraId="2E9F0E99" w14:textId="77777777" w:rsidR="00A92CAB" w:rsidRDefault="00000000">
      <w:pPr>
        <w:pBdr>
          <w:top w:val="single" w:sz="6" w:space="6" w:color="2E75B6"/>
          <w:left w:val="single" w:sz="18" w:space="10" w:color="2E75B6"/>
          <w:bottom w:val="single" w:sz="6" w:space="6" w:color="2E75B6"/>
          <w:right w:val="single" w:sz="6" w:space="6" w:color="2E75B6"/>
        </w:pBdr>
        <w:spacing w:before="100" w:after="100"/>
        <w:ind w:left="720" w:right="720"/>
      </w:pPr>
      <w:r>
        <w:rPr>
          <w:b/>
          <w:bCs/>
          <w:color w:val="1F3864"/>
          <w:sz w:val="20"/>
          <w:szCs w:val="20"/>
        </w:rPr>
        <w:lastRenderedPageBreak/>
        <w:t>IMPORTANT: The right to implement the full ADAM blueprint is granted exclusively to Licensed Users who have purchased the commercial book. Possession of the open-source companion content alone does not grant this right.</w:t>
      </w:r>
    </w:p>
    <w:p w14:paraId="2E9F0E9A" w14:textId="77777777" w:rsidR="00A92CAB" w:rsidRDefault="00A92CAB">
      <w:pPr>
        <w:spacing w:after="120"/>
      </w:pPr>
    </w:p>
    <w:p w14:paraId="2E9F0E9B" w14:textId="77777777" w:rsidR="00A92CAB" w:rsidRDefault="00000000">
      <w:pPr>
        <w:pStyle w:val="Heading2"/>
      </w:pPr>
      <w:r>
        <w:t>3.2  Rights Governing Open-Source Companion Content</w:t>
      </w:r>
    </w:p>
    <w:p w14:paraId="2E9F0E9C" w14:textId="77777777" w:rsidR="00A92CAB" w:rsidRDefault="00000000">
      <w:pPr>
        <w:spacing w:before="80" w:after="120"/>
      </w:pPr>
      <w:r>
        <w:t>The open-source companion content published on GitHub and YouTube may be used by anyone, regardless of whether they have purchased the commercial book, subject to the following conditions:</w:t>
      </w:r>
    </w:p>
    <w:p w14:paraId="2E9F0E9D" w14:textId="77777777" w:rsidR="00A92CAB" w:rsidRDefault="00000000">
      <w:pPr>
        <w:pStyle w:val="ListParagraph"/>
        <w:numPr>
          <w:ilvl w:val="0"/>
          <w:numId w:val="2"/>
        </w:numPr>
        <w:spacing w:before="60" w:after="60"/>
      </w:pPr>
      <w:r>
        <w:t>Individual modules, formulas, code components, and scripts (such as the BOSS Scoring Formula) may be used on a standalone basis, integrated into third-party systems, or incorporated into independent projects</w:t>
      </w:r>
    </w:p>
    <w:p w14:paraId="2E9F0E9E" w14:textId="77777777" w:rsidR="00A92CAB" w:rsidRDefault="00000000">
      <w:pPr>
        <w:pStyle w:val="ListParagraph"/>
        <w:numPr>
          <w:ilvl w:val="0"/>
          <w:numId w:val="2"/>
        </w:numPr>
        <w:spacing w:before="60" w:after="60"/>
      </w:pPr>
      <w:r>
        <w:t>Users are free to modify, extend, and redistribute open-source components in accordance with the terms of the Apache License 2.0 (or the specific license designated within each repository)</w:t>
      </w:r>
    </w:p>
    <w:p w14:paraId="2E9F0E9F" w14:textId="77777777" w:rsidR="00A92CAB" w:rsidRDefault="00000000">
      <w:pPr>
        <w:pStyle w:val="ListParagraph"/>
        <w:numPr>
          <w:ilvl w:val="0"/>
          <w:numId w:val="2"/>
        </w:numPr>
        <w:spacing w:before="60" w:after="60"/>
      </w:pPr>
      <w:r>
        <w:t>Open-source content may NOT be used as a substitute for purchasing the commercial book. Specifically, compiling, aggregating, or distributing open-source assets alongside a copy of the commercial book text — whether obtained lawfully or otherwise — without a valid purchase does not constitute a licensed use</w:t>
      </w:r>
    </w:p>
    <w:p w14:paraId="2E9F0EA0" w14:textId="77777777" w:rsidR="00A92CAB" w:rsidRDefault="00A92CAB">
      <w:pPr>
        <w:spacing w:after="120"/>
      </w:pPr>
    </w:p>
    <w:p w14:paraId="2E9F0EA1" w14:textId="77777777" w:rsidR="00A92CAB" w:rsidRDefault="00000000">
      <w:pPr>
        <w:pStyle w:val="Heading2"/>
      </w:pPr>
      <w:r>
        <w:t>3.3  Rights NOT Granted</w:t>
      </w:r>
    </w:p>
    <w:p w14:paraId="2E9F0EA2" w14:textId="77777777" w:rsidR="00A92CAB" w:rsidRDefault="00000000">
      <w:pPr>
        <w:spacing w:before="80" w:after="120"/>
      </w:pPr>
      <w:r>
        <w:t>Unless expressly permitted under a separate written agreement signed by the Author, the following acts are strictly prohibited:</w:t>
      </w:r>
    </w:p>
    <w:p w14:paraId="2E9F0EA3" w14:textId="77777777" w:rsidR="00A92CAB" w:rsidRDefault="00000000">
      <w:pPr>
        <w:pStyle w:val="ListParagraph"/>
        <w:numPr>
          <w:ilvl w:val="0"/>
          <w:numId w:val="2"/>
        </w:numPr>
        <w:spacing w:before="60" w:after="60"/>
      </w:pPr>
      <w:r>
        <w:t>Reproducing, distributing, or transmitting the commercial book text — in whole or in substantial part — in any form without authorization</w:t>
      </w:r>
    </w:p>
    <w:p w14:paraId="2E9F0EA4" w14:textId="77777777" w:rsidR="00A92CAB" w:rsidRDefault="00000000">
      <w:pPr>
        <w:pStyle w:val="ListParagraph"/>
        <w:numPr>
          <w:ilvl w:val="0"/>
          <w:numId w:val="2"/>
        </w:numPr>
        <w:spacing w:before="60" w:after="60"/>
      </w:pPr>
      <w:r>
        <w:t>Creating and selling competing publications or derivative books that are substantially based on or reproduce the conceptual frameworks, doctrine, or text of the Work</w:t>
      </w:r>
    </w:p>
    <w:p w14:paraId="2E9F0EA5" w14:textId="77777777" w:rsidR="00A92CAB" w:rsidRDefault="00000000">
      <w:pPr>
        <w:pStyle w:val="ListParagraph"/>
        <w:numPr>
          <w:ilvl w:val="0"/>
          <w:numId w:val="2"/>
        </w:numPr>
        <w:spacing w:before="60" w:after="60"/>
      </w:pPr>
      <w:r>
        <w:t>Representing the Work as one’s own original intellectual property</w:t>
      </w:r>
    </w:p>
    <w:p w14:paraId="2E9F0EA6" w14:textId="77777777" w:rsidR="00A92CAB" w:rsidRDefault="00000000">
      <w:pPr>
        <w:pStyle w:val="ListParagraph"/>
        <w:numPr>
          <w:ilvl w:val="0"/>
          <w:numId w:val="2"/>
        </w:numPr>
        <w:spacing w:before="60" w:after="60"/>
      </w:pPr>
      <w:r>
        <w:t>Removing or altering copyright notices, attribution statements, or license identifiers from any component of the Work</w:t>
      </w:r>
    </w:p>
    <w:p w14:paraId="2E9F0EA7" w14:textId="77777777" w:rsidR="00A92CAB" w:rsidRDefault="00000000">
      <w:pPr>
        <w:pStyle w:val="ListParagraph"/>
        <w:numPr>
          <w:ilvl w:val="0"/>
          <w:numId w:val="2"/>
        </w:numPr>
        <w:spacing w:before="60" w:after="60"/>
      </w:pPr>
      <w:r>
        <w:t>Using the Work for purposes that violate applicable law in the jurisdiction of use</w:t>
      </w:r>
    </w:p>
    <w:p w14:paraId="2E9F0EA8" w14:textId="77777777" w:rsidR="00A92CAB" w:rsidRDefault="00A92CAB">
      <w:pPr>
        <w:spacing w:after="240"/>
      </w:pPr>
    </w:p>
    <w:p w14:paraId="2E9F0EA9" w14:textId="77777777" w:rsidR="00A92CAB" w:rsidRDefault="00000000">
      <w:pPr>
        <w:pStyle w:val="Heading1"/>
        <w:pBdr>
          <w:bottom w:val="single" w:sz="6" w:space="6" w:color="2E75B6"/>
        </w:pBdr>
      </w:pPr>
      <w:r>
        <w:t>4. Disclaimer of Warranties</w:t>
      </w:r>
    </w:p>
    <w:p w14:paraId="2E9F0EAA" w14:textId="77777777" w:rsidR="00A92CAB" w:rsidRDefault="00000000">
      <w:pPr>
        <w:pBdr>
          <w:top w:val="single" w:sz="6" w:space="6" w:color="2E75B6"/>
          <w:left w:val="single" w:sz="18" w:space="10" w:color="2E75B6"/>
          <w:bottom w:val="single" w:sz="6" w:space="6" w:color="2E75B6"/>
          <w:right w:val="single" w:sz="6" w:space="6" w:color="2E75B6"/>
        </w:pBdr>
        <w:spacing w:before="100" w:after="100"/>
        <w:ind w:left="720" w:right="720"/>
      </w:pPr>
      <w:r>
        <w:rPr>
          <w:b/>
          <w:bCs/>
          <w:color w:val="1F3864"/>
          <w:sz w:val="20"/>
          <w:szCs w:val="20"/>
        </w:rPr>
        <w:t>THE WORK IS PROVIDED “AS IS” AND “AS AVAILABLE.” THE AUTHOR EXPRESSLY DISCLAIMS ALL WARRANTIES, EXPRESS OR IMPLIED, INCLUDING BUT NOT LIMITED TO WARRANTIES OF MERCHANTABILITY, FITNESS FOR A PARTICULAR PURPOSE, ACCURACY, COMPLETENESS, AND NON-INFRINGEMENT.</w:t>
      </w:r>
    </w:p>
    <w:p w14:paraId="2E9F0EAB" w14:textId="77777777" w:rsidR="00A92CAB" w:rsidRDefault="00A92CAB">
      <w:pPr>
        <w:spacing w:after="120"/>
      </w:pPr>
    </w:p>
    <w:p w14:paraId="2E9F0EAC" w14:textId="77777777" w:rsidR="00A92CAB" w:rsidRDefault="00000000">
      <w:pPr>
        <w:pStyle w:val="Heading2"/>
      </w:pPr>
      <w:r>
        <w:lastRenderedPageBreak/>
        <w:t>4.1  No Guarantee of Completeness</w:t>
      </w:r>
    </w:p>
    <w:p w14:paraId="2E9F0EAD" w14:textId="77777777" w:rsidR="00A92CAB" w:rsidRDefault="00000000">
      <w:pPr>
        <w:spacing w:before="80" w:after="120"/>
      </w:pPr>
      <w:r>
        <w:t>The Author does not warrant that the Work is complete, exhaustive, error-free, or that it covers all scenarios, edge cases, regulatory environments, or technical configurations that a reader may encounter. Enterprise autonomous systems are complex and evolving; the Work reflects the Author’s knowledge and frameworks at the time of publication and may not account for subsequent developments in technology, law, or industry practice.</w:t>
      </w:r>
    </w:p>
    <w:p w14:paraId="2E9F0EAE" w14:textId="77777777" w:rsidR="00A92CAB" w:rsidRDefault="00A92CAB">
      <w:pPr>
        <w:spacing w:after="120"/>
      </w:pPr>
    </w:p>
    <w:p w14:paraId="2E9F0EAF" w14:textId="77777777" w:rsidR="00A92CAB" w:rsidRDefault="00000000">
      <w:pPr>
        <w:pStyle w:val="Heading2"/>
      </w:pPr>
      <w:r>
        <w:t>4.2  No Guarantee of Operational Fitness</w:t>
      </w:r>
    </w:p>
    <w:p w14:paraId="2E9F0EB0" w14:textId="77777777" w:rsidR="00A92CAB" w:rsidRDefault="00000000">
      <w:pPr>
        <w:spacing w:before="80" w:after="120"/>
      </w:pPr>
      <w:r>
        <w:t>The ADAM framework, including all sub-systems such as the BOSS Scoring Engine, the CORE Engine, the Flight Recorder, Intent Objects, and Agent Mesh configurations, constitutes a doctrinal and architectural guide. Implementation outcomes depend entirely on how the Licensed User configures, customizes, integrates, and operates these systems within their own environment.</w:t>
      </w:r>
    </w:p>
    <w:p w14:paraId="2E9F0EB1" w14:textId="77777777" w:rsidR="00A92CAB" w:rsidRDefault="00A92CAB">
      <w:pPr>
        <w:spacing w:after="120"/>
      </w:pPr>
    </w:p>
    <w:p w14:paraId="2E9F0EB2" w14:textId="77777777" w:rsidR="00A92CAB" w:rsidRDefault="00000000">
      <w:pPr>
        <w:spacing w:before="80" w:after="120"/>
      </w:pPr>
      <w:r>
        <w:t>The Author expressly provides no guarantee that:</w:t>
      </w:r>
    </w:p>
    <w:p w14:paraId="2E9F0EB3" w14:textId="77777777" w:rsidR="00A92CAB" w:rsidRDefault="00000000">
      <w:pPr>
        <w:pStyle w:val="ListParagraph"/>
        <w:numPr>
          <w:ilvl w:val="0"/>
          <w:numId w:val="2"/>
        </w:numPr>
        <w:spacing w:before="60" w:after="60"/>
      </w:pPr>
      <w:r>
        <w:t>Any system built using the ADAM blueprint will function as intended</w:t>
      </w:r>
    </w:p>
    <w:p w14:paraId="2E9F0EB4" w14:textId="77777777" w:rsidR="00A92CAB" w:rsidRDefault="00000000">
      <w:pPr>
        <w:pStyle w:val="ListParagraph"/>
        <w:numPr>
          <w:ilvl w:val="0"/>
          <w:numId w:val="2"/>
        </w:numPr>
        <w:spacing w:before="60" w:after="60"/>
      </w:pPr>
      <w:r>
        <w:t>Customizations applied by the Licensed User — including, without limitation, modifications to BOSS scoring weights, agent thresholds, Director Constitution parameters, or exception policies — will produce operationally sound outcomes</w:t>
      </w:r>
    </w:p>
    <w:p w14:paraId="2E9F0EB5" w14:textId="77777777" w:rsidR="00A92CAB" w:rsidRDefault="00000000">
      <w:pPr>
        <w:pStyle w:val="ListParagraph"/>
        <w:numPr>
          <w:ilvl w:val="0"/>
          <w:numId w:val="2"/>
        </w:numPr>
        <w:spacing w:before="60" w:after="60"/>
      </w:pPr>
      <w:r>
        <w:t>Example code, pseudocode, scripts, or configuration samples included in the Work or companion repositories are free from defects or suitable for production deployment without independent verification and adaptation</w:t>
      </w:r>
    </w:p>
    <w:p w14:paraId="2E9F0EB6" w14:textId="77777777" w:rsidR="00A92CAB" w:rsidRDefault="00A92CAB">
      <w:pPr>
        <w:spacing w:after="120"/>
      </w:pPr>
    </w:p>
    <w:p w14:paraId="2E9F0EB7" w14:textId="77777777" w:rsidR="00A92CAB" w:rsidRDefault="00000000">
      <w:pPr>
        <w:pBdr>
          <w:left w:val="single" w:sz="12" w:space="12" w:color="2E75B6"/>
        </w:pBdr>
        <w:spacing w:before="60" w:after="80"/>
        <w:ind w:left="720" w:right="720"/>
      </w:pPr>
      <w:r>
        <w:rPr>
          <w:i/>
          <w:iCs/>
          <w:color w:val="595959"/>
          <w:sz w:val="20"/>
          <w:szCs w:val="20"/>
        </w:rPr>
        <w:t>By way of example only: a Licensed User who reconfigures BOSS scoring dimension weights without adequate testing may produce a system that scores agent actions inappropriately, leading to unintended operational outcomes. The Author bears no responsibility for such outcomes.</w:t>
      </w:r>
    </w:p>
    <w:p w14:paraId="2E9F0EB8" w14:textId="77777777" w:rsidR="00A92CAB" w:rsidRDefault="00A92CAB">
      <w:pPr>
        <w:spacing w:after="120"/>
      </w:pPr>
    </w:p>
    <w:p w14:paraId="2E9F0EB9" w14:textId="77777777" w:rsidR="00A92CAB" w:rsidRDefault="00000000">
      <w:pPr>
        <w:pStyle w:val="Heading2"/>
      </w:pPr>
      <w:r>
        <w:t>4.3  No Legal, Regulatory, or Compliance Guarantee</w:t>
      </w:r>
    </w:p>
    <w:p w14:paraId="2E9F0EBA" w14:textId="77777777" w:rsidR="00A92CAB" w:rsidRDefault="00000000">
      <w:pPr>
        <w:spacing w:before="80" w:after="120"/>
      </w:pPr>
      <w:r>
        <w:t>The Work does not constitute legal advice. The frameworks, governance models, and policy structures described herein are provided for illustrative and conceptual purposes only. It is the sole responsibility of the Licensed User to:</w:t>
      </w:r>
    </w:p>
    <w:p w14:paraId="2E9F0EBB" w14:textId="77777777" w:rsidR="00A92CAB" w:rsidRDefault="00000000">
      <w:pPr>
        <w:pStyle w:val="ListParagraph"/>
        <w:numPr>
          <w:ilvl w:val="0"/>
          <w:numId w:val="2"/>
        </w:numPr>
        <w:spacing w:before="60" w:after="60"/>
      </w:pPr>
      <w:r>
        <w:t>Ensure that any implementation complies with the laws, regulations, and professional standards applicable in their jurisdiction, including but not limited to the EU AI Act, GDPR, DORA, NIS2, SOX, HIPAA, or any other applicable regime</w:t>
      </w:r>
    </w:p>
    <w:p w14:paraId="2E9F0EBC" w14:textId="77777777" w:rsidR="00A92CAB" w:rsidRDefault="00000000">
      <w:pPr>
        <w:pStyle w:val="ListParagraph"/>
        <w:numPr>
          <w:ilvl w:val="0"/>
          <w:numId w:val="2"/>
        </w:numPr>
        <w:spacing w:before="60" w:after="60"/>
      </w:pPr>
      <w:r>
        <w:t>Engage qualified legal counsel to review any governance framework, autonomous agent policy, or compliance structure derived from the Work before operational deployment</w:t>
      </w:r>
    </w:p>
    <w:p w14:paraId="2E9F0EBD" w14:textId="77777777" w:rsidR="00A92CAB" w:rsidRDefault="00000000">
      <w:pPr>
        <w:pStyle w:val="ListParagraph"/>
        <w:numPr>
          <w:ilvl w:val="0"/>
          <w:numId w:val="2"/>
        </w:numPr>
        <w:spacing w:before="60" w:after="60"/>
      </w:pPr>
      <w:r>
        <w:t>Conduct their own due diligence regarding the suitability of the ADAM framework for their specific industry, organizational context, and regulatory environment</w:t>
      </w:r>
    </w:p>
    <w:p w14:paraId="2E9F0EBE" w14:textId="77777777" w:rsidR="00A92CAB" w:rsidRDefault="00A92CAB">
      <w:pPr>
        <w:spacing w:after="120"/>
      </w:pPr>
    </w:p>
    <w:p w14:paraId="2E9F0EBF" w14:textId="77777777" w:rsidR="00A92CAB" w:rsidRDefault="00000000">
      <w:pPr>
        <w:pStyle w:val="Heading2"/>
      </w:pPr>
      <w:r>
        <w:t>4.4  No Financial or Investment Guarantee</w:t>
      </w:r>
    </w:p>
    <w:p w14:paraId="2E9F0EC0" w14:textId="77777777" w:rsidR="00A92CAB" w:rsidRDefault="00000000">
      <w:pPr>
        <w:spacing w:before="80" w:after="120"/>
      </w:pPr>
      <w:r>
        <w:lastRenderedPageBreak/>
        <w:t>The Work contains no financial projections, investment recommendations, or guarantees of business outcomes. Any business case, ROI estimate, or efficiency projection referenced in the Work is illustrative only. The Author makes no representation regarding the financial results that any organization may achieve through implementing the ADAM framework.</w:t>
      </w:r>
    </w:p>
    <w:p w14:paraId="2E9F0EC1" w14:textId="77777777" w:rsidR="00A92CAB" w:rsidRDefault="00A92CAB">
      <w:pPr>
        <w:spacing w:after="240"/>
      </w:pPr>
    </w:p>
    <w:p w14:paraId="2E9F0EC2" w14:textId="77777777" w:rsidR="00A92CAB" w:rsidRDefault="00000000">
      <w:pPr>
        <w:pStyle w:val="Heading1"/>
        <w:pBdr>
          <w:bottom w:val="single" w:sz="6" w:space="6" w:color="2E75B6"/>
        </w:pBdr>
      </w:pPr>
      <w:r>
        <w:t>5. Limitation of Liability</w:t>
      </w:r>
    </w:p>
    <w:p w14:paraId="2E9F0EC3" w14:textId="77777777" w:rsidR="00A92CAB" w:rsidRDefault="00000000">
      <w:pPr>
        <w:spacing w:before="80" w:after="120"/>
      </w:pPr>
      <w:r>
        <w:t>TO THE MAXIMUM EXTENT PERMITTED BY APPLICABLE LAW, THE AUTHOR SHALL NOT BE LIABLE FOR ANY DIRECT, INDIRECT, INCIDENTAL, SPECIAL, CONSEQUENTIAL, PUNITIVE, OR EXEMPLARY DAMAGES ARISING OUT OF OR IN CONNECTION WITH THE USE OR INABILITY TO USE THE WORK, INCLUDING BUT NOT LIMITED TO:</w:t>
      </w:r>
    </w:p>
    <w:p w14:paraId="2E9F0EC4" w14:textId="77777777" w:rsidR="00A92CAB" w:rsidRDefault="00000000">
      <w:pPr>
        <w:pStyle w:val="ListParagraph"/>
        <w:numPr>
          <w:ilvl w:val="0"/>
          <w:numId w:val="2"/>
        </w:numPr>
        <w:spacing w:before="60" w:after="60"/>
      </w:pPr>
      <w:r>
        <w:t>Loss of business, revenue, data, or profits</w:t>
      </w:r>
    </w:p>
    <w:p w14:paraId="2E9F0EC5" w14:textId="77777777" w:rsidR="00A92CAB" w:rsidRDefault="00000000">
      <w:pPr>
        <w:pStyle w:val="ListParagraph"/>
        <w:numPr>
          <w:ilvl w:val="0"/>
          <w:numId w:val="2"/>
        </w:numPr>
        <w:spacing w:before="60" w:after="60"/>
      </w:pPr>
      <w:r>
        <w:t>System downtime, operational failures, or autonomous agent misbehavior</w:t>
      </w:r>
    </w:p>
    <w:p w14:paraId="2E9F0EC6" w14:textId="77777777" w:rsidR="00A92CAB" w:rsidRDefault="00000000">
      <w:pPr>
        <w:pStyle w:val="ListParagraph"/>
        <w:numPr>
          <w:ilvl w:val="0"/>
          <w:numId w:val="2"/>
        </w:numPr>
        <w:spacing w:before="60" w:after="60"/>
      </w:pPr>
      <w:r>
        <w:t>Regulatory penalties, legal proceedings, or compliance failures</w:t>
      </w:r>
    </w:p>
    <w:p w14:paraId="2E9F0EC7" w14:textId="77777777" w:rsidR="00A92CAB" w:rsidRDefault="00000000">
      <w:pPr>
        <w:pStyle w:val="ListParagraph"/>
        <w:numPr>
          <w:ilvl w:val="0"/>
          <w:numId w:val="2"/>
        </w:numPr>
        <w:spacing w:before="60" w:after="60"/>
      </w:pPr>
      <w:r>
        <w:t>Any outcome resulting from customization, misconfiguration, or incorrect implementation of ADAM components</w:t>
      </w:r>
    </w:p>
    <w:p w14:paraId="2E9F0EC8" w14:textId="77777777" w:rsidR="00A92CAB" w:rsidRDefault="00A92CAB">
      <w:pPr>
        <w:spacing w:after="120"/>
      </w:pPr>
    </w:p>
    <w:p w14:paraId="2E9F0EC9" w14:textId="77777777" w:rsidR="00A92CAB" w:rsidRDefault="00000000">
      <w:pPr>
        <w:spacing w:before="80" w:after="120"/>
      </w:pPr>
      <w:r>
        <w:t>This limitation applies regardless of the legal theory under which a claim is brought and whether or not the Author has been advised of the possibility of such damages.</w:t>
      </w:r>
    </w:p>
    <w:p w14:paraId="2E9F0ECA" w14:textId="77777777" w:rsidR="00A92CAB" w:rsidRDefault="00A92CAB">
      <w:pPr>
        <w:spacing w:after="120"/>
      </w:pPr>
    </w:p>
    <w:p w14:paraId="2E9F0ECB" w14:textId="77777777" w:rsidR="00A92CAB" w:rsidRDefault="00000000">
      <w:pPr>
        <w:spacing w:before="80" w:after="120"/>
      </w:pPr>
      <w:r>
        <w:t>Some jurisdictions do not allow the exclusion or limitation of certain warranties or liabilities. In such jurisdictions, the Author’s liability shall be limited to the maximum extent permitted by applicable law.</w:t>
      </w:r>
    </w:p>
    <w:p w14:paraId="2E9F0ECC" w14:textId="77777777" w:rsidR="00A92CAB" w:rsidRDefault="00A92CAB">
      <w:pPr>
        <w:spacing w:after="240"/>
      </w:pPr>
    </w:p>
    <w:p w14:paraId="2E9F0ECD" w14:textId="77777777" w:rsidR="00A92CAB" w:rsidRDefault="00000000">
      <w:pPr>
        <w:pStyle w:val="Heading1"/>
        <w:pBdr>
          <w:bottom w:val="single" w:sz="6" w:space="6" w:color="2E75B6"/>
        </w:pBdr>
      </w:pPr>
      <w:r>
        <w:t>6. Professional Guidance Advisory</w:t>
      </w:r>
    </w:p>
    <w:p w14:paraId="2E9F0ECE" w14:textId="77777777" w:rsidR="00A92CAB" w:rsidRDefault="00000000">
      <w:pPr>
        <w:spacing w:before="80" w:after="120"/>
      </w:pPr>
      <w:r>
        <w:t>The ADAM framework is designed for implementation at enterprise scale. It involves complex architectural decisions, autonomous agent governance, multi-cloud infrastructure, legal and regulatory alignment, and organizational change management. The Author strongly advises Licensed Users to seek qualified professional assistance appropriate to their needs.</w:t>
      </w:r>
    </w:p>
    <w:p w14:paraId="2E9F0ECF" w14:textId="77777777" w:rsidR="00A92CAB" w:rsidRDefault="00A92CAB">
      <w:pPr>
        <w:spacing w:after="120"/>
      </w:pPr>
    </w:p>
    <w:p w14:paraId="2E9F0ED0" w14:textId="77777777" w:rsidR="00A92CAB" w:rsidRDefault="00000000">
      <w:pPr>
        <w:pBdr>
          <w:left w:val="single" w:sz="12" w:space="12" w:color="2E75B6"/>
        </w:pBdr>
        <w:spacing w:before="60" w:after="80"/>
        <w:ind w:left="720" w:right="720"/>
      </w:pPr>
      <w:r>
        <w:rPr>
          <w:i/>
          <w:iCs/>
          <w:color w:val="595959"/>
          <w:sz w:val="20"/>
          <w:szCs w:val="20"/>
        </w:rPr>
        <w:t>Users who are new to enterprise-scale autonomous systems, AI governance architecture, or large-scale technology transformation are strongly encouraged to engage qualified consulting professionals before undertaking implementation. Firms such as Deloitte, McKinsey &amp; Company, PwC, Accenture, KPMG, IBM Consulting, or other established technology and management consulting organizations with relevant AI and enterprise architecture expertise are well-positioned to assist with such engagements.</w:t>
      </w:r>
    </w:p>
    <w:p w14:paraId="2E9F0ED1" w14:textId="77777777" w:rsidR="00A92CAB" w:rsidRDefault="00A92CAB">
      <w:pPr>
        <w:spacing w:after="120"/>
      </w:pPr>
    </w:p>
    <w:p w14:paraId="2E9F0ED2" w14:textId="77777777" w:rsidR="00A92CAB" w:rsidRDefault="00000000">
      <w:pPr>
        <w:spacing w:before="80" w:after="120"/>
      </w:pPr>
      <w:r>
        <w:t>The Work is a guide and a toolkit — not a turnkey solution. Real-world implementation requires engineering judgment, organizational context, legal review, and professional expertise that no book or open-source repository can fully substitute.</w:t>
      </w:r>
    </w:p>
    <w:p w14:paraId="2E9F0ED3" w14:textId="77777777" w:rsidR="00A92CAB" w:rsidRDefault="00A92CAB">
      <w:pPr>
        <w:spacing w:after="240"/>
      </w:pPr>
    </w:p>
    <w:p w14:paraId="2E9F0ED4" w14:textId="77777777" w:rsidR="00A92CAB" w:rsidRDefault="00000000">
      <w:pPr>
        <w:pStyle w:val="Heading1"/>
        <w:pBdr>
          <w:bottom w:val="single" w:sz="6" w:space="6" w:color="2E75B6"/>
        </w:pBdr>
      </w:pPr>
      <w:r>
        <w:t>7. Attribution Requirements</w:t>
      </w:r>
    </w:p>
    <w:p w14:paraId="2E9F0ED5" w14:textId="77777777" w:rsidR="00A92CAB" w:rsidRDefault="00000000">
      <w:pPr>
        <w:spacing w:before="80" w:after="120"/>
      </w:pPr>
      <w:r>
        <w:t>When publicly citing, referencing, or acknowledging the Work, the following attribution format is requested:</w:t>
      </w:r>
    </w:p>
    <w:p w14:paraId="2E9F0ED6" w14:textId="77777777" w:rsidR="00A92CAB" w:rsidRDefault="00A92CAB">
      <w:pPr>
        <w:spacing w:after="120"/>
      </w:pPr>
    </w:p>
    <w:p w14:paraId="2E9F0ED7" w14:textId="77777777" w:rsidR="00A92CAB" w:rsidRDefault="00000000">
      <w:pPr>
        <w:pBdr>
          <w:left w:val="single" w:sz="12" w:space="12" w:color="2E75B6"/>
        </w:pBdr>
        <w:spacing w:before="60" w:after="80"/>
        <w:ind w:left="720" w:right="720"/>
      </w:pPr>
      <w:r>
        <w:rPr>
          <w:i/>
          <w:iCs/>
          <w:color w:val="595959"/>
          <w:sz w:val="20"/>
          <w:szCs w:val="20"/>
        </w:rPr>
        <w:t>Lamb, M. (2026). ADAM: Autonomy Doctrine &amp; Architecture Model. The Hague, Netherlands. [Publisher/Platform]. Retrieved from [source URL].</w:t>
      </w:r>
    </w:p>
    <w:p w14:paraId="2E9F0ED8" w14:textId="77777777" w:rsidR="00A92CAB" w:rsidRDefault="00A92CAB">
      <w:pPr>
        <w:spacing w:after="120"/>
      </w:pPr>
    </w:p>
    <w:p w14:paraId="2E9F0ED9" w14:textId="77777777" w:rsidR="00A92CAB" w:rsidRDefault="00000000">
      <w:pPr>
        <w:spacing w:before="80" w:after="120"/>
      </w:pPr>
      <w:r>
        <w:t>Attribution is not required for internal business use or implementation. It is required for academic citations, published articles, public presentations, and any derivative work that references the ADAM framework.</w:t>
      </w:r>
    </w:p>
    <w:p w14:paraId="2E9F0EDA" w14:textId="77777777" w:rsidR="00A92CAB" w:rsidRDefault="00A92CAB">
      <w:pPr>
        <w:spacing w:after="240"/>
      </w:pPr>
    </w:p>
    <w:p w14:paraId="2E9F0EDB" w14:textId="77777777" w:rsidR="00A92CAB" w:rsidRDefault="00000000">
      <w:pPr>
        <w:pStyle w:val="Heading1"/>
        <w:pBdr>
          <w:bottom w:val="single" w:sz="6" w:space="6" w:color="2E75B6"/>
        </w:pBdr>
      </w:pPr>
      <w:r>
        <w:t>8. Special Use Agreements</w:t>
      </w:r>
    </w:p>
    <w:p w14:paraId="2E9F0EDC" w14:textId="77777777" w:rsidR="00A92CAB" w:rsidRDefault="00000000">
      <w:pPr>
        <w:spacing w:before="80" w:after="120"/>
      </w:pPr>
      <w:r>
        <w:t>The Author recognizes that certain use cases may require permissions beyond those granted by this Agreement. Special use agreements — including but not limited to commercial licensing, institutional licensing, training or educational use, OEM integration, white-label incorporation, or co-publication arrangements — may be negotiated on a case-by-case basis.</w:t>
      </w:r>
    </w:p>
    <w:p w14:paraId="2E9F0EDD" w14:textId="77777777" w:rsidR="00A92CAB" w:rsidRDefault="00A92CAB">
      <w:pPr>
        <w:spacing w:after="120"/>
      </w:pPr>
    </w:p>
    <w:p w14:paraId="2E9F0EDE" w14:textId="77777777" w:rsidR="00A92CAB" w:rsidRDefault="00000000">
      <w:pPr>
        <w:spacing w:before="80" w:after="120"/>
      </w:pPr>
      <w:r>
        <w:t>All special use agreements must be:</w:t>
      </w:r>
    </w:p>
    <w:p w14:paraId="2E9F0EDF" w14:textId="77777777" w:rsidR="00A92CAB" w:rsidRDefault="00000000">
      <w:pPr>
        <w:pStyle w:val="ListParagraph"/>
        <w:numPr>
          <w:ilvl w:val="0"/>
          <w:numId w:val="2"/>
        </w:numPr>
        <w:spacing w:before="60" w:after="60"/>
      </w:pPr>
      <w:r>
        <w:t>Requested in writing and directed to the Author</w:t>
      </w:r>
    </w:p>
    <w:p w14:paraId="2E9F0EE0" w14:textId="77777777" w:rsidR="00A92CAB" w:rsidRDefault="00000000">
      <w:pPr>
        <w:pStyle w:val="ListParagraph"/>
        <w:numPr>
          <w:ilvl w:val="0"/>
          <w:numId w:val="2"/>
        </w:numPr>
        <w:spacing w:before="60" w:after="60"/>
      </w:pPr>
      <w:r>
        <w:t>Reviewed and approved at the Author’s sole discretion</w:t>
      </w:r>
    </w:p>
    <w:p w14:paraId="2E9F0EE1" w14:textId="77777777" w:rsidR="00A92CAB" w:rsidRDefault="00000000">
      <w:pPr>
        <w:pStyle w:val="ListParagraph"/>
        <w:numPr>
          <w:ilvl w:val="0"/>
          <w:numId w:val="2"/>
        </w:numPr>
        <w:spacing w:before="60" w:after="60"/>
      </w:pPr>
      <w:r>
        <w:t>Confirmed in a written agreement signed by the Author before any use commences</w:t>
      </w:r>
    </w:p>
    <w:p w14:paraId="2E9F0EE2" w14:textId="77777777" w:rsidR="00A92CAB" w:rsidRDefault="00A92CAB">
      <w:pPr>
        <w:spacing w:after="120"/>
      </w:pPr>
    </w:p>
    <w:p w14:paraId="2E9F0EE3" w14:textId="77777777" w:rsidR="00A92CAB" w:rsidRDefault="00000000">
      <w:pPr>
        <w:spacing w:before="80" w:after="120"/>
      </w:pPr>
      <w:r>
        <w:t>Verbal agreements, email exchanges, or any representations made by third parties do not constitute a valid special use agreement. Only a duly executed written instrument signed by Michael Lamb confers any rights beyond those granted by this Agreement.</w:t>
      </w:r>
    </w:p>
    <w:p w14:paraId="2E9F0EE4" w14:textId="77777777" w:rsidR="00A92CAB" w:rsidRDefault="00A92CAB">
      <w:pPr>
        <w:spacing w:after="240"/>
      </w:pPr>
    </w:p>
    <w:p w14:paraId="2E9F0EE5" w14:textId="77777777" w:rsidR="00A92CAB" w:rsidRDefault="00000000">
      <w:pPr>
        <w:pStyle w:val="Heading1"/>
        <w:pBdr>
          <w:bottom w:val="single" w:sz="6" w:space="6" w:color="2E75B6"/>
        </w:pBdr>
      </w:pPr>
      <w:r>
        <w:t>9. Termination of License</w:t>
      </w:r>
    </w:p>
    <w:p w14:paraId="2E9F0EE6" w14:textId="77777777" w:rsidR="00A92CAB" w:rsidRDefault="00000000">
      <w:pPr>
        <w:spacing w:before="80" w:after="120"/>
      </w:pPr>
      <w:r>
        <w:t>The license granted under Section 3.1 (rights upon purchase) shall terminate automatically, without notice from the Author, if the Licensed User:</w:t>
      </w:r>
    </w:p>
    <w:p w14:paraId="2E9F0EE7" w14:textId="77777777" w:rsidR="00A92CAB" w:rsidRDefault="00000000">
      <w:pPr>
        <w:pStyle w:val="ListParagraph"/>
        <w:numPr>
          <w:ilvl w:val="0"/>
          <w:numId w:val="2"/>
        </w:numPr>
        <w:spacing w:before="60" w:after="60"/>
      </w:pPr>
      <w:r>
        <w:t>Distributes unauthorized copies of the commercial book text</w:t>
      </w:r>
    </w:p>
    <w:p w14:paraId="2E9F0EE8" w14:textId="77777777" w:rsidR="00A92CAB" w:rsidRDefault="00000000">
      <w:pPr>
        <w:pStyle w:val="ListParagraph"/>
        <w:numPr>
          <w:ilvl w:val="0"/>
          <w:numId w:val="2"/>
        </w:numPr>
        <w:spacing w:before="60" w:after="60"/>
      </w:pPr>
      <w:r>
        <w:t>Uses the Work to assist in or facilitate infringement of the Author’s intellectual property rights</w:t>
      </w:r>
    </w:p>
    <w:p w14:paraId="2E9F0EE9" w14:textId="77777777" w:rsidR="00A92CAB" w:rsidRDefault="00000000">
      <w:pPr>
        <w:pStyle w:val="ListParagraph"/>
        <w:numPr>
          <w:ilvl w:val="0"/>
          <w:numId w:val="2"/>
        </w:numPr>
        <w:spacing w:before="60" w:after="60"/>
      </w:pPr>
      <w:r>
        <w:t>Misrepresents ownership or authorship of the Work</w:t>
      </w:r>
    </w:p>
    <w:p w14:paraId="2E9F0EEA" w14:textId="77777777" w:rsidR="00A92CAB" w:rsidRDefault="00000000">
      <w:pPr>
        <w:pStyle w:val="ListParagraph"/>
        <w:numPr>
          <w:ilvl w:val="0"/>
          <w:numId w:val="2"/>
        </w:numPr>
        <w:spacing w:before="60" w:after="60"/>
      </w:pPr>
      <w:r>
        <w:lastRenderedPageBreak/>
        <w:t>Materially breaches any provision of this Agreement and fails to cure such breach within thirty (30) days of written notice</w:t>
      </w:r>
    </w:p>
    <w:p w14:paraId="2E9F0EEB" w14:textId="77777777" w:rsidR="00A92CAB" w:rsidRDefault="00A92CAB">
      <w:pPr>
        <w:spacing w:after="120"/>
      </w:pPr>
    </w:p>
    <w:p w14:paraId="2E9F0EEC" w14:textId="77777777" w:rsidR="00A92CAB" w:rsidRDefault="00000000">
      <w:pPr>
        <w:spacing w:before="80" w:after="120"/>
      </w:pPr>
      <w:r>
        <w:t>Upon termination, the Licensed User must cease all use of the commercial book and destroy any copies in their possession. Sections 4 (Disclaimer of Warranties), 5 (Limitation of Liability), and 10 (Governing Law) survive termination.</w:t>
      </w:r>
    </w:p>
    <w:p w14:paraId="2E9F0EED" w14:textId="77777777" w:rsidR="00A92CAB" w:rsidRDefault="00A92CAB">
      <w:pPr>
        <w:spacing w:after="240"/>
      </w:pPr>
    </w:p>
    <w:p w14:paraId="2E9F0EEE" w14:textId="77777777" w:rsidR="00A92CAB" w:rsidRDefault="00000000">
      <w:pPr>
        <w:pStyle w:val="Heading1"/>
        <w:pBdr>
          <w:bottom w:val="single" w:sz="6" w:space="6" w:color="2E75B6"/>
        </w:pBdr>
      </w:pPr>
      <w:r>
        <w:t>10. Governing Law &amp; Jurisdiction</w:t>
      </w:r>
    </w:p>
    <w:p w14:paraId="2E9F0EEF" w14:textId="77777777" w:rsidR="00A92CAB" w:rsidRDefault="00000000">
      <w:pPr>
        <w:spacing w:before="80" w:after="120"/>
      </w:pPr>
      <w:r>
        <w:t>This Agreement shall be governed by and construed in accordance with the laws of the Netherlands, without regard to its conflict of law provisions.</w:t>
      </w:r>
    </w:p>
    <w:p w14:paraId="2E9F0EF0" w14:textId="77777777" w:rsidR="00A92CAB" w:rsidRDefault="00A92CAB">
      <w:pPr>
        <w:spacing w:after="120"/>
      </w:pPr>
    </w:p>
    <w:p w14:paraId="2E9F0EF1" w14:textId="77777777" w:rsidR="00A92CAB" w:rsidRDefault="00000000">
      <w:pPr>
        <w:spacing w:before="80" w:after="120"/>
      </w:pPr>
      <w:r>
        <w:t>Any dispute, controversy, or claim arising out of or in connection with this Agreement, or the breach, termination, or invalidity thereof, shall be submitted to the competent courts of The Hague, Netherlands, unless otherwise agreed in writing between the parties.</w:t>
      </w:r>
    </w:p>
    <w:p w14:paraId="2E9F0EF2" w14:textId="77777777" w:rsidR="00A92CAB" w:rsidRDefault="00A92CAB">
      <w:pPr>
        <w:spacing w:after="120"/>
      </w:pPr>
    </w:p>
    <w:p w14:paraId="2E9F0EF3" w14:textId="77777777" w:rsidR="00A92CAB" w:rsidRDefault="00000000">
      <w:pPr>
        <w:spacing w:before="80" w:after="120"/>
      </w:pPr>
      <w:r>
        <w:t>For Licensed Users in jurisdictions where the choice of Netherlands law is not recognized, the laws of the applicable jurisdiction shall govern to the extent required, but the intent of this Agreement shall be honored to the maximum extent permitted.</w:t>
      </w:r>
    </w:p>
    <w:p w14:paraId="2E9F0EF4" w14:textId="77777777" w:rsidR="00A92CAB" w:rsidRDefault="00A92CAB">
      <w:pPr>
        <w:spacing w:after="120"/>
      </w:pPr>
    </w:p>
    <w:p w14:paraId="2E9F0EF5" w14:textId="77777777" w:rsidR="00A92CAB" w:rsidRDefault="00000000">
      <w:pPr>
        <w:spacing w:before="80" w:after="120"/>
      </w:pPr>
      <w:r>
        <w:t>The United Nations Convention on Contracts for the International Sale of Goods (CISG) shall not apply to this Agreement.</w:t>
      </w:r>
    </w:p>
    <w:p w14:paraId="2E9F0EF6" w14:textId="77777777" w:rsidR="00A92CAB" w:rsidRDefault="00A92CAB">
      <w:pPr>
        <w:spacing w:after="240"/>
      </w:pPr>
    </w:p>
    <w:p w14:paraId="2E9F0EF7" w14:textId="77777777" w:rsidR="00A92CAB" w:rsidRDefault="00000000">
      <w:pPr>
        <w:pStyle w:val="Heading1"/>
        <w:pBdr>
          <w:bottom w:val="single" w:sz="6" w:space="6" w:color="2E75B6"/>
        </w:pBdr>
      </w:pPr>
      <w:r>
        <w:t>11. General Provisions</w:t>
      </w:r>
    </w:p>
    <w:p w14:paraId="2E9F0EF8" w14:textId="77777777" w:rsidR="00A92CAB" w:rsidRDefault="00000000">
      <w:pPr>
        <w:pStyle w:val="Heading2"/>
      </w:pPr>
      <w:r>
        <w:t>11.1  Severability</w:t>
      </w:r>
    </w:p>
    <w:p w14:paraId="2E9F0EF9" w14:textId="77777777" w:rsidR="00A92CAB" w:rsidRDefault="00000000">
      <w:pPr>
        <w:spacing w:before="80" w:after="120"/>
      </w:pPr>
      <w:r>
        <w:t>If any provision of this Agreement is found to be invalid, illegal, or unenforceable under applicable law, that provision shall be modified to the minimum extent necessary to make it enforceable, or severed from the Agreement if modification is not possible. The remaining provisions shall continue in full force and effect.</w:t>
      </w:r>
    </w:p>
    <w:p w14:paraId="2E9F0EFA" w14:textId="77777777" w:rsidR="00A92CAB" w:rsidRDefault="00A92CAB">
      <w:pPr>
        <w:spacing w:after="120"/>
      </w:pPr>
    </w:p>
    <w:p w14:paraId="2E9F0EFB" w14:textId="77777777" w:rsidR="00A92CAB" w:rsidRDefault="00000000">
      <w:pPr>
        <w:pStyle w:val="Heading2"/>
      </w:pPr>
      <w:r>
        <w:t>11.2  Entire Agreement</w:t>
      </w:r>
    </w:p>
    <w:p w14:paraId="2E9F0EFC" w14:textId="77777777" w:rsidR="00A92CAB" w:rsidRDefault="00000000">
      <w:pPr>
        <w:spacing w:before="80" w:after="120"/>
      </w:pPr>
      <w:r>
        <w:t>This Agreement constitutes the entire agreement between the Author and the Licensed User with respect to the subject matter hereof and supersedes all prior and contemporaneous agreements, representations, warranties, and understandings, whether oral or written.</w:t>
      </w:r>
    </w:p>
    <w:p w14:paraId="2E9F0EFD" w14:textId="77777777" w:rsidR="00A92CAB" w:rsidRDefault="00A92CAB">
      <w:pPr>
        <w:spacing w:after="120"/>
      </w:pPr>
    </w:p>
    <w:p w14:paraId="2E9F0EFE" w14:textId="77777777" w:rsidR="00A92CAB" w:rsidRDefault="00000000">
      <w:pPr>
        <w:pStyle w:val="Heading2"/>
      </w:pPr>
      <w:r>
        <w:t>11.3  No Waiver</w:t>
      </w:r>
    </w:p>
    <w:p w14:paraId="2E9F0EFF" w14:textId="77777777" w:rsidR="00A92CAB" w:rsidRDefault="00000000">
      <w:pPr>
        <w:spacing w:before="80" w:after="120"/>
      </w:pPr>
      <w:r>
        <w:lastRenderedPageBreak/>
        <w:t>The failure of the Author to enforce any provision of this Agreement shall not be construed as a waiver of the Author’s right to enforce that provision in the future.</w:t>
      </w:r>
    </w:p>
    <w:p w14:paraId="2E9F0F00" w14:textId="77777777" w:rsidR="00A92CAB" w:rsidRDefault="00A92CAB">
      <w:pPr>
        <w:spacing w:after="120"/>
      </w:pPr>
    </w:p>
    <w:p w14:paraId="2E9F0F01" w14:textId="77777777" w:rsidR="00A92CAB" w:rsidRDefault="00000000">
      <w:pPr>
        <w:pStyle w:val="Heading2"/>
      </w:pPr>
      <w:r>
        <w:t>11.4  Updates and Revisions</w:t>
      </w:r>
    </w:p>
    <w:p w14:paraId="2E9F0F02" w14:textId="77777777" w:rsidR="00A92CAB" w:rsidRDefault="00000000">
      <w:pPr>
        <w:spacing w:before="80" w:after="120"/>
      </w:pPr>
      <w:r>
        <w:t>The Author reserves the right to revise this Agreement for future editions of the Work. The version of this Agreement included with your purchased edition governs your use of that edition. Revised agreements apply only to editions published after the revision date.</w:t>
      </w:r>
    </w:p>
    <w:p w14:paraId="2E9F0F03" w14:textId="77777777" w:rsidR="00A92CAB" w:rsidRDefault="00A92CAB">
      <w:pPr>
        <w:spacing w:after="240"/>
      </w:pPr>
    </w:p>
    <w:p w14:paraId="2E9F0F04" w14:textId="77777777" w:rsidR="00A92CAB" w:rsidRDefault="00A92CAB">
      <w:pPr>
        <w:pBdr>
          <w:bottom w:val="single" w:sz="4" w:space="6" w:color="CCCCCC"/>
        </w:pBdr>
        <w:spacing w:before="120" w:after="120"/>
      </w:pPr>
    </w:p>
    <w:p w14:paraId="2E9F0F05" w14:textId="77777777" w:rsidR="00A92CAB" w:rsidRDefault="00A92CAB">
      <w:pPr>
        <w:spacing w:after="120"/>
      </w:pPr>
    </w:p>
    <w:p w14:paraId="2E9F0F06" w14:textId="77777777" w:rsidR="00A92CAB" w:rsidRDefault="00000000">
      <w:pPr>
        <w:spacing w:after="80"/>
        <w:jc w:val="center"/>
      </w:pPr>
      <w:r>
        <w:rPr>
          <w:b/>
          <w:bCs/>
          <w:color w:val="1F3864"/>
          <w:sz w:val="24"/>
          <w:szCs w:val="24"/>
        </w:rPr>
        <w:t>ADAM — Autonomy Doctrine &amp; Architecture Model</w:t>
      </w:r>
    </w:p>
    <w:p w14:paraId="2E9F0F07" w14:textId="77777777" w:rsidR="00A92CAB" w:rsidRDefault="00000000">
      <w:pPr>
        <w:spacing w:after="80"/>
        <w:jc w:val="center"/>
      </w:pPr>
      <w:r>
        <w:rPr>
          <w:i/>
          <w:iCs/>
          <w:color w:val="595959"/>
          <w:sz w:val="20"/>
          <w:szCs w:val="20"/>
        </w:rPr>
        <w:t>Copyright © 2025–2026 Michael Lamb — All Rights Reserved Worldwide</w:t>
      </w:r>
    </w:p>
    <w:p w14:paraId="2E9F0F08" w14:textId="77777777" w:rsidR="00A92CAB" w:rsidRDefault="00000000">
      <w:pPr>
        <w:spacing w:after="80"/>
        <w:jc w:val="center"/>
      </w:pPr>
      <w:r>
        <w:rPr>
          <w:color w:val="595959"/>
          <w:sz w:val="20"/>
          <w:szCs w:val="20"/>
        </w:rPr>
        <w:t>The Hague, Netherlands</w:t>
      </w:r>
    </w:p>
    <w:p w14:paraId="2E9F0F09" w14:textId="77777777" w:rsidR="00A92CAB" w:rsidRDefault="00000000">
      <w:pPr>
        <w:jc w:val="center"/>
      </w:pPr>
      <w:r>
        <w:rPr>
          <w:i/>
          <w:iCs/>
          <w:color w:val="595959"/>
          <w:sz w:val="20"/>
          <w:szCs w:val="20"/>
        </w:rPr>
        <w:t>For special use inquiries, contact the Author in writing.</w:t>
      </w:r>
    </w:p>
    <w:sectPr w:rsidR="00A92CA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B24E" w14:textId="77777777" w:rsidR="003812E7" w:rsidRDefault="003812E7">
      <w:r>
        <w:separator/>
      </w:r>
    </w:p>
  </w:endnote>
  <w:endnote w:type="continuationSeparator" w:id="0">
    <w:p w14:paraId="1173AAEA" w14:textId="77777777" w:rsidR="003812E7" w:rsidRDefault="00381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0F0B" w14:textId="132F9015" w:rsidR="00A92CAB" w:rsidRDefault="00000000">
    <w:pPr>
      <w:pBdr>
        <w:top w:val="single" w:sz="4" w:space="4" w:color="CCCCCC"/>
      </w:pBdr>
      <w:tabs>
        <w:tab w:val="right" w:pos="9026"/>
      </w:tabs>
    </w:pPr>
    <w:r>
      <w:rPr>
        <w:color w:val="595959"/>
        <w:sz w:val="18"/>
        <w:szCs w:val="18"/>
      </w:rPr>
      <w:t>All Rights Reserved — Global Publication</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3189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4E72B" w14:textId="77777777" w:rsidR="003812E7" w:rsidRDefault="003812E7">
      <w:r>
        <w:separator/>
      </w:r>
    </w:p>
  </w:footnote>
  <w:footnote w:type="continuationSeparator" w:id="0">
    <w:p w14:paraId="6CDA0EF6" w14:textId="77777777" w:rsidR="003812E7" w:rsidRDefault="00381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0F0A" w14:textId="77777777" w:rsidR="00A92CAB" w:rsidRDefault="00000000">
    <w:pPr>
      <w:pBdr>
        <w:bottom w:val="single" w:sz="4" w:space="4" w:color="CCCCCC"/>
      </w:pBdr>
      <w:tabs>
        <w:tab w:val="right" w:pos="9026"/>
      </w:tabs>
    </w:pPr>
    <w:r>
      <w:rPr>
        <w:color w:val="595959"/>
        <w:sz w:val="18"/>
        <w:szCs w:val="18"/>
      </w:rPr>
      <w:t>ADAM — Autonomy Doctrine &amp; Architecture Model</w:t>
    </w:r>
    <w:r>
      <w:rPr>
        <w:sz w:val="18"/>
        <w:szCs w:val="18"/>
      </w:rPr>
      <w:tab/>
    </w:r>
    <w:r>
      <w:rPr>
        <w:i/>
        <w:iCs/>
        <w:color w:val="595959"/>
        <w:sz w:val="18"/>
        <w:szCs w:val="18"/>
      </w:rPr>
      <w:t>Copyright © 2025–2026 Michael Lamb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24E8"/>
    <w:multiLevelType w:val="hybridMultilevel"/>
    <w:tmpl w:val="4C2498AE"/>
    <w:lvl w:ilvl="0" w:tplc="C5F02980">
      <w:start w:val="1"/>
      <w:numFmt w:val="bullet"/>
      <w:lvlText w:val="●"/>
      <w:lvlJc w:val="left"/>
      <w:pPr>
        <w:ind w:left="720" w:hanging="360"/>
      </w:pPr>
    </w:lvl>
    <w:lvl w:ilvl="1" w:tplc="6AD6F29C">
      <w:start w:val="1"/>
      <w:numFmt w:val="bullet"/>
      <w:lvlText w:val="○"/>
      <w:lvlJc w:val="left"/>
      <w:pPr>
        <w:ind w:left="1440" w:hanging="360"/>
      </w:pPr>
    </w:lvl>
    <w:lvl w:ilvl="2" w:tplc="EEFCC71A">
      <w:start w:val="1"/>
      <w:numFmt w:val="bullet"/>
      <w:lvlText w:val="■"/>
      <w:lvlJc w:val="left"/>
      <w:pPr>
        <w:ind w:left="2160" w:hanging="360"/>
      </w:pPr>
    </w:lvl>
    <w:lvl w:ilvl="3" w:tplc="ABF0ACFC">
      <w:start w:val="1"/>
      <w:numFmt w:val="bullet"/>
      <w:lvlText w:val="●"/>
      <w:lvlJc w:val="left"/>
      <w:pPr>
        <w:ind w:left="2880" w:hanging="360"/>
      </w:pPr>
    </w:lvl>
    <w:lvl w:ilvl="4" w:tplc="F40286D0">
      <w:start w:val="1"/>
      <w:numFmt w:val="bullet"/>
      <w:lvlText w:val="○"/>
      <w:lvlJc w:val="left"/>
      <w:pPr>
        <w:ind w:left="3600" w:hanging="360"/>
      </w:pPr>
    </w:lvl>
    <w:lvl w:ilvl="5" w:tplc="7F4E74AE">
      <w:start w:val="1"/>
      <w:numFmt w:val="bullet"/>
      <w:lvlText w:val="■"/>
      <w:lvlJc w:val="left"/>
      <w:pPr>
        <w:ind w:left="4320" w:hanging="360"/>
      </w:pPr>
    </w:lvl>
    <w:lvl w:ilvl="6" w:tplc="A51A6C10">
      <w:start w:val="1"/>
      <w:numFmt w:val="bullet"/>
      <w:lvlText w:val="●"/>
      <w:lvlJc w:val="left"/>
      <w:pPr>
        <w:ind w:left="5040" w:hanging="360"/>
      </w:pPr>
    </w:lvl>
    <w:lvl w:ilvl="7" w:tplc="1B8C224E">
      <w:start w:val="1"/>
      <w:numFmt w:val="bullet"/>
      <w:lvlText w:val="●"/>
      <w:lvlJc w:val="left"/>
      <w:pPr>
        <w:ind w:left="5760" w:hanging="360"/>
      </w:pPr>
    </w:lvl>
    <w:lvl w:ilvl="8" w:tplc="5F08180E">
      <w:start w:val="1"/>
      <w:numFmt w:val="bullet"/>
      <w:lvlText w:val="●"/>
      <w:lvlJc w:val="left"/>
      <w:pPr>
        <w:ind w:left="6480" w:hanging="360"/>
      </w:pPr>
    </w:lvl>
  </w:abstractNum>
  <w:abstractNum w:abstractNumId="1" w15:restartNumberingAfterBreak="0">
    <w:nsid w:val="5B296BE5"/>
    <w:multiLevelType w:val="hybridMultilevel"/>
    <w:tmpl w:val="F8E4E614"/>
    <w:lvl w:ilvl="0" w:tplc="11AC7414">
      <w:start w:val="1"/>
      <w:numFmt w:val="bullet"/>
      <w:lvlText w:val="•"/>
      <w:lvlJc w:val="left"/>
      <w:pPr>
        <w:ind w:left="720" w:hanging="360"/>
      </w:pPr>
    </w:lvl>
    <w:lvl w:ilvl="1" w:tplc="95B0FB5A">
      <w:numFmt w:val="decimal"/>
      <w:lvlText w:val=""/>
      <w:lvlJc w:val="left"/>
    </w:lvl>
    <w:lvl w:ilvl="2" w:tplc="44DAE46C">
      <w:numFmt w:val="decimal"/>
      <w:lvlText w:val=""/>
      <w:lvlJc w:val="left"/>
    </w:lvl>
    <w:lvl w:ilvl="3" w:tplc="9E14E578">
      <w:numFmt w:val="decimal"/>
      <w:lvlText w:val=""/>
      <w:lvlJc w:val="left"/>
    </w:lvl>
    <w:lvl w:ilvl="4" w:tplc="CB2A9C32">
      <w:numFmt w:val="decimal"/>
      <w:lvlText w:val=""/>
      <w:lvlJc w:val="left"/>
    </w:lvl>
    <w:lvl w:ilvl="5" w:tplc="B97E9BF0">
      <w:numFmt w:val="decimal"/>
      <w:lvlText w:val=""/>
      <w:lvlJc w:val="left"/>
    </w:lvl>
    <w:lvl w:ilvl="6" w:tplc="E522ED48">
      <w:numFmt w:val="decimal"/>
      <w:lvlText w:val=""/>
      <w:lvlJc w:val="left"/>
    </w:lvl>
    <w:lvl w:ilvl="7" w:tplc="72406300">
      <w:numFmt w:val="decimal"/>
      <w:lvlText w:val=""/>
      <w:lvlJc w:val="left"/>
    </w:lvl>
    <w:lvl w:ilvl="8" w:tplc="92403388">
      <w:numFmt w:val="decimal"/>
      <w:lvlText w:val=""/>
      <w:lvlJc w:val="left"/>
    </w:lvl>
  </w:abstractNum>
  <w:num w:numId="1" w16cid:durableId="513887471">
    <w:abstractNumId w:val="0"/>
    <w:lvlOverride w:ilvl="0">
      <w:startOverride w:val="1"/>
    </w:lvlOverride>
  </w:num>
  <w:num w:numId="2" w16cid:durableId="1141848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CAB"/>
    <w:rsid w:val="003812E7"/>
    <w:rsid w:val="00A31894"/>
    <w:rsid w:val="00A92CAB"/>
    <w:rsid w:val="00AE01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0E68"/>
  <w15:docId w15:val="{F01AD528-6B22-4E12-8859-D94FE123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2224</Words>
  <Characters>12677</Characters>
  <Application>Microsoft Office Word</Application>
  <DocSecurity>0</DocSecurity>
  <Lines>105</Lines>
  <Paragraphs>29</Paragraphs>
  <ScaleCrop>false</ScaleCrop>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Lamb</cp:lastModifiedBy>
  <cp:revision>2</cp:revision>
  <dcterms:created xsi:type="dcterms:W3CDTF">2026-04-12T18:19:00Z</dcterms:created>
  <dcterms:modified xsi:type="dcterms:W3CDTF">2026-04-14T12:52:00Z</dcterms:modified>
</cp:coreProperties>
</file>