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OPA Rego Authoring Standards</w:t>
      </w:r>
    </w:p>
    <w:p>
      <w:pPr>
        <w:pStyle w:val="Subtitle"/>
      </w:pPr>
      <w:r>
        <w:t xml:space="preserve">ADAM Support Document v1.0 — companion to ADAM book v1.7 Appendix L</w:t>
      </w:r>
    </w:p>
    <w:p>
      <w:pPr>
        <w:spacing w:after="120"/>
      </w:pPr>
      <w:r>
        <w:rPr>
          <w:i/>
          <w:iCs/>
          <w:color w:val="5A6678"/>
        </w:rPr>
        <w:t xml:space="preserve">Version 1.0  ·  26 April 2026  ·  Audit-log origin: Section 0210 → 0210.G</w:t>
      </w:r>
    </w:p>
    <w:p>
      <w:pPr>
        <w:pBdr>
          <w:bottom w:val="single" w:color="AAAAAA" w:sz="6" w:space="1"/>
        </w:pBdr>
        <w:spacing w:after="200" w:before="80"/>
      </w:pPr>
    </w:p>
    <w:p>
      <w:pPr>
        <w:pStyle w:val="Heading1"/>
      </w:pPr>
      <w:r>
        <w:t xml:space="preserve">1. Scope</w:t>
      </w:r>
    </w:p>
    <w:p>
      <w:pPr>
        <w:spacing w:after="120"/>
      </w:pPr>
      <w:r>
        <w:t xml:space="preserve">This document is the authoritative authoring standard for every .rego policy file shipped in the ADAM SpecPack. It applies to:</w:t>
      </w:r>
    </w:p>
    <w:p>
      <w:pPr>
        <w:pStyle w:val="ListParagraph"/>
        <w:numPr>
          <w:ilvl w:val="0"/>
          <w:numId w:val="2"/>
        </w:numPr>
      </w:pPr>
      <w:r>
        <w:t xml:space="preserve">The BOSS routing rego module (boss-routing.rego).</w:t>
      </w:r>
    </w:p>
    <w:p>
      <w:pPr>
        <w:pStyle w:val="ListParagraph"/>
        <w:numPr>
          <w:ilvl w:val="0"/>
          <w:numId w:val="2"/>
        </w:numPr>
      </w:pPr>
      <w:r>
        <w:t xml:space="preserve">Company-specific hard-rule modules emitted by the DNA Deployment Tool (e.g., netstreamx-policy.rego).</w:t>
      </w:r>
    </w:p>
    <w:p>
      <w:pPr>
        <w:pStyle w:val="ListParagraph"/>
        <w:numPr>
          <w:ilvl w:val="0"/>
          <w:numId w:val="2"/>
        </w:numPr>
      </w:pPr>
      <w:r>
        <w:t xml:space="preserve">The AGT Light agent-os policy template.</w:t>
      </w:r>
    </w:p>
    <w:p>
      <w:pPr>
        <w:pStyle w:val="ListParagraph"/>
        <w:numPr>
          <w:ilvl w:val="0"/>
          <w:numId w:val="2"/>
        </w:numPr>
      </w:pPr>
      <w:r>
        <w:t xml:space="preserve">Any custom policy module added to a deployment by an operator.</w:t>
      </w:r>
    </w:p>
    <w:p>
      <w:pPr>
        <w:spacing w:after="120"/>
      </w:pPr>
      <w:r>
        <w:t xml:space="preserve">Compliance with this standard is a hard gate: the preflight Rego validator (Sovereignty Connector 1.2) refuses to pass a bundle that violates the rules in §3 below.</w:t>
      </w:r>
    </w:p>
    <w:p>
      <w:pPr>
        <w:pStyle w:val="Heading1"/>
      </w:pPr>
      <w:r>
        <w:t xml:space="preserve">2. Required environment</w:t>
      </w:r>
    </w:p>
    <w:p>
      <w:pPr>
        <w:pStyle w:val="ListParagraph"/>
        <w:numPr>
          <w:ilvl w:val="0"/>
          <w:numId w:val="2"/>
        </w:numPr>
      </w:pPr>
      <w:r>
        <w:t xml:space="preserve">OPA image pin: openpolicyagent/opa:0.64.1 (or any later 0.6x point release validated against this standard).</w:t>
      </w:r>
    </w:p>
    <w:p>
      <w:pPr>
        <w:pStyle w:val="ListParagraph"/>
        <w:numPr>
          <w:ilvl w:val="0"/>
          <w:numId w:val="2"/>
        </w:numPr>
      </w:pPr>
      <w:r>
        <w:t xml:space="preserve">OPA invocation: must include --v1-compatible on the `run` command.</w:t>
      </w:r>
    </w:p>
    <w:p>
      <w:pPr>
        <w:pStyle w:val="ListParagraph"/>
        <w:numPr>
          <w:ilvl w:val="0"/>
          <w:numId w:val="2"/>
        </w:numPr>
      </w:pPr>
      <w:r>
        <w:t xml:space="preserve">Every .rego file: must begin with `import rego.v1` immediately after the `package` declaration.</w:t>
      </w:r>
    </w:p>
    <w:p>
      <w:pPr>
        <w:pStyle w:val="Heading1"/>
      </w:pPr>
      <w:r>
        <w:t xml:space="preserve">3. The seven hard rules (and why each exists)</w:t>
      </w:r>
    </w:p>
    <w:p>
      <w:pPr>
        <w:pStyle w:val="Heading2"/>
      </w:pPr>
      <w:r>
        <w:t xml:space="preserve">3.1 Use Rego v1, not v0</w:t>
      </w:r>
    </w:p>
    <w:p>
      <w:pPr>
        <w:spacing w:after="120"/>
      </w:pPr>
      <w:r>
        <w:t xml:space="preserve">The default OPA 0.64.x grammar is v0. Several modern Rego idioms — `name := expression` at module scope, `if`/`else` in rule bodies, `some x in y` iteration, partial-set rules with `contains` — silently mis-parse under v0. v1 is opt-in via `--v1-compatible` AND `import rego.v1`. Both are required; either alone is insufficient.</w:t>
      </w:r>
    </w:p>
    <w:p>
      <w:pPr>
        <w:spacing w:after="120"/>
      </w:pPr>
      <w:r>
        <w:rPr>
          <w:b/>
          <w:bCs/>
        </w:rPr>
        <w:t xml:space="preserve">Bad: </w:t>
      </w:r>
      <w:r>
        <w:rPr>
          <w:rFonts w:ascii="Consolas" w:cs="Consolas" w:eastAsia="Consolas" w:hAnsi="Consolas"/>
        </w:rPr>
        <w:t xml:space="preserve">import future.keywords.in</w:t>
      </w:r>
    </w:p>
    <w:p>
      <w:pPr>
        <w:spacing w:after="120"/>
      </w:pPr>
      <w:r>
        <w:rPr>
          <w:b/>
          <w:bCs/>
        </w:rPr>
        <w:t xml:space="preserve">Good: </w:t>
      </w:r>
      <w:r>
        <w:rPr>
          <w:rFonts w:ascii="Consolas" w:cs="Consolas" w:eastAsia="Consolas" w:hAnsi="Consolas"/>
        </w:rPr>
        <w:t xml:space="preserve">import rego.v1</w:t>
      </w:r>
    </w:p>
    <w:p>
      <w:pPr>
        <w:pStyle w:val="Heading2"/>
      </w:pPr>
      <w:r>
        <w:t xml:space="preserve">3.2 Negate helper rules, not iteration variables</w:t>
      </w:r>
    </w:p>
    <w:p>
      <w:pPr>
        <w:spacing w:after="120"/>
      </w:pPr>
      <w:r>
        <w:t xml:space="preserve">Every variable inside a `not` expression must be fully bound. An iteration variable (`foo[_]`) is by definition unbound — it stands for an existential search — and the OPA safety checker rejects the construct.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# Bad: unsafe-var error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not input.intent.approval_conditions[_].approval == "director"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# Good: helper rule, fully bound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has_director_approval if {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    some condition in input.intent.approval_conditions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    condition.approval == "director"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}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deny contains msg if {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    not has_director_approval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    msg := "..."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}</w:t>
      </w:r>
    </w:p>
    <w:p>
      <w:pPr>
        <w:pStyle w:val="Heading2"/>
      </w:pPr>
      <w:r>
        <w:t xml:space="preserve">3.3 Use ARRAY tuples for directional allow-lists</w:t>
      </w:r>
    </w:p>
    <w:p>
      <w:pPr>
        <w:spacing w:after="120"/>
      </w:pPr>
      <w:r>
        <w:t xml:space="preserve">Rego literal `{"a","b"}` is an unordered set — it equals `{"b","a"}`. For directional pairs (residency, source/target jurisdictions, ordered tuples of any kind), use ARRAY syntax `["a","b"]`. The audit-log defect: an R4 PII-residency policy that silently accepted reverse-direction transfers because the allow-list was set-of-sets.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# Bad: silently directional-blind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residency_allowed_pairs := { {"US","us-east"}, {"NL","eu-west"} }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# Good: order-preserving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residency_allowed_pairs := { ["US","us-east"], ["NL","eu-west"] }</w:t>
      </w:r>
    </w:p>
    <w:p>
      <w:pPr>
        <w:pStyle w:val="Heading2"/>
      </w:pPr>
      <w:r>
        <w:t xml:space="preserve">3.4 Make multi-rule definitions mutually exclusive</w:t>
      </w:r>
    </w:p>
    <w:p>
      <w:pPr>
        <w:spacing w:after="120"/>
      </w:pPr>
      <w:r>
        <w:t xml:space="preserve">Where the same partial rule is defined for multiple branches (typical: routing_tier with five tiers + sacred-boundary override), every branch must include the NEGATION of every higher-priority guard. This guarantees no two branches can fire on the same input — eliminating any risk of `eval_conflict_error` at request time.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default routing_tier := "soap"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routing_tier := "ohshat" if sacred_boundary_engaged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routing_tier := "ohshat" if {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    not sacred_boundary_engaged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    composite_score &gt; 75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}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routing_tier := "high" if {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    not sacred_boundary_engaged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    composite_score &gt; 50; composite_score &lt;= 75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}</w:t>
      </w:r>
    </w:p>
    <w:p>
      <w:pPr>
        <w:pStyle w:val="Heading2"/>
      </w:pPr>
      <w:r>
        <w:t xml:space="preserve">3.5 Prefer unrolled expressions over comprehensions for fixed-shape inputs</w:t>
      </w:r>
    </w:p>
    <w:p>
      <w:pPr>
        <w:spacing w:after="120"/>
      </w:pPr>
      <w:r>
        <w:t xml:space="preserve">When the input shape is a doctrinal constant (e.g., the 7 BOSS dimensions are fixed by the standard), prefer an unrolled per-key expression over an iterating comprehension. This trades a few extra lines for full immunity to the comprehension-body grammar booby-traps in §3.6 and §3.7.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# Bulletproof: unrolled, no comprehension, no |, no some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weighted_sum := s if {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    s := input.dimensions.security_impact     * 5.0 +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         input.dimensions.sovereignty_action  * 4.0 +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         input.dimensions.financial_exposure  * 4.0 +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         input.dimensions.regulatory_impact   * 3.0 +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         input.dimensions.reputational_risk   * 3.0 +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         input.dimensions.rights_certainty    * 3.0 +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         input.dimensions.doctrinal_alignment * 2.0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}</w:t>
      </w:r>
    </w:p>
    <w:p>
      <w:pPr>
        <w:pStyle w:val="Heading2"/>
      </w:pPr>
      <w:r>
        <w:t xml:space="preserve">3.6 If you must use a comprehension, never use a bare-reference body</w:t>
      </w:r>
    </w:p>
    <w:p>
      <w:pPr>
        <w:spacing w:after="120"/>
      </w:pPr>
      <w:r>
        <w:t xml:space="preserve">In v0 mode, the type checker reads `[expr | bare_ref]` as a candidate for the `or(set,set,set)` builtin (set union) because `|` is overloaded. The body must be an explicit binding, not a bare reference. v1 mode removes this ambiguity, but the discipline remains a portability hedge.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# Bad: type-checker reads | as set-union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s := sum([input.dimensions[d] | weights[d]])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/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# Good: explicit binding (and works in both v0 and v1)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s := sum([input.dimensions[d] * w | some d, w in weights])</w:t>
      </w:r>
    </w:p>
    <w:p>
      <w:pPr>
        <w:pStyle w:val="Heading2"/>
      </w:pPr>
      <w:r>
        <w:t xml:space="preserve">3.7 Pin the OPA image and version-control the rego bundle</w:t>
      </w:r>
    </w:p>
    <w:p>
      <w:pPr>
        <w:pStyle w:val="ListParagraph"/>
        <w:numPr>
          <w:ilvl w:val="0"/>
          <w:numId w:val="2"/>
        </w:numPr>
      </w:pPr>
      <w:r>
        <w:t xml:space="preserve">Pin: openpolicyagent/opa:0.64.1 in every compose file, Helm chart, and k8s manifest.</w:t>
      </w:r>
    </w:p>
    <w:p>
      <w:pPr>
        <w:pStyle w:val="ListParagraph"/>
        <w:numPr>
          <w:ilvl w:val="0"/>
          <w:numId w:val="2"/>
        </w:numPr>
      </w:pPr>
      <w:r>
        <w:t xml:space="preserve">Mount: in production, use ConfigMap (not bind-mount) so the bundle rotates atomically.</w:t>
      </w:r>
    </w:p>
    <w:p>
      <w:pPr>
        <w:pStyle w:val="ListParagraph"/>
        <w:numPr>
          <w:ilvl w:val="0"/>
          <w:numId w:val="2"/>
        </w:numPr>
      </w:pPr>
      <w:r>
        <w:t xml:space="preserve">Validate: run scripts/preflight/validate-rego before every bootstrap. The validator runs `opa parse` per file AND `opa check --v1-compatible` over the whole bundle, and fails fast with the offending file:line.</w:t>
      </w:r>
    </w:p>
    <w:p>
      <w:pPr>
        <w:pStyle w:val="Heading1"/>
      </w:pPr>
      <w:r>
        <w:t xml:space="preserve">4. Required header block in every .rego file</w:t>
      </w:r>
    </w:p>
    <w:p>
      <w:pPr>
        <w:spacing w:after="120"/>
      </w:pPr>
      <w:r>
        <w:t xml:space="preserve">Every .rego file shipped in an ADAM SpecPack MUST carry an authoring-discipline header block, of approximately the following form, immediately after the file metadata banner. The block must name §3.1–§3.7 by reference so a future maintainer reading the file alone has a path back to this standard: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# REGO AUTHORING DISCIPLINE — REQUIRED READING BEFORE EDITING THIS FILE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# This module REQUIRES OPA Rego v1 grammar. The bundle MUST be loaded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# by an OPA process invoked with the `--v1-compatible` flag.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# See ADAM v1.7 Appendix L and the OPA Rego Authoring Standards v1.0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# support document for the seven hard rules and their rationale.</w:t>
      </w:r>
    </w:p>
    <w:p>
      <w:pPr>
        <w:pStyle w:val="Code"/>
        <w:shd w:fill="F4F4F4" w:color="auto" w:val="clear"/>
        <w:spacing w:after="40" w:before="40"/>
      </w:pPr>
      <w:r>
        <w:rPr>
          <w:rFonts w:ascii="Consolas" w:cs="Consolas" w:eastAsia="Consolas" w:hAnsi="Consolas"/>
        </w:rPr>
        <w:t xml:space="preserve"># Audit-log origin: Section 0210 → 0210.G (NetStreamX initial deployment).</w:t>
      </w:r>
    </w:p>
    <w:p>
      <w:pPr>
        <w:pStyle w:val="Heading1"/>
      </w:pPr>
      <w:r>
        <w:t xml:space="preserve">5. Verification flow</w:t>
      </w:r>
    </w:p>
    <w:p>
      <w:pPr>
        <w:pStyle w:val="ListParagraph"/>
        <w:numPr>
          <w:ilvl w:val="0"/>
          <w:numId w:val="3"/>
        </w:numPr>
      </w:pPr>
      <w:r>
        <w:t xml:space="preserve">Author edits a .rego file in the SpecPack.</w:t>
      </w:r>
    </w:p>
    <w:p>
      <w:pPr>
        <w:pStyle w:val="ListParagraph"/>
        <w:numPr>
          <w:ilvl w:val="0"/>
          <w:numId w:val="3"/>
        </w:numPr>
      </w:pPr>
      <w:r>
        <w:t xml:space="preserve">Pre-commit hook (recommended) runs `opa fmt --diff` and `opa check --v1-compatible` against the bundle.</w:t>
      </w:r>
    </w:p>
    <w:p>
      <w:pPr>
        <w:pStyle w:val="ListParagraph"/>
        <w:numPr>
          <w:ilvl w:val="0"/>
          <w:numId w:val="3"/>
        </w:numPr>
      </w:pPr>
      <w:r>
        <w:t xml:space="preserve">Operator runs scripts/preflight/validate-rego.ps1 (or .sh) before bootstrap.</w:t>
      </w:r>
    </w:p>
    <w:p>
      <w:pPr>
        <w:pStyle w:val="ListParagraph"/>
        <w:numPr>
          <w:ilvl w:val="0"/>
          <w:numId w:val="3"/>
        </w:numPr>
      </w:pPr>
      <w:r>
        <w:t xml:space="preserve">Bootstrap script (e.g., bootstrap.ps1) refuses to apply the bundle if preflight returned non-zero.</w:t>
      </w:r>
    </w:p>
    <w:p>
      <w:pPr>
        <w:pStyle w:val="ListParagraph"/>
        <w:numPr>
          <w:ilvl w:val="0"/>
          <w:numId w:val="3"/>
        </w:numPr>
      </w:pPr>
      <w:r>
        <w:t xml:space="preserve">Flight Recorder event preflight_passed (or preflight_failed) is appended for audit.</w:t>
      </w:r>
    </w:p>
    <w:p>
      <w:pPr>
        <w:pStyle w:val="ListParagraph"/>
        <w:numPr>
          <w:ilvl w:val="0"/>
          <w:numId w:val="3"/>
        </w:numPr>
      </w:pPr>
      <w:r>
        <w:t xml:space="preserve">OPA service restarts cleanly. status.ps1 reports OPA endpoint OK.</w:t>
      </w:r>
    </w:p>
    <w:p>
      <w:pPr>
        <w:pBdr>
          <w:bottom w:val="single" w:color="AAAAAA" w:sz="6" w:space="1"/>
        </w:pBdr>
        <w:spacing w:after="200" w:before="80"/>
      </w:pPr>
    </w:p>
    <w:p>
      <w:pPr>
        <w:spacing w:after="120"/>
      </w:pPr>
      <w:r>
        <w:rPr>
          <w:i/>
          <w:iCs/>
          <w:color w:val="777777"/>
        </w:rPr>
        <w:t xml:space="preserve">— End of OPA Rego Authoring Standards v1.0 —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OPA Rego Authoring Standards v1.0 · ADAM v1.7 —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2A44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Calibri" w:cs="Calibri" w:eastAsia="Calibri" w:hAnsi="Calibri"/>
      <w:i/>
      <w:iCs/>
      <w:color w:val="5A6678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0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077"/>
      <w:sz w:val="22"/>
      <w:szCs w:val="22"/>
    </w:rPr>
  </w:style>
  <w:style w:type="paragraph" w:styleId="Code">
    <w:name w:val="Code"/>
    <w:basedOn w:val="Normal"/>
    <w:next w:val="Normal"/>
    <w:qFormat w:val="false"/>
    <w:pPr>
      <w:spacing w:after="60" w:before="60"/>
      <w:ind w:left="360"/>
    </w:pPr>
    <w:rPr>
      <w:rFonts w:ascii="Consolas" w:cs="Consolas" w:eastAsia="Consolas" w:hAnsi="Consolas"/>
      <w:color w:val="1A1A1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2026-04-26T09:56:47.463Z</dcterms:created>
  <dcterms:modified xsi:type="dcterms:W3CDTF">2026-04-26T09:56:47.463Z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