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ADAM v1.7</w:t>
      </w:r>
    </w:p>
    <w:p>
      <w:pPr>
        <w:pStyle w:val="Subtitle"/>
      </w:pPr>
      <w:r>
        <w:t xml:space="preserve">Autonomy Doctrine and Architecture Model — Errata, Audit Lessons, and Maintenance Edition</w:t>
      </w:r>
    </w:p>
    <w:p>
      <w:pPr>
        <w:spacing w:after="120"/>
      </w:pPr>
      <w:r>
        <w:rPr>
          <w:i/>
          <w:iCs/>
          <w:color w:val="5A6678"/>
        </w:rPr>
        <w:t xml:space="preserve">Version 1.7  ·  26 April 2026  ·  Author: Michael Lamb</w:t>
      </w:r>
    </w:p>
    <w:p>
      <w:pPr>
        <w:pBdr>
          <w:bottom w:val="single" w:color="AAAAAA" w:sz="6" w:space="1"/>
        </w:pBdr>
        <w:spacing w:after="200" w:before="80"/>
      </w:pPr>
    </w:p>
    <w:p>
      <w:pPr>
        <w:pStyle w:val="Heading1"/>
      </w:pPr>
      <w:r>
        <w:t xml:space="preserve">Purpose of v1.7</w:t>
      </w:r>
    </w:p>
    <w:p>
      <w:pPr>
        <w:spacing w:after="120"/>
      </w:pPr>
      <w:r>
        <w:t xml:space="preserve">This is a maintenance edition of the ADAM book. The body of the doctrine — the 81-agent mesh, the 5-Director Constitution, the 11 pillars, the BOSS v3.3 scoring engine, the Intent Object schema, the Sovereignty Connector design, and the legal/governance scaffolding — is unchanged from v1.6. Nothing in the underlying architecture has shifted.</w:t>
      </w:r>
    </w:p>
    <w:p>
      <w:pPr>
        <w:spacing w:after="120"/>
      </w:pPr>
      <w:r>
        <w:t xml:space="preserve">What v1.7 contains is a permanent, doctrine-level record of the seven distinct lessons learned during the first end-to-end deployment of an ADAM SpecPack on a real Windows host (NetStreamX test instance, 23–24 April 2026). Every lesson is cross-referenced to its audit log section, codified into the relevant support document or code package, and — where possible — has a preventive guardrail shipped alongside it so the same defect cannot reach a production deployment again.</w:t>
      </w:r>
    </w:p>
    <w:p>
      <w:pPr>
        <w:pStyle w:val="Heading1"/>
      </w:pPr>
      <w:r>
        <w:t xml:space="preserve">Companion Version Bumps</w:t>
      </w:r>
    </w:p>
    <w:p>
      <w:pPr>
        <w:spacing w:after="120"/>
      </w:pPr>
      <w:r>
        <w:t xml:space="preserve">The following packages are bumped in lockstep with this edition: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880"/>
        <w:gridCol w:w="1440"/>
        <w:gridCol w:w="1440"/>
        <w:gridCol w:w="3600"/>
      </w:tblGrid>
      <w:tr>
        <w:tc>
          <w:tcPr>
            <w:tcW w:type="dxa" w:w="2880"/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Package</w:t>
            </w:r>
          </w:p>
        </w:tc>
        <w:tc>
          <w:tcPr>
            <w:tcW w:type="dxa" w:w="1440"/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From</w:t>
            </w:r>
          </w:p>
        </w:tc>
        <w:tc>
          <w:tcPr>
            <w:tcW w:type="dxa" w:w="1440"/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</w:t>
            </w:r>
          </w:p>
        </w:tc>
        <w:tc>
          <w:tcPr>
            <w:tcW w:type="dxa" w:w="3600"/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Audit-driven change</w:t>
            </w:r>
          </w:p>
        </w:tc>
      </w:tr>
      <w:tr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BOSS Governance &amp; Scoring Engine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v3.2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v3.3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Reference rego module canonised on Rego v1; Authoring Standards added.</w:t>
            </w:r>
          </w:p>
        </w:tc>
      </w:tr>
      <w:tr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AGT Light Plugin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v1.1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v1.2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Policy template re-asserts import rego.v1; helper-rule discipline documented.</w:t>
            </w:r>
          </w:p>
        </w:tc>
      </w:tr>
      <w:tr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DNA Deployment Tool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v1.1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v1.2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Generated rego now emits import rego.v1 and unrolled comprehensions.</w:t>
            </w:r>
          </w:p>
        </w:tc>
      </w:tr>
      <w:tr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Sovereignty Connector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Ships preflight Rego validator; OPA defaults to --v1-compatible.</w:t>
            </w:r>
          </w:p>
        </w:tc>
      </w:tr>
      <w:tr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ADAM book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v1.6</w:t>
            </w:r>
          </w:p>
        </w:tc>
        <w:tc>
          <w:tcPr>
            <w:tcW w:type="dxa" w:w="1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v1.7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This document. Adds Appendix L "OPA Rego Authoring Standards".</w:t>
            </w:r>
          </w:p>
        </w:tc>
      </w:tr>
    </w:tbl>
    <w:p>
      <w:pPr>
        <w:pStyle w:val="Heading1"/>
      </w:pPr>
      <w:r>
        <w:t xml:space="preserve">Appendix L — OPA Rego Authoring Standards (canonical)</w:t>
      </w:r>
    </w:p>
    <w:p>
      <w:pPr>
        <w:spacing w:after="120"/>
      </w:pPr>
      <w:r>
        <w:t xml:space="preserve">Appendix L is published as a standalone support document — ADAM - OPA Rego Authoring Standards v1.0.docx — alongside this edition. The summary below is the doctrine excerpt that lives inside the main book; the full standard is in the support doc.</w:t>
      </w:r>
    </w:p>
    <w:p>
      <w:pPr>
        <w:pStyle w:val="Heading2"/>
      </w:pPr>
      <w:r>
        <w:t xml:space="preserve">L.1 The seven booby-traps</w:t>
      </w:r>
    </w:p>
    <w:p>
      <w:pPr>
        <w:spacing w:after="120"/>
      </w:pPr>
      <w:r>
        <w:t xml:space="preserve">OPA 0.64.x in default mode parses Rego under v0 grammar. The following constructs were, individually, the cause of seven sequential restart-loop failures during the NetStreamX initial deployment. Each is a class of defect, not a one-off bug:</w:t>
      </w:r>
    </w:p>
    <w:p>
      <w:pPr>
        <w:pStyle w:val="ListParagraph"/>
        <w:numPr>
          <w:ilvl w:val="0"/>
          <w:numId w:val="2"/>
        </w:numPr>
      </w:pPr>
      <w:r>
        <w:t xml:space="preserve">Brace-bodied conditional bindings nested inside another rule body — illegal in v0; allowed in v1.</w:t>
      </w:r>
    </w:p>
    <w:p>
      <w:pPr>
        <w:pStyle w:val="ListParagraph"/>
        <w:numPr>
          <w:ilvl w:val="0"/>
          <w:numId w:val="2"/>
        </w:numPr>
      </w:pPr>
      <w:r>
        <w:t xml:space="preserve">Top-level `name := value` where value is a function call, infix arithmetic, or any non-literal term — rejected by v0 parser.</w:t>
      </w:r>
    </w:p>
    <w:p>
      <w:pPr>
        <w:pStyle w:val="ListParagraph"/>
        <w:numPr>
          <w:ilvl w:val="0"/>
          <w:numId w:val="2"/>
        </w:numPr>
      </w:pPr>
      <w:r>
        <w:t xml:space="preserve">`import future.keywords.in` does not enable the iteration form `some x in y` inside comprehensions; the bare `some` keyword is a separately-gated future keyword in 0.64.</w:t>
      </w:r>
    </w:p>
    <w:p>
      <w:pPr>
        <w:pStyle w:val="ListParagraph"/>
        <w:numPr>
          <w:ilvl w:val="0"/>
          <w:numId w:val="2"/>
        </w:numPr>
      </w:pPr>
      <w:r>
        <w:t xml:space="preserve">Even `import future.keywords` (the bundle import) does not behave as documented in 0.64.1 default mode.</w:t>
      </w:r>
    </w:p>
    <w:p>
      <w:pPr>
        <w:pStyle w:val="ListParagraph"/>
        <w:numPr>
          <w:ilvl w:val="0"/>
          <w:numId w:val="2"/>
        </w:numPr>
      </w:pPr>
      <w:r>
        <w:t xml:space="preserve">`not foo[_]` (negation of an iteration variable) is unsafe — Rego negation requires every variable to be fully bound. Lift into a helper rule.</w:t>
      </w:r>
    </w:p>
    <w:p>
      <w:pPr>
        <w:pStyle w:val="ListParagraph"/>
        <w:numPr>
          <w:ilvl w:val="0"/>
          <w:numId w:val="2"/>
        </w:numPr>
      </w:pPr>
      <w:r>
        <w:t xml:space="preserve">Bare-reference comprehension bodies confuse the type-checker into reading `|` as the set-union builtin overload.</w:t>
      </w:r>
    </w:p>
    <w:p>
      <w:pPr>
        <w:pStyle w:val="ListParagraph"/>
        <w:numPr>
          <w:ilvl w:val="0"/>
          <w:numId w:val="2"/>
        </w:numPr>
      </w:pPr>
      <w:r>
        <w:t xml:space="preserve">Inside comprehension bodies, both `:=` and `=` are rejected by the v0 parser; only specific bound-variable patterns parse cleanly.</w:t>
      </w:r>
    </w:p>
    <w:p>
      <w:pPr>
        <w:pStyle w:val="Heading2"/>
      </w:pPr>
      <w:r>
        <w:t xml:space="preserve">L.2 The canonical fix</w:t>
      </w:r>
    </w:p>
    <w:p>
      <w:pPr>
        <w:spacing w:after="120"/>
      </w:pPr>
      <w:r>
        <w:t xml:space="preserve">Pin the OPA process to Rego v1 and author every .rego file in the v1 dialect. This eliminates all seven failure classes in one move:</w:t>
      </w:r>
    </w:p>
    <w:p>
      <w:pPr>
        <w:pStyle w:val="ListParagraph"/>
        <w:numPr>
          <w:ilvl w:val="0"/>
          <w:numId w:val="3"/>
        </w:numPr>
      </w:pPr>
      <w:r>
        <w:t xml:space="preserve">Every .rego file in an ADAM SpecPack MUST begin with `import rego.v1`.</w:t>
      </w:r>
    </w:p>
    <w:p>
      <w:pPr>
        <w:pStyle w:val="ListParagraph"/>
        <w:numPr>
          <w:ilvl w:val="0"/>
          <w:numId w:val="3"/>
        </w:numPr>
      </w:pPr>
      <w:r>
        <w:t xml:space="preserve">Every OPA service in an ADAM deployment MUST be invoked with `--v1-compatible` on its `run` command. This applies to docker-compose, k3d/k8s, AGT Light Helm values, and AGT (Microsoft) policy adapters.</w:t>
      </w:r>
    </w:p>
    <w:p>
      <w:pPr>
        <w:pStyle w:val="ListParagraph"/>
        <w:numPr>
          <w:ilvl w:val="0"/>
          <w:numId w:val="3"/>
        </w:numPr>
      </w:pPr>
      <w:r>
        <w:t xml:space="preserve">Every deployment MUST run the preflight Rego validator (Sovereignty Connector 1.2 ships scripts/preflight/validate-rego.ps1 and validate-rego.sh) BEFORE applying the bundle to a live OPA service. The validator emits a Flight Recorder event (preflight_passed / preflight_failed) for evidence.</w:t>
      </w:r>
    </w:p>
    <w:p>
      <w:pPr>
        <w:pStyle w:val="Heading2"/>
      </w:pPr>
      <w:r>
        <w:t xml:space="preserve">L.3 Defensive-author rules of thumb</w:t>
      </w:r>
    </w:p>
    <w:p>
      <w:pPr>
        <w:spacing w:after="120"/>
      </w:pPr>
      <w:r>
        <w:t xml:space="preserve">Even in v1 mode, the following discipline keeps rego modules portable across OPA versions and reviewable by humans:</w:t>
      </w:r>
    </w:p>
    <w:p>
      <w:pPr>
        <w:pStyle w:val="ListParagraph"/>
        <w:numPr>
          <w:ilvl w:val="0"/>
          <w:numId w:val="3"/>
        </w:numPr>
      </w:pPr>
      <w:r>
        <w:t xml:space="preserve">Prefer unrolled per-dimension expressions over comprehensions when the input shape is a fixed doctrinal constant (e.g., the 7 BOSS dimensions). This trades verbosity for grammar-stage and type-stage safety.</w:t>
      </w:r>
    </w:p>
    <w:p>
      <w:pPr>
        <w:pStyle w:val="ListParagraph"/>
        <w:numPr>
          <w:ilvl w:val="0"/>
          <w:numId w:val="3"/>
        </w:numPr>
      </w:pPr>
      <w:r>
        <w:t xml:space="preserve">Negate helper rules, never iteration variables. Every `not X` should reference either a fully-bound helper or a deep-input presence check.</w:t>
      </w:r>
    </w:p>
    <w:p>
      <w:pPr>
        <w:pStyle w:val="ListParagraph"/>
        <w:numPr>
          <w:ilvl w:val="0"/>
          <w:numId w:val="3"/>
        </w:numPr>
      </w:pPr>
      <w:r>
        <w:t xml:space="preserve">Use ARRAY tuples for ordered allow-lists (e.g., directional residency pairs). `{"US","us-east"}` is parsed as an unordered set in Rego and silently matches the reverse pair. Use `["US","us-east"]` instead.</w:t>
      </w:r>
    </w:p>
    <w:p>
      <w:pPr>
        <w:pStyle w:val="ListParagraph"/>
        <w:numPr>
          <w:ilvl w:val="0"/>
          <w:numId w:val="3"/>
        </w:numPr>
      </w:pPr>
      <w:r>
        <w:t xml:space="preserve">Keep multi-rule `routing_tier`-style definitions mutually exclusive by construction — every branch should include the negation of every higher-priority guard. This eliminates `eval_conflict_error` at request time.</w:t>
      </w:r>
    </w:p>
    <w:p>
      <w:pPr>
        <w:pStyle w:val="ListParagraph"/>
        <w:numPr>
          <w:ilvl w:val="0"/>
          <w:numId w:val="3"/>
        </w:numPr>
      </w:pPr>
      <w:r>
        <w:t xml:space="preserve">Pin the OPA image version explicitly in compose / Helm / k8s manifests (currently openpolicyagent/opa:0.64.1). Do not float on `latest`.</w:t>
      </w:r>
    </w:p>
    <w:p>
      <w:pPr>
        <w:pStyle w:val="Heading1"/>
      </w:pPr>
      <w:r>
        <w:t xml:space="preserve">Appendix M — PowerShell Output Discipline</w:t>
      </w:r>
    </w:p>
    <w:p>
      <w:pPr>
        <w:spacing w:after="120"/>
      </w:pPr>
      <w:r>
        <w:t xml:space="preserve">The other audit lesson worth doctrine-level capture is far smaller in scope but bit twice on the same day:</w:t>
      </w:r>
    </w:p>
    <w:p>
      <w:pPr>
        <w:pStyle w:val="Heading2"/>
      </w:pPr>
      <w:r>
        <w:t xml:space="preserve">M.1 The Write-Host array-join trap</w:t>
      </w:r>
    </w:p>
    <w:p>
      <w:pPr>
        <w:spacing w:after="120"/>
      </w:pPr>
      <w:r>
        <w:rPr>
          <w:b/>
          <w:bCs/>
        </w:rPr>
        <w:t xml:space="preserve">Symptom: </w:t>
      </w:r>
      <w:r>
        <w:t xml:space="preserve">Multi-row docker / kubectl output rendered as a single line in the status dashboard.</w:t>
      </w:r>
    </w:p>
    <w:p>
      <w:pPr>
        <w:spacing w:after="120"/>
      </w:pPr>
      <w:r>
        <w:rPr>
          <w:b/>
          <w:bCs/>
        </w:rPr>
        <w:t xml:space="preserve">Cause: </w:t>
      </w:r>
      <w:r>
        <w:t xml:space="preserve">PowerShell joins array arguments to Write-Host using $OFS (default: single space). Commands like </w:t>
      </w:r>
      <w:r>
        <w:rPr>
          <w:rFonts w:ascii="Consolas" w:cs="Consolas" w:eastAsia="Consolas" w:hAnsi="Consolas"/>
        </w:rPr>
        <w:t xml:space="preserve">docker ps --format "table ..."</w:t>
      </w:r>
      <w:r>
        <w:t xml:space="preserve"> return a string array — one row per element. Passing the array bare collapses every row.</w:t>
      </w:r>
    </w:p>
    <w:p>
      <w:pPr>
        <w:spacing w:after="120"/>
      </w:pPr>
      <w:r>
        <w:rPr>
          <w:b/>
          <w:bCs/>
        </w:rPr>
        <w:t xml:space="preserve">Canonical fix: </w:t>
      </w:r>
      <w:r>
        <w:rPr>
          <w:rFonts w:ascii="Consolas" w:cs="Consolas" w:eastAsia="Consolas" w:hAnsi="Consolas"/>
        </w:rPr>
        <w:t xml:space="preserve">Write-Host ($psOut -join [Environment]::NewLine)</w:t>
      </w:r>
      <w:r>
        <w:t xml:space="preserve"> — explicit join on the platform newline. Always include an inline comment so a future maintainer does not "simplify" the explicit join back out.</w:t>
      </w:r>
    </w:p>
    <w:p>
      <w:pPr>
        <w:spacing w:after="120"/>
      </w:pPr>
      <w:r>
        <w:t xml:space="preserve">Sovereignty Connector 1.2 ships scripts/status.ps1 with this discipline baked in, alongside an inline warning comment block referencing this appendix.</w:t>
      </w:r>
    </w:p>
    <w:p>
      <w:pPr>
        <w:pStyle w:val="Heading1"/>
      </w:pPr>
      <w:r>
        <w:t xml:space="preserve">Appendix N — Preventive Guardrails Shipped in v1.7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240"/>
        <w:gridCol w:w="5760"/>
      </w:tblGrid>
      <w:tr>
        <w:tc>
          <w:tcPr>
            <w:tcW w:type="dxa" w:w="3240"/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Guardrail</w:t>
            </w:r>
          </w:p>
        </w:tc>
        <w:tc>
          <w:tcPr>
            <w:tcW w:type="dxa" w:w="5760"/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it prevents</w:t>
            </w:r>
          </w:p>
        </w:tc>
      </w:tr>
      <w:tr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scripts/preflight/validate-rego.ps1 + .sh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Catches every Rego v0/v1 grammar defect, unsafe-var error, and type error BEFORE the bundle reaches a live OPA service. Would have collapsed the 7 NetStreamX restart iterations into one preflight failure with the offending file:line.</w:t>
            </w:r>
          </w:p>
        </w:tc>
      </w:tr>
      <w:tr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Reference docker-compose.opa.yml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Provides the canonical OPA invocation including --v1-compatible, image pin, and a one-shot rego-preflight job that runs `opa check --v1-compatible` on every restart.</w:t>
            </w:r>
          </w:p>
        </w:tc>
      </w:tr>
      <w:tr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scripts/status.ps1 with array-join discipline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Prevents Write-Host array collapsing in any future status dashboard.</w:t>
            </w:r>
          </w:p>
        </w:tc>
      </w:tr>
      <w:tr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Per-file authoring discipline comment block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Every shipped .rego file carries an in-file warning header naming the seven booby-traps and pointing to Appendix L. Designed to be impossible to miss when a maintainer opens the file.</w:t>
            </w:r>
          </w:p>
        </w:tc>
      </w:tr>
    </w:tbl>
    <w:p>
      <w:pPr>
        <w:pStyle w:val="Heading1"/>
      </w:pPr>
      <w:r>
        <w:t xml:space="preserve">Change Log — v1.6 → v1.7</w:t>
      </w:r>
    </w:p>
    <w:p>
      <w:pPr>
        <w:pStyle w:val="ListParagraph"/>
        <w:numPr>
          <w:ilvl w:val="0"/>
          <w:numId w:val="3"/>
        </w:numPr>
      </w:pPr>
      <w:r>
        <w:t xml:space="preserve">Added Appendix L "OPA Rego Authoring Standards" (this document).</w:t>
      </w:r>
    </w:p>
    <w:p>
      <w:pPr>
        <w:pStyle w:val="ListParagraph"/>
        <w:numPr>
          <w:ilvl w:val="0"/>
          <w:numId w:val="3"/>
        </w:numPr>
      </w:pPr>
      <w:r>
        <w:t xml:space="preserve">Added Appendix M "PowerShell Output Discipline".</w:t>
      </w:r>
    </w:p>
    <w:p>
      <w:pPr>
        <w:pStyle w:val="ListParagraph"/>
        <w:numPr>
          <w:ilvl w:val="0"/>
          <w:numId w:val="3"/>
        </w:numPr>
      </w:pPr>
      <w:r>
        <w:t xml:space="preserve">Added Appendix N "Preventive Guardrails Shipped in v1.7".</w:t>
      </w:r>
    </w:p>
    <w:p>
      <w:pPr>
        <w:pStyle w:val="ListParagraph"/>
        <w:numPr>
          <w:ilvl w:val="0"/>
          <w:numId w:val="3"/>
        </w:numPr>
      </w:pPr>
      <w:r>
        <w:t xml:space="preserve">Bumped BOSS Governance &amp; Scoring Engine reference manual to v3.3 (no formula change; doctrine + authoring guidance only).</w:t>
      </w:r>
    </w:p>
    <w:p>
      <w:pPr>
        <w:pStyle w:val="ListParagraph"/>
        <w:numPr>
          <w:ilvl w:val="0"/>
          <w:numId w:val="3"/>
        </w:numPr>
      </w:pPr>
      <w:r>
        <w:t xml:space="preserve">Bumped AGT Light Plugin to v1.2 (policy template re-asserts import rego.v1, helper-rule discipline).</w:t>
      </w:r>
    </w:p>
    <w:p>
      <w:pPr>
        <w:pStyle w:val="ListParagraph"/>
        <w:numPr>
          <w:ilvl w:val="0"/>
          <w:numId w:val="3"/>
        </w:numPr>
      </w:pPr>
      <w:r>
        <w:t xml:space="preserve">Bumped DNA Deployment Tool to v1.2 (generated rego now uses import rego.v1; OPA reference compose includes --v1-compatible).</w:t>
      </w:r>
    </w:p>
    <w:p>
      <w:pPr>
        <w:pStyle w:val="ListParagraph"/>
        <w:numPr>
          <w:ilvl w:val="0"/>
          <w:numId w:val="3"/>
        </w:numPr>
      </w:pPr>
      <w:r>
        <w:t xml:space="preserve">Bumped Sovereignty Connector to 1.2 (preflight validator scripts; OPA defaults to v1-compatible).</w:t>
      </w:r>
    </w:p>
    <w:p>
      <w:pPr>
        <w:pStyle w:val="ListParagraph"/>
        <w:numPr>
          <w:ilvl w:val="0"/>
          <w:numId w:val="3"/>
        </w:numPr>
      </w:pPr>
      <w:r>
        <w:t xml:space="preserve">No changes to: 81-agent mesh topology, 5-Director Constitution, 11 pillars, Intent Object schema, Flight Recorder schema, Authorization Vault design, Digital Twin design, hybrid license terms, or the 14+ regulatory framework mapping.</w:t>
      </w:r>
    </w:p>
    <w:p>
      <w:pPr>
        <w:pBdr>
          <w:bottom w:val="single" w:color="AAAAAA" w:sz="6" w:space="1"/>
        </w:pBdr>
        <w:spacing w:after="200" w:before="80"/>
      </w:pPr>
    </w:p>
    <w:p>
      <w:pPr>
        <w:spacing w:after="120"/>
      </w:pPr>
      <w:r>
        <w:rPr>
          <w:i/>
          <w:iCs/>
          <w:color w:val="777777"/>
        </w:rPr>
        <w:t xml:space="preserve">— End of ADAM v1.7 —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ADAM v1.7 · Errata &amp; Maintenance Edition —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1F2A44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Calibri" w:cs="Calibri" w:eastAsia="Calibri" w:hAnsi="Calibri"/>
      <w:i/>
      <w:iCs/>
      <w:color w:val="5A6678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0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5077"/>
      <w:sz w:val="22"/>
      <w:szCs w:val="22"/>
    </w:rPr>
  </w:style>
  <w:style w:type="paragraph" w:styleId="Code">
    <w:name w:val="Code"/>
    <w:basedOn w:val="Normal"/>
    <w:next w:val="Normal"/>
    <w:qFormat w:val="false"/>
    <w:pPr>
      <w:spacing w:after="60" w:before="60"/>
      <w:ind w:left="360"/>
    </w:pPr>
    <w:rPr>
      <w:rFonts w:ascii="Consolas" w:cs="Consolas" w:eastAsia="Consolas" w:hAnsi="Consolas"/>
      <w:color w:val="1A1A1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2026-04-26T09:56:47.358Z</dcterms:created>
  <dcterms:modified xsi:type="dcterms:W3CDTF">2026-04-26T09:56:47.358Z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