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48"/>
        </w:rPr>
        <w:t>ADAM</w:t>
      </w:r>
    </w:p>
    <w:p>
      <w:pPr>
        <w:jc w:val="center"/>
      </w:pPr>
      <w:r>
        <w:rPr>
          <w:b w:val="0"/>
          <w:i w:val="0"/>
          <w:color w:val="1F3864"/>
          <w:sz w:val="28"/>
        </w:rPr>
        <w:t>Autonomy Doctrine &amp; Architecture Model</w:t>
      </w:r>
    </w:p>
    <w:p>
      <w:pPr>
        <w:jc w:val="center"/>
      </w:pPr>
      <w:r>
        <w:rPr>
          <w:b/>
          <w:i w:val="0"/>
          <w:color w:val="1F3864"/>
          <w:sz w:val="24"/>
        </w:rPr>
        <w:t>— Support Document —</w:t>
      </w:r>
    </w:p>
    <w:p>
      <w:pPr>
        <w:spacing w:after="480"/>
      </w:pPr>
    </w:p>
    <w:p>
      <w:pPr>
        <w:jc w:val="center"/>
      </w:pPr>
      <w:r>
        <w:rPr>
          <w:b/>
          <w:i w:val="0"/>
          <w:color w:val="1F3864"/>
          <w:sz w:val="60"/>
        </w:rPr>
        <w:t>BOSS Calibration</w:t>
      </w:r>
    </w:p>
    <w:p>
      <w:pPr>
        <w:jc w:val="center"/>
      </w:pPr>
      <w:r>
        <w:rPr>
          <w:b w:val="0"/>
          <w:i w:val="0"/>
          <w:color w:val="1F3864"/>
          <w:sz w:val="28"/>
        </w:rPr>
        <w:t>Calibration Doctrine, Methodology, Evidence, and Replay</w:t>
      </w:r>
    </w:p>
    <w:p>
      <w:pPr>
        <w:jc w:val="center"/>
      </w:pPr>
      <w:r>
        <w:rPr>
          <w:b w:val="0"/>
          <w:i w:val="0"/>
          <w:color w:val="1F3864"/>
          <w:sz w:val="28"/>
        </w:rPr>
        <w:t>for the Business Operations Sovereignty Score</w:t>
      </w:r>
    </w:p>
    <w:p>
      <w:pPr>
        <w:spacing w:after="480"/>
      </w:pPr>
    </w:p>
    <w:p>
      <w:pPr>
        <w:jc w:val="center"/>
      </w:pPr>
      <w:r>
        <w:rPr>
          <w:b w:val="0"/>
          <w:i/>
          <w:color w:val="1F3864"/>
          <w:sz w:val="22"/>
        </w:rPr>
        <w:t>Calibration Owner Mandate · FP / FN Trade-off Governance ·</w:t>
      </w:r>
    </w:p>
    <w:p>
      <w:pPr>
        <w:jc w:val="center"/>
      </w:pPr>
      <w:r>
        <w:rPr>
          <w:b w:val="0"/>
          <w:i/>
          <w:color w:val="1F3864"/>
          <w:sz w:val="22"/>
        </w:rPr>
        <w:t>Director-Constitution Approval · Replayable Evidence Pack ·</w:t>
      </w:r>
    </w:p>
    <w:p>
      <w:pPr>
        <w:jc w:val="center"/>
      </w:pPr>
      <w:r>
        <w:rPr>
          <w:b w:val="0"/>
          <w:i/>
          <w:color w:val="1F3864"/>
          <w:sz w:val="22"/>
        </w:rPr>
        <w:t>Adversarial Calibration Defense · Day-1 PQC Chain of Custody</w:t>
      </w:r>
    </w:p>
    <w:p>
      <w:pPr>
        <w:spacing w:after="720"/>
      </w:pPr>
    </w:p>
    <w:p>
      <w:pPr>
        <w:jc w:val="center"/>
      </w:pPr>
      <w:r>
        <w:rPr>
          <w:b/>
          <w:i w:val="0"/>
          <w:sz w:val="24"/>
        </w:rPr>
        <w:t>Publication Edition</w:t>
      </w:r>
    </w:p>
    <w:p>
      <w:pPr>
        <w:jc w:val="center"/>
      </w:pPr>
      <w:r>
        <w:rPr>
          <w:b w:val="0"/>
          <w:i w:val="0"/>
          <w:sz w:val="22"/>
        </w:rPr>
        <w:t>May 2026</w:t>
      </w:r>
    </w:p>
    <w:p>
      <w:pPr>
        <w:jc w:val="center"/>
      </w:pPr>
      <w:r>
        <w:rPr>
          <w:b w:val="0"/>
          <w:i w:val="0"/>
          <w:sz w:val="22"/>
        </w:rPr>
        <w:t>Author: Michael Lamb</w:t>
      </w:r>
    </w:p>
    <w:p>
      <w:pPr>
        <w:jc w:val="center"/>
      </w:pPr>
      <w:r>
        <w:rPr>
          <w:b w:val="0"/>
          <w:i/>
          <w:sz w:val="20"/>
        </w:rPr>
        <w:t>Open Source · Globally Sovereign · Industry-Agnostic</w:t>
      </w:r>
    </w:p>
    <w:p>
      <w:pPr>
        <w:spacing w:after="480"/>
      </w:pPr>
    </w:p>
    <w:p>
      <w:pPr>
        <w:jc w:val="center"/>
      </w:pPr>
      <w:r>
        <w:rPr>
          <w:b w:val="0"/>
          <w:i/>
          <w:color w:val="595959"/>
          <w:sz w:val="20"/>
        </w:rPr>
        <w:t>Humans Define Intent.  Machines Execute.  Evidence Proves Everything.</w:t>
      </w:r>
    </w:p>
    <w:p>
      <w:r>
        <w:br w:type="page"/>
      </w:r>
    </w:p>
    <w:p>
      <w:pPr>
        <w:pStyle w:val="Heading1"/>
      </w:pPr>
      <w:r>
        <w:t>Document Information</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F3864"/>
          </w:tcPr>
          <w:p>
            <w:r/>
            <w:r>
              <w:rPr>
                <w:b/>
                <w:color w:val="FFFFFF"/>
                <w:sz w:val="20"/>
              </w:rPr>
              <w:t>Field</w:t>
            </w:r>
          </w:p>
        </w:tc>
        <w:tc>
          <w:tcPr>
            <w:tcW w:type="dxa" w:w="7488"/>
            <w:shd w:val="clear" w:color="auto" w:fill="1F3864"/>
          </w:tcPr>
          <w:p>
            <w:r/>
            <w:r>
              <w:rPr>
                <w:b/>
                <w:color w:val="FFFFFF"/>
                <w:sz w:val="20"/>
              </w:rPr>
              <w:t>Value</w:t>
            </w:r>
          </w:p>
        </w:tc>
      </w:tr>
      <w:tr>
        <w:tc>
          <w:tcPr>
            <w:tcW w:type="dxa" w:w="2304"/>
          </w:tcPr>
          <w:p>
            <w:r/>
            <w:r>
              <w:rPr>
                <w:sz w:val="19"/>
              </w:rPr>
              <w:t>Title</w:t>
            </w:r>
          </w:p>
        </w:tc>
        <w:tc>
          <w:tcPr>
            <w:tcW w:type="dxa" w:w="7488"/>
          </w:tcPr>
          <w:p>
            <w:r/>
            <w:r>
              <w:rPr>
                <w:sz w:val="19"/>
              </w:rPr>
              <w:t>ADAM — BOSS Calibration</w:t>
            </w:r>
          </w:p>
        </w:tc>
      </w:tr>
      <w:tr>
        <w:tc>
          <w:tcPr>
            <w:tcW w:type="dxa" w:w="2304"/>
          </w:tcPr>
          <w:p>
            <w:r/>
            <w:r>
              <w:rPr>
                <w:sz w:val="19"/>
              </w:rPr>
              <w:t>Type</w:t>
            </w:r>
          </w:p>
        </w:tc>
        <w:tc>
          <w:tcPr>
            <w:tcW w:type="dxa" w:w="7488"/>
          </w:tcPr>
          <w:p>
            <w:r/>
            <w:r>
              <w:rPr>
                <w:sz w:val="19"/>
              </w:rPr>
              <w:t>Support Document — Calibration Specification</w:t>
            </w:r>
          </w:p>
        </w:tc>
      </w:tr>
      <w:tr>
        <w:tc>
          <w:tcPr>
            <w:tcW w:type="dxa" w:w="2304"/>
          </w:tcPr>
          <w:p>
            <w:r/>
            <w:r>
              <w:rPr>
                <w:sz w:val="19"/>
              </w:rPr>
              <w:t>Status</w:t>
            </w:r>
          </w:p>
        </w:tc>
        <w:tc>
          <w:tcPr>
            <w:tcW w:type="dxa" w:w="7488"/>
          </w:tcPr>
          <w:p>
            <w:r/>
            <w:r>
              <w:rPr>
                <w:sz w:val="19"/>
              </w:rPr>
              <w:t>Normative within the ADAM SpecPack</w:t>
            </w:r>
          </w:p>
        </w:tc>
      </w:tr>
      <w:tr>
        <w:tc>
          <w:tcPr>
            <w:tcW w:type="dxa" w:w="2304"/>
          </w:tcPr>
          <w:p>
            <w:r/>
            <w:r>
              <w:rPr>
                <w:sz w:val="19"/>
              </w:rPr>
              <w:t>Audience</w:t>
            </w:r>
          </w:p>
        </w:tc>
        <w:tc>
          <w:tcPr>
            <w:tcW w:type="dxa" w:w="7488"/>
          </w:tcPr>
          <w:p>
            <w:r/>
            <w:r>
              <w:rPr>
                <w:sz w:val="19"/>
              </w:rPr>
              <w:t>Directors, Calibration Engineers, Independent Validators, Auditors, RGI runtime authors, AI assistants generating calibration code or evidence</w:t>
            </w:r>
          </w:p>
        </w:tc>
      </w:tr>
      <w:tr>
        <w:tc>
          <w:tcPr>
            <w:tcW w:type="dxa" w:w="2304"/>
          </w:tcPr>
          <w:p>
            <w:r/>
            <w:r>
              <w:rPr>
                <w:sz w:val="19"/>
              </w:rPr>
              <w:t>Companion to</w:t>
            </w:r>
          </w:p>
        </w:tc>
        <w:tc>
          <w:tcPr>
            <w:tcW w:type="dxa" w:w="7488"/>
          </w:tcPr>
          <w:p>
            <w:r/>
            <w:r>
              <w:rPr>
                <w:sz w:val="19"/>
              </w:rPr>
              <w:t>ADAM — BOSS Score Formulas; ADAM — Governance Charter and Human Directorship; ADAM — OPA Rego Authoring Standards; ADAM — DNA Questionnaire; ADAM — Quantum and Cryptographic Security at Scale; ADAM — Legal and Arbitration; ADAM — Copyright and Use Agreement</w:t>
            </w:r>
          </w:p>
        </w:tc>
      </w:tr>
      <w:tr>
        <w:tc>
          <w:tcPr>
            <w:tcW w:type="dxa" w:w="2304"/>
          </w:tcPr>
          <w:p>
            <w:r/>
            <w:r>
              <w:rPr>
                <w:sz w:val="19"/>
              </w:rPr>
              <w:t>Implementing agent</w:t>
            </w:r>
          </w:p>
        </w:tc>
        <w:tc>
          <w:tcPr>
            <w:tcW w:type="dxa" w:w="7488"/>
          </w:tcPr>
          <w:p>
            <w:r/>
            <w:r>
              <w:rPr>
                <w:sz w:val="19"/>
              </w:rPr>
              <w:t>meta-stability — Autonomy Stability / BOSS Calibration Agent (per the Agent Definition Card)</w:t>
            </w:r>
          </w:p>
        </w:tc>
      </w:tr>
      <w:tr>
        <w:tc>
          <w:tcPr>
            <w:tcW w:type="dxa" w:w="2304"/>
          </w:tcPr>
          <w:p>
            <w:r/>
            <w:r>
              <w:rPr>
                <w:sz w:val="19"/>
              </w:rPr>
              <w:t>Conformance anchors</w:t>
            </w:r>
          </w:p>
        </w:tc>
        <w:tc>
          <w:tcPr>
            <w:tcW w:type="dxa" w:w="7488"/>
          </w:tcPr>
          <w:p>
            <w:r/>
            <w:r>
              <w:rPr>
                <w:sz w:val="19"/>
              </w:rPr>
              <w:t>RGI runtime contract; Flight Recorder schema; ACS / Cryptographic Authorization Vault; Director Decision Receipts; OPA bundle signing; Day-1 PQC suite</w:t>
            </w:r>
          </w:p>
        </w:tc>
      </w:tr>
      <w:tr>
        <w:tc>
          <w:tcPr>
            <w:tcW w:type="dxa" w:w="2304"/>
          </w:tcPr>
          <w:p>
            <w:r/>
            <w:r>
              <w:rPr>
                <w:sz w:val="19"/>
              </w:rPr>
              <w:t>Excluded uses</w:t>
            </w:r>
          </w:p>
        </w:tc>
        <w:tc>
          <w:tcPr>
            <w:tcW w:type="dxa" w:w="7488"/>
          </w:tcPr>
          <w:p>
            <w:r/>
            <w:r>
              <w:rPr>
                <w:sz w:val="19"/>
              </w:rPr>
              <w:t>All grants in this document are subject to the Excluded Uses defined in ADAM — Copyright and Use Agreement (defense, weaponry/drone, unconsented human surveillance) and the Legal Personality Boundary in ADAM — Legal and Arbitration.</w:t>
            </w:r>
          </w:p>
        </w:tc>
      </w:tr>
      <w:tr>
        <w:tc>
          <w:tcPr>
            <w:tcW w:type="dxa" w:w="2304"/>
          </w:tcPr>
          <w:p>
            <w:r/>
            <w:r>
              <w:rPr>
                <w:sz w:val="19"/>
              </w:rPr>
              <w:t>Author</w:t>
            </w:r>
          </w:p>
        </w:tc>
        <w:tc>
          <w:tcPr>
            <w:tcW w:type="dxa" w:w="7488"/>
          </w:tcPr>
          <w:p>
            <w:r/>
            <w:r>
              <w:rPr>
                <w:sz w:val="19"/>
              </w:rPr>
              <w:t>Michael Lamb</w:t>
            </w:r>
          </w:p>
        </w:tc>
      </w:tr>
    </w:tbl>
    <w:p>
      <w:r>
        <w:br w:type="page"/>
      </w:r>
    </w:p>
    <w:p>
      <w:pPr>
        <w:pStyle w:val="Heading1"/>
      </w:pPr>
      <w:r>
        <w:t>Table of Contents</w:t>
      </w:r>
    </w:p>
    <w:p>
      <w:pPr>
        <w:spacing w:after="40"/>
      </w:pPr>
      <w:r>
        <w:rPr>
          <w:b w:val="0"/>
          <w:i w:val="0"/>
          <w:sz w:val="20"/>
        </w:rPr>
        <w:t>Part I — Executive Summary and Positioning</w:t>
      </w:r>
    </w:p>
    <w:p>
      <w:pPr>
        <w:spacing w:after="40"/>
      </w:pPr>
      <w:r>
        <w:rPr>
          <w:b w:val="0"/>
          <w:i w:val="0"/>
          <w:sz w:val="20"/>
        </w:rPr>
        <w:t xml:space="preserve">    1.1  Why this document exists</w:t>
      </w:r>
    </w:p>
    <w:p>
      <w:pPr>
        <w:spacing w:after="40"/>
      </w:pPr>
      <w:r>
        <w:rPr>
          <w:b w:val="0"/>
          <w:i w:val="0"/>
          <w:sz w:val="20"/>
        </w:rPr>
        <w:t xml:space="preserve">    1.2  Position relative to the ADAM core</w:t>
      </w:r>
    </w:p>
    <w:p>
      <w:pPr>
        <w:spacing w:after="40"/>
      </w:pPr>
      <w:r>
        <w:rPr>
          <w:b w:val="0"/>
          <w:i w:val="0"/>
          <w:sz w:val="20"/>
        </w:rPr>
        <w:t xml:space="preserve">    1.3  What this document specifies</w:t>
      </w:r>
    </w:p>
    <w:p>
      <w:pPr>
        <w:spacing w:after="40"/>
      </w:pPr>
      <w:r>
        <w:rPr>
          <w:b w:val="0"/>
          <w:i w:val="0"/>
          <w:sz w:val="20"/>
        </w:rPr>
        <w:t>Part II — The Calibration Risk Landscape</w:t>
      </w:r>
    </w:p>
    <w:p>
      <w:pPr>
        <w:spacing w:after="40"/>
      </w:pPr>
      <w:r>
        <w:rPr>
          <w:b w:val="0"/>
          <w:i w:val="0"/>
          <w:sz w:val="20"/>
        </w:rPr>
        <w:t xml:space="preserve">    2.1  Calibration is a risk surface, not a tuning task</w:t>
      </w:r>
    </w:p>
    <w:p>
      <w:pPr>
        <w:spacing w:after="40"/>
      </w:pPr>
      <w:r>
        <w:rPr>
          <w:b w:val="0"/>
          <w:i w:val="0"/>
          <w:sz w:val="20"/>
        </w:rPr>
        <w:t xml:space="preserve">    2.2  The eight failure modes of opaque calibration</w:t>
      </w:r>
    </w:p>
    <w:p>
      <w:pPr>
        <w:spacing w:after="40"/>
      </w:pPr>
      <w:r>
        <w:rPr>
          <w:b w:val="0"/>
          <w:i w:val="0"/>
          <w:sz w:val="20"/>
        </w:rPr>
        <w:t xml:space="preserve">    2.3  Why classical financial-services model risk discipline applies</w:t>
      </w:r>
    </w:p>
    <w:p>
      <w:pPr>
        <w:spacing w:after="40"/>
      </w:pPr>
      <w:r>
        <w:rPr>
          <w:b w:val="0"/>
          <w:i w:val="0"/>
          <w:sz w:val="20"/>
        </w:rPr>
        <w:t xml:space="preserve">    2.4  Why BOSS calibration is not classical credit-risk MRM</w:t>
      </w:r>
    </w:p>
    <w:p>
      <w:pPr>
        <w:spacing w:after="40"/>
      </w:pPr>
      <w:r>
        <w:rPr>
          <w:b w:val="0"/>
          <w:i w:val="0"/>
          <w:sz w:val="20"/>
        </w:rPr>
        <w:t xml:space="preserve">    2.5  Adversarial calibration: the gaming surface</w:t>
      </w:r>
    </w:p>
    <w:p>
      <w:pPr>
        <w:spacing w:after="40"/>
      </w:pPr>
      <w:r>
        <w:rPr>
          <w:b w:val="0"/>
          <w:i w:val="0"/>
          <w:sz w:val="20"/>
        </w:rPr>
        <w:t>Part III — Calibration Architecture</w:t>
      </w:r>
    </w:p>
    <w:p>
      <w:pPr>
        <w:spacing w:after="40"/>
      </w:pPr>
      <w:r>
        <w:rPr>
          <w:b w:val="0"/>
          <w:i w:val="0"/>
          <w:sz w:val="20"/>
        </w:rPr>
        <w:t xml:space="preserve">    3.1  Principle: every weight, threshold, and tier change is a doctrine event</w:t>
      </w:r>
    </w:p>
    <w:p>
      <w:pPr>
        <w:spacing w:after="40"/>
      </w:pPr>
      <w:r>
        <w:rPr>
          <w:b w:val="0"/>
          <w:i w:val="0"/>
          <w:sz w:val="20"/>
        </w:rPr>
        <w:t xml:space="preserve">    3.2  Calibration roles and accountability (RACI)</w:t>
      </w:r>
    </w:p>
    <w:p>
      <w:pPr>
        <w:spacing w:after="40"/>
      </w:pPr>
      <w:r>
        <w:rPr>
          <w:b w:val="0"/>
          <w:i w:val="0"/>
          <w:sz w:val="20"/>
        </w:rPr>
        <w:t xml:space="preserve">    3.3  Calibration cadence and triggers</w:t>
      </w:r>
    </w:p>
    <w:p>
      <w:pPr>
        <w:spacing w:after="40"/>
      </w:pPr>
      <w:r>
        <w:rPr>
          <w:b w:val="0"/>
          <w:i w:val="0"/>
          <w:sz w:val="20"/>
        </w:rPr>
        <w:t xml:space="preserve">    3.4  The Calibration Data Plane</w:t>
      </w:r>
    </w:p>
    <w:p>
      <w:pPr>
        <w:spacing w:after="40"/>
      </w:pPr>
      <w:r>
        <w:rPr>
          <w:b w:val="0"/>
          <w:i w:val="0"/>
          <w:sz w:val="20"/>
        </w:rPr>
        <w:t xml:space="preserve">    3.5  Labeled Outcome Taxonomy</w:t>
      </w:r>
    </w:p>
    <w:p>
      <w:pPr>
        <w:spacing w:after="40"/>
      </w:pPr>
      <w:r>
        <w:rPr>
          <w:b w:val="0"/>
          <w:i w:val="0"/>
          <w:sz w:val="20"/>
        </w:rPr>
        <w:t xml:space="preserve">    3.6  RGI Calibration surface</w:t>
      </w:r>
    </w:p>
    <w:p>
      <w:pPr>
        <w:spacing w:after="40"/>
      </w:pPr>
      <w:r>
        <w:rPr>
          <w:b w:val="0"/>
          <w:i w:val="0"/>
          <w:sz w:val="20"/>
        </w:rPr>
        <w:t>Part IV — Calibration Methodology</w:t>
      </w:r>
    </w:p>
    <w:p>
      <w:pPr>
        <w:spacing w:after="40"/>
      </w:pPr>
      <w:r>
        <w:rPr>
          <w:b w:val="0"/>
          <w:i w:val="0"/>
          <w:sz w:val="20"/>
        </w:rPr>
        <w:t xml:space="preserve">    4.1  Calibration objectives, lexicographic ordering</w:t>
      </w:r>
    </w:p>
    <w:p>
      <w:pPr>
        <w:spacing w:after="40"/>
      </w:pPr>
      <w:r>
        <w:rPr>
          <w:b w:val="0"/>
          <w:i w:val="0"/>
          <w:sz w:val="20"/>
        </w:rPr>
        <w:t xml:space="preserve">    4.2  Label sources and ground-truth discipline</w:t>
      </w:r>
    </w:p>
    <w:p>
      <w:pPr>
        <w:spacing w:after="40"/>
      </w:pPr>
      <w:r>
        <w:rPr>
          <w:b w:val="0"/>
          <w:i w:val="0"/>
          <w:sz w:val="20"/>
        </w:rPr>
        <w:t xml:space="preserve">    4.3  Statistical procedures</w:t>
      </w:r>
    </w:p>
    <w:p>
      <w:pPr>
        <w:spacing w:after="40"/>
      </w:pPr>
      <w:r>
        <w:rPr>
          <w:b w:val="0"/>
          <w:i w:val="0"/>
          <w:sz w:val="20"/>
        </w:rPr>
        <w:t xml:space="preserve">    4.4  FP / FN trade-off governance and asymmetric loss</w:t>
      </w:r>
    </w:p>
    <w:p>
      <w:pPr>
        <w:spacing w:after="40"/>
      </w:pPr>
      <w:r>
        <w:rPr>
          <w:b w:val="0"/>
          <w:i w:val="0"/>
          <w:sz w:val="20"/>
        </w:rPr>
        <w:t xml:space="preserve">    4.5  Threshold tuning, weight tuning, tier reassignment</w:t>
      </w:r>
    </w:p>
    <w:p>
      <w:pPr>
        <w:spacing w:after="40"/>
      </w:pPr>
      <w:r>
        <w:rPr>
          <w:b w:val="0"/>
          <w:i w:val="0"/>
          <w:sz w:val="20"/>
        </w:rPr>
        <w:t xml:space="preserve">    4.6  Adversarial calibration defenses</w:t>
      </w:r>
    </w:p>
    <w:p>
      <w:pPr>
        <w:spacing w:after="40"/>
      </w:pPr>
      <w:r>
        <w:rPr>
          <w:b w:val="0"/>
          <w:i w:val="0"/>
          <w:sz w:val="20"/>
        </w:rPr>
        <w:t xml:space="preserve">    4.7  Worked recalibration walk-through</w:t>
      </w:r>
    </w:p>
    <w:p>
      <w:pPr>
        <w:spacing w:after="40"/>
      </w:pPr>
      <w:r>
        <w:rPr>
          <w:b w:val="0"/>
          <w:i w:val="0"/>
          <w:sz w:val="20"/>
        </w:rPr>
        <w:t>Part V — Replay, Evidence, and Change Control</w:t>
      </w:r>
    </w:p>
    <w:p>
      <w:pPr>
        <w:spacing w:after="40"/>
      </w:pPr>
      <w:r>
        <w:rPr>
          <w:b w:val="0"/>
          <w:i w:val="0"/>
          <w:sz w:val="20"/>
        </w:rPr>
        <w:t xml:space="preserve">    5.1  Calibration Evidence Pack</w:t>
      </w:r>
    </w:p>
    <w:p>
      <w:pPr>
        <w:spacing w:after="40"/>
      </w:pPr>
      <w:r>
        <w:rPr>
          <w:b w:val="0"/>
          <w:i w:val="0"/>
          <w:sz w:val="20"/>
        </w:rPr>
        <w:t xml:space="preserve">    5.2  Calibration replay — audit equals playback</w:t>
      </w:r>
    </w:p>
    <w:p>
      <w:pPr>
        <w:spacing w:after="40"/>
      </w:pPr>
      <w:r>
        <w:rPr>
          <w:b w:val="0"/>
          <w:i w:val="0"/>
          <w:sz w:val="20"/>
        </w:rPr>
        <w:t xml:space="preserve">    5.3  Challenger and benchmark models</w:t>
      </w:r>
    </w:p>
    <w:p>
      <w:pPr>
        <w:spacing w:after="40"/>
      </w:pPr>
      <w:r>
        <w:rPr>
          <w:b w:val="0"/>
          <w:i w:val="0"/>
          <w:sz w:val="20"/>
        </w:rPr>
        <w:t xml:space="preserve">    5.4  Change control and signed Calibration Doctrine Updates</w:t>
      </w:r>
    </w:p>
    <w:p>
      <w:pPr>
        <w:spacing w:after="40"/>
      </w:pPr>
      <w:r>
        <w:rPr>
          <w:b w:val="0"/>
          <w:i w:val="0"/>
          <w:sz w:val="20"/>
        </w:rPr>
        <w:t xml:space="preserve">    5.5  OPA bundle deployment of new weights and thresholds</w:t>
      </w:r>
    </w:p>
    <w:p>
      <w:pPr>
        <w:spacing w:after="40"/>
      </w:pPr>
      <w:r>
        <w:rPr>
          <w:b w:val="0"/>
          <w:i w:val="0"/>
          <w:sz w:val="20"/>
        </w:rPr>
        <w:t xml:space="preserve">    5.6  Day-1 PQC obligations on calibration artifacts</w:t>
      </w:r>
    </w:p>
    <w:p>
      <w:pPr>
        <w:spacing w:after="40"/>
      </w:pPr>
      <w:r>
        <w:rPr>
          <w:b w:val="0"/>
          <w:i w:val="0"/>
          <w:sz w:val="20"/>
        </w:rPr>
        <w:t xml:space="preserve">    5.7  Calibration in OHSHAT — frozen state and break-glass</w:t>
      </w:r>
    </w:p>
    <w:p>
      <w:pPr>
        <w:spacing w:after="40"/>
      </w:pPr>
      <w:r>
        <w:rPr>
          <w:b w:val="0"/>
          <w:i w:val="0"/>
          <w:sz w:val="20"/>
        </w:rPr>
        <w:t xml:space="preserve">    5.8  Reference algorithms and Rego pseudo-code</w:t>
      </w:r>
    </w:p>
    <w:p>
      <w:pPr>
        <w:spacing w:after="40"/>
      </w:pPr>
      <w:r>
        <w:rPr>
          <w:b w:val="0"/>
          <w:i w:val="0"/>
          <w:sz w:val="20"/>
        </w:rPr>
        <w:t>Part VI — Regulatory Crosswalk</w:t>
      </w:r>
    </w:p>
    <w:p>
      <w:pPr>
        <w:spacing w:after="40"/>
      </w:pPr>
      <w:r>
        <w:rPr>
          <w:b w:val="0"/>
          <w:i w:val="0"/>
          <w:sz w:val="20"/>
        </w:rPr>
        <w:t xml:space="preserve">    6.1  NIST AI Risk Management Framework</w:t>
      </w:r>
    </w:p>
    <w:p>
      <w:pPr>
        <w:spacing w:after="40"/>
      </w:pPr>
      <w:r>
        <w:rPr>
          <w:b w:val="0"/>
          <w:i w:val="0"/>
          <w:sz w:val="20"/>
        </w:rPr>
        <w:t xml:space="preserve">    6.2  ISO/IEC 42001 (AI Management System)</w:t>
      </w:r>
    </w:p>
    <w:p>
      <w:pPr>
        <w:spacing w:after="40"/>
      </w:pPr>
      <w:r>
        <w:rPr>
          <w:b w:val="0"/>
          <w:i w:val="0"/>
          <w:sz w:val="20"/>
        </w:rPr>
        <w:t xml:space="preserve">    6.3  ISO/IEC 23894 and ISO 31000</w:t>
      </w:r>
    </w:p>
    <w:p>
      <w:pPr>
        <w:spacing w:after="40"/>
      </w:pPr>
      <w:r>
        <w:rPr>
          <w:b w:val="0"/>
          <w:i w:val="0"/>
          <w:sz w:val="20"/>
        </w:rPr>
        <w:t xml:space="preserve">    6.4  EU AI Act (Regulation 2024/1689)</w:t>
      </w:r>
    </w:p>
    <w:p>
      <w:pPr>
        <w:spacing w:after="40"/>
      </w:pPr>
      <w:r>
        <w:rPr>
          <w:b w:val="0"/>
          <w:i w:val="0"/>
          <w:sz w:val="20"/>
        </w:rPr>
        <w:t xml:space="preserve">    6.5  US Federal Reserve SR 11-7 / OCC Bulletin 2011-12 (Model Risk Management)</w:t>
      </w:r>
    </w:p>
    <w:p>
      <w:pPr>
        <w:spacing w:after="40"/>
      </w:pPr>
      <w:r>
        <w:rPr>
          <w:b w:val="0"/>
          <w:i w:val="0"/>
          <w:sz w:val="20"/>
        </w:rPr>
        <w:t xml:space="preserve">    6.6  DORA (Regulation 2022/2554)</w:t>
      </w:r>
    </w:p>
    <w:p>
      <w:pPr>
        <w:spacing w:after="40"/>
      </w:pPr>
      <w:r>
        <w:rPr>
          <w:b w:val="0"/>
          <w:i w:val="0"/>
          <w:sz w:val="20"/>
        </w:rPr>
        <w:t xml:space="preserve">    6.7  COSO ERM Governance</w:t>
      </w:r>
    </w:p>
    <w:p>
      <w:pPr>
        <w:spacing w:after="40"/>
      </w:pPr>
      <w:r>
        <w:rPr>
          <w:b w:val="0"/>
          <w:i w:val="0"/>
          <w:sz w:val="20"/>
        </w:rPr>
        <w:t xml:space="preserve">    6.8  NIST CSF 2.0</w:t>
      </w:r>
    </w:p>
    <w:p>
      <w:pPr>
        <w:spacing w:after="40"/>
      </w:pPr>
      <w:r>
        <w:rPr>
          <w:b w:val="0"/>
          <w:i w:val="0"/>
          <w:sz w:val="20"/>
        </w:rPr>
        <w:t xml:space="preserve">    6.9  Sectoral references — FFIEC, NY DFS, MAS, BCBS 239, OECD AI Principles</w:t>
      </w:r>
    </w:p>
    <w:p>
      <w:pPr>
        <w:spacing w:after="40"/>
      </w:pPr>
      <w:r>
        <w:rPr>
          <w:b w:val="0"/>
          <w:i w:val="0"/>
          <w:sz w:val="20"/>
        </w:rPr>
        <w:t>Part VII — Companion Specifications and Build Cards</w:t>
      </w:r>
    </w:p>
    <w:p>
      <w:pPr>
        <w:spacing w:after="40"/>
      </w:pPr>
      <w:r>
        <w:rPr>
          <w:b w:val="0"/>
          <w:i w:val="0"/>
          <w:sz w:val="20"/>
        </w:rPr>
        <w:t>Appendix A — Calibration KPIs and Reporting</w:t>
      </w:r>
    </w:p>
    <w:p>
      <w:pPr>
        <w:spacing w:after="40"/>
      </w:pPr>
      <w:r>
        <w:rPr>
          <w:b w:val="0"/>
          <w:i w:val="0"/>
          <w:sz w:val="20"/>
        </w:rPr>
        <w:t>Appendix B — Calibration Glossary</w:t>
      </w:r>
    </w:p>
    <w:p>
      <w:pPr>
        <w:spacing w:after="40"/>
      </w:pPr>
      <w:r>
        <w:rPr>
          <w:b w:val="0"/>
          <w:i w:val="0"/>
          <w:sz w:val="20"/>
        </w:rPr>
        <w:t>Appendix C — 360-Degree QA Checklist</w:t>
      </w:r>
    </w:p>
    <w:p>
      <w:r>
        <w:br w:type="page"/>
      </w:r>
    </w:p>
    <w:p>
      <w:pPr>
        <w:pStyle w:val="Heading1"/>
      </w:pPr>
      <w:r>
        <w:t>Part I — Executive Summary and Positioning</w:t>
      </w:r>
    </w:p>
    <w:p>
      <w:pPr>
        <w:pStyle w:val="Heading2"/>
      </w:pPr>
      <w:r>
        <w:t>1.1  Why this document exists</w:t>
      </w:r>
    </w:p>
    <w:p>
      <w:r>
        <w:rPr>
          <w:b w:val="0"/>
          <w:i w:val="0"/>
        </w:rPr>
        <w:t>BOSS — the Business Operations Sovereignty Score — is the routing engine that decides whether an agent action proceeds (SOAP), goes to a human (ELEVATED, HIGH), or halts the mesh (OHSHAT). The math that turns dimension scores into a routing decision is documented in ADAM — BOSS Score Formulas. The math is not the risk. The risk is what surrounds the math: who is allowed to tune the weights, on what evidence, on what cadence, against what labeled outcomes, with what statistical procedure, with what trade-off discipline between false positives and false negatives, with what record of the change, and with what ability to replay any historical decision against the calibration that was actually live at the time.</w:t>
      </w:r>
    </w:p>
    <w:p>
      <w:r>
        <w:rPr>
          <w:b w:val="0"/>
          <w:i w:val="0"/>
        </w:rPr>
        <w:t>This document closes that surface. It is the calibration doctrine for BOSS. It specifies the human and machine governance around every weight, threshold, and tier assignment that BOSS uses, and binds those changes to the same evidence and cryptographic envelope that protects every other action in the ADAM mesh. A weight change re-prices the entire decision space; this document treats it that way.</w:t>
      </w:r>
    </w:p>
    <w:p>
      <w:r>
        <w:rPr>
          <w:b w:val="0"/>
          <w:i w:val="0"/>
        </w:rPr>
        <w:t>The financial-services industry has spent two decades hardening this exact problem for credit-risk and capital-adequacy models, and the discipline crystallised in US Federal Reserve SR 11-7 and OCC Bulletin 2011-12. ADAM imports that lesson and extends it for governed agentic autonomy: BOSS recalibration is held to model-risk management standards, with the additions required by AI-control attack surfaces, constitutional human oversight, and replayable evidence.</w:t>
      </w:r>
    </w:p>
    <w:p>
      <w:pPr>
        <w:pStyle w:val="Heading2"/>
      </w:pPr>
      <w:r>
        <w:t>1.2  Position relative to the ADAM core</w:t>
      </w:r>
    </w:p>
    <w:p>
      <w:r>
        <w:rPr>
          <w:b w:val="0"/>
          <w:i w:val="0"/>
        </w:rPr>
        <w:t>The ADAM core defines four cross-cutting guardrail planes — Policy &amp; Risk, Evidence &amp; Audit, Security &amp; Trust, Stability &amp; Drift — and the seven BOSS dimensions that score every action. Calibration sits inside all four planes:</w:t>
      </w:r>
    </w:p>
    <w:p>
      <w:pPr>
        <w:pStyle w:val="ListBullet"/>
      </w:pPr>
      <w:r>
        <w:t>Policy &amp; Risk — recalibration alters the policy surface; every change is an OPA bundle event subject to dual control.</w:t>
      </w:r>
    </w:p>
    <w:p>
      <w:pPr>
        <w:pStyle w:val="ListBullet"/>
      </w:pPr>
      <w:r>
        <w:t>Evidence &amp; Audit — every calibration ceremony emits a signed Calibration Evidence Pack written into the Flight Recorder; every approved change is replayable.</w:t>
      </w:r>
    </w:p>
    <w:p>
      <w:pPr>
        <w:pStyle w:val="ListBullet"/>
      </w:pPr>
      <w:r>
        <w:t>Security &amp; Trust — calibration artifacts are dual-signed with the Day-1 PQC suite, anchored externally, and validated under the same envelope as Director Decision Receipts.</w:t>
      </w:r>
    </w:p>
    <w:p>
      <w:pPr>
        <w:pStyle w:val="ListBullet"/>
      </w:pPr>
      <w:r>
        <w:t>Stability &amp; Drift — the meta-stability agent is the calibration owner; drift telemetry feeds calibration triggers; instability halts calibration changes before they amplify drift.</w:t>
      </w:r>
    </w:p>
    <w:p>
      <w:r>
        <w:rPr>
          <w:b w:val="0"/>
          <w:i w:val="0"/>
        </w:rPr>
        <w:t>Calibration is therefore not an analytical afterthought run by an off-doctrine data team. It is a constitutional obligation, owned by named directors, executed by a named meta-governance agent, validated by an independent auditor agent, and approved by the Director Constitution at the cadence and quorum specified below.</w:t>
      </w:r>
    </w:p>
    <w:p>
      <w:pPr>
        <w:pStyle w:val="Heading2"/>
      </w:pPr>
      <w:r>
        <w:t>1.3  What this document specifies</w:t>
      </w:r>
    </w:p>
    <w:p>
      <w:pPr>
        <w:pStyle w:val="ListBullet"/>
      </w:pPr>
      <w:r>
        <w:t>Calibration roles and accountability. A complete RACI for the Calibration Owner (meta-stability), Calibration Engineering Council, Independent Validator (meta-audit), Director of Record per change class, and the Director Constitution as final approver.</w:t>
      </w:r>
    </w:p>
    <w:p>
      <w:pPr>
        <w:pStyle w:val="ListBullet"/>
      </w:pPr>
      <w:r>
        <w:t>Calibration cadence. Continuous drift telemetry, monthly threshold sensitivity checks, quarterly full recalibration ceremonies, annual external-validator-led model integrity reviews, and event-driven recalibrations triggered by regulatory change, OHSHAT incidents, framework updates, or threat-actor TTP shifts.</w:t>
      </w:r>
    </w:p>
    <w:p>
      <w:pPr>
        <w:pStyle w:val="ListBullet"/>
      </w:pPr>
      <w:r>
        <w:t>Labeled outcome taxonomy. Canonical definitions of true positive, true negative, false positive, false negative, near-miss, override, and override-reversed, each bound to a Flight Recorder anchor and a Director Decision Receipt where one exists.</w:t>
      </w:r>
    </w:p>
    <w:p>
      <w:pPr>
        <w:pStyle w:val="ListBullet"/>
      </w:pPr>
      <w:r>
        <w:t>Statistical methodology. Stratified holdout, bootstrap confidence intervals, expected calibration error, reliability diagrams, counterfactual replay, influence-function sensitivity analysis, and challenger benchmarking.</w:t>
      </w:r>
    </w:p>
    <w:p>
      <w:pPr>
        <w:pStyle w:val="ListBullet"/>
      </w:pPr>
      <w:r>
        <w:t>FP / FN trade-off governance. An asymmetric loss function with director-set tolerances per escalation tier, costed against Financial, Reputational, Rights, and Sovereignty dimensions, never overridden by the Calibration Engineer.</w:t>
      </w:r>
    </w:p>
    <w:p>
      <w:pPr>
        <w:pStyle w:val="ListBullet"/>
      </w:pPr>
      <w:r>
        <w:t>Evidence and replay. The Calibration Evidence Pack format, the replay obligation (any historical action must be re-scoreable against the calibration that was live at the time it was originally decided), and the externally anchored chain that protects calibration history from silent rewrite.</w:t>
      </w:r>
    </w:p>
    <w:p>
      <w:pPr>
        <w:pStyle w:val="ListBullet"/>
      </w:pPr>
      <w:r>
        <w:t>Change control. The signed Calibration Doctrine Update bundle, the OPA deployment path with dual control, the Day-1 PQC obligations on the bundle, and the rollback discipline if a deployed calibration trips a stability gate.</w:t>
      </w:r>
    </w:p>
    <w:p>
      <w:pPr>
        <w:pStyle w:val="ListBullet"/>
      </w:pPr>
      <w:r>
        <w:t>Adversarial calibration defenses. Detection of score clusters concentrated below escalation thresholds, stochastic verification on a fraction of MODERATE actions, and gaming-resistance KPIs that the meta-stability agent is required to track.</w:t>
      </w:r>
    </w:p>
    <w:p>
      <w:pPr>
        <w:pStyle w:val="ListBullet"/>
      </w:pPr>
      <w:r>
        <w:t>Regulatory crosswalk. Native mapping to NIST AI RMF, ISO/IEC 42001, ISO/IEC 23894, ISO 31000, EU AI Act Articles 9, 14, 15, 17, 26, US SR 11-7 / OCC 2011-12, DORA, COSO ERM, NIST CSF 2.0, and sectoral references from FFIEC, NY DFS, MAS, BCBS 239, and the OECD AI Principles.</w:t>
      </w:r>
    </w:p>
    <w:p>
      <w:pPr>
        <w:pStyle w:val="ListBullet"/>
      </w:pPr>
      <w:r>
        <w:t>Reference code. Python procedures and Rego pseudo-code for the calibration data plane, sensitivity analysis, FP/FN budget gate, challenger benchmark, and Calibration Doctrine Update preflight.</w:t>
      </w:r>
    </w:p>
    <w:p>
      <w:r>
        <w:rPr>
          <w:b w:val="0"/>
          <w:i w:val="0"/>
        </w:rPr>
        <w:t>Use exclusions are non-negotiable. The Excluded Uses defined in ADAM — Copyright and Use Agreement — defense, weaponry/drone, unconsented human surveillance — apply to every grant in this document and to every code sample.</w:t>
      </w:r>
    </w:p>
    <w:p>
      <w:r>
        <w:br w:type="page"/>
      </w:r>
    </w:p>
    <w:p>
      <w:pPr>
        <w:pStyle w:val="Heading1"/>
      </w:pPr>
      <w:r>
        <w:t>Part II — The Calibration Risk Landscape</w:t>
      </w:r>
    </w:p>
    <w:p>
      <w:pPr>
        <w:pStyle w:val="Heading2"/>
      </w:pPr>
      <w:r>
        <w:t>2.1  Calibration is a risk surface, not a tuning task</w:t>
      </w:r>
    </w:p>
    <w:p>
      <w:r>
        <w:rPr>
          <w:b w:val="0"/>
          <w:i w:val="0"/>
        </w:rPr>
        <w:t>BOSS produces a composite score in the range [0, 100], routes the action across five tiers (SOAP, MODERATE, ELEVATED, HIGH, OHSHAT), and the routing is the policy. A single change to Dimension 1's weight from Top to Very High alters the contribution of every Security score by roughly one fifth and shifts the entire histogram of historical actions across tier boundaries. A single threshold change from ELEVATED at 33 to ELEVATED at 36 reclassifies a meaningful slice of the live decision space without touching a line of agent code. Calibration is therefore policy at scale, expressed in numeric form.</w:t>
      </w:r>
    </w:p>
    <w:p>
      <w:r>
        <w:rPr>
          <w:b w:val="0"/>
          <w:i w:val="0"/>
        </w:rPr>
        <w:t>Treating calibration as a tuning task — adjustable by the platform team, undocumented, fast-moving, opportunistic — is exactly the failure mode that produced the credit-risk model crises of the past two decades. ADAM treats calibration as a doctrine event with the same governance weight as a constitutional bylaw change.</w:t>
      </w:r>
    </w:p>
    <w:p>
      <w:pPr>
        <w:pStyle w:val="Heading2"/>
      </w:pPr>
      <w:r>
        <w:t>2.2  The eight failure modes of opaque calibration</w:t>
      </w:r>
    </w:p>
    <w:p>
      <w:r>
        <w:rPr>
          <w:b w:val="0"/>
          <w:i w:val="0"/>
        </w:rPr>
        <w:t>ADAM enumerates the failure modes that a calibration regime must defeat:</w:t>
      </w:r>
    </w:p>
    <w:p>
      <w:pPr>
        <w:pStyle w:val="ListNumber"/>
      </w:pPr>
      <w:r>
        <w:t>Drift. Production data distributions shift; static calibration ages; the score no longer maps to the consequence it was tuned for. Detection requires rolling FP/FN telemetry per dimension and per tier band.</w:t>
      </w:r>
    </w:p>
    <w:p>
      <w:pPr>
        <w:pStyle w:val="ListNumber"/>
      </w:pPr>
      <w:r>
        <w:t>Overfitting. Calibration tuned to maximise apparent accuracy on the prior period fails on the next. Defense requires stratified holdout, cross-validation, and a challenger benchmark that does not see the proposed calibration during fitting.</w:t>
      </w:r>
    </w:p>
    <w:p>
      <w:pPr>
        <w:pStyle w:val="ListNumber"/>
      </w:pPr>
      <w:r>
        <w:t>Gaming. Adversaries — internal or external — learn which combinations of inputs score below ELEVATED and route their actions through that gap. Defense requires score-cluster monitoring under the threshold and stochastic verification.</w:t>
      </w:r>
    </w:p>
    <w:p>
      <w:pPr>
        <w:pStyle w:val="ListNumber"/>
      </w:pPr>
      <w:r>
        <w:t>Label leakage. Outcomes used as labels are themselves caused by the calibration (e.g., 'this action did not produce harm' because it was blocked by the prior threshold). Defense requires propensity-aware label collection and counterfactual replay.</w:t>
      </w:r>
    </w:p>
    <w:p>
      <w:pPr>
        <w:pStyle w:val="ListNumber"/>
      </w:pPr>
      <w:r>
        <w:t>Hidden weight collusion. A change to one dimension's weight is partially offset by a change to another, leaving aggregate behaviour deceptively unchanged while the routing of specific action classes is silently altered. Defense requires per-class subgroup sensitivity reporting, not aggregate-only.</w:t>
      </w:r>
    </w:p>
    <w:p>
      <w:pPr>
        <w:pStyle w:val="ListNumber"/>
      </w:pPr>
      <w:r>
        <w:t>Threshold creep. Repeated small threshold loosenings — each defensible in isolation — accumulate into a materially looser regime. Defense requires year-over-year cumulative threshold deltas to be reported to the Constitution at the annual review.</w:t>
      </w:r>
    </w:p>
    <w:p>
      <w:pPr>
        <w:pStyle w:val="ListNumber"/>
      </w:pPr>
      <w:r>
        <w:t>Base-rate shift. The frequency of action classes itself changes; static calibration produced under one base rate misroutes under another. Defense requires base-rate monitoring inside the Calibration Evidence Pack.</w:t>
      </w:r>
    </w:p>
    <w:p>
      <w:pPr>
        <w:pStyle w:val="ListNumber"/>
      </w:pPr>
      <w:r>
        <w:t>Replay impossibility. Old decisions cannot be re-scored against the calibration that was live at the time, because that calibration was overwritten. Defense is structural: every Calibration Doctrine Update is appended, never overwritten, and every Flight Recorder entry carries the calibration_id used for its original scoring.</w:t>
      </w:r>
    </w:p>
    <w:p>
      <w:pPr>
        <w:pStyle w:val="Heading2"/>
      </w:pPr>
      <w:r>
        <w:t>2.3  Why classical financial-services model risk discipline applies</w:t>
      </w:r>
    </w:p>
    <w:p>
      <w:r>
        <w:rPr>
          <w:b w:val="0"/>
          <w:i w:val="0"/>
        </w:rPr>
        <w:t>The 2011 US Federal Reserve / OCC supervisory guidance on model risk management (SR 11-7 / OCC 2011-12) was the first regulatory text to treat the model itself as the risk object, not merely its output. Its core principles map directly to BOSS calibration:</w:t>
      </w:r>
    </w:p>
    <w:p>
      <w:pPr>
        <w:pStyle w:val="ListBullet"/>
      </w:pPr>
      <w:r>
        <w:t>Effective challenge — independent validation by a function with the standing, authority, and skill to override the developer; ADAM expresses this as the meta-audit Independent Validator with Director-backed authority.</w:t>
      </w:r>
    </w:p>
    <w:p>
      <w:pPr>
        <w:pStyle w:val="ListBullet"/>
      </w:pPr>
      <w:r>
        <w:t>Documentation discipline — a model-development record sufficient for an independent reader to reproduce the model; ADAM expresses this as the Calibration Evidence Pack written to the Flight Recorder.</w:t>
      </w:r>
    </w:p>
    <w:p>
      <w:pPr>
        <w:pStyle w:val="ListBullet"/>
      </w:pPr>
      <w:r>
        <w:t>Ongoing monitoring — outcomes analysis, sensitivity testing, benchmarking, process verification; ADAM expresses these as continuous drift telemetry, monthly sensitivity, quarterly full recalibration, annual external review.</w:t>
      </w:r>
    </w:p>
    <w:p>
      <w:pPr>
        <w:pStyle w:val="ListBullet"/>
      </w:pPr>
      <w:r>
        <w:t>Governance — model risk owned at the board level, with explicit policies, roles, and review; ADAM expresses this through the Director Constitution and the Governance Charter.</w:t>
      </w:r>
    </w:p>
    <w:p>
      <w:r>
        <w:rPr>
          <w:b w:val="0"/>
          <w:i w:val="0"/>
        </w:rPr>
        <w:t>ADAM does not invent novel calibration practice where existing supervisory practice covers the ground. It imports SR 11-7's discipline and extends it for the additional surfaces that classical financial models do not face: AI-control attack exposure, multi-objective scoring across security, sovereignty, financial, regulatory, reputational, rights, and doctrinal dimensions, and the rapidly mutable threat landscape of agentic autonomy.</w:t>
      </w:r>
    </w:p>
    <w:p>
      <w:pPr>
        <w:pStyle w:val="Heading2"/>
      </w:pPr>
      <w:r>
        <w:t>2.4  Why BOSS calibration is not classical credit-risk MRM</w:t>
      </w:r>
    </w:p>
    <w:p>
      <w:r>
        <w:rPr>
          <w:b w:val="0"/>
          <w:i w:val="0"/>
        </w:rPr>
        <w:t>Three structural differences must be acknowledged so the SR 11-7 import is honest, not cargo-cult:</w:t>
      </w:r>
    </w:p>
    <w:p>
      <w:pPr>
        <w:pStyle w:val="ListBullet"/>
      </w:pPr>
      <w:r>
        <w:t>BOSS is a routing score, not a probability. It does not estimate P(loss) on a calibrated 0–1 scale. It composes weighted dimension scores and routes the action across five tiers. The right calibration target is therefore tier-aligned consequence, not Brier score or ROC-AUC alone. Reliability diagrams are still useful per dimension, but the headline KPI is escalation-band quality, not probability calibration error in isolation.</w:t>
      </w:r>
    </w:p>
    <w:p>
      <w:pPr>
        <w:pStyle w:val="ListBullet"/>
      </w:pPr>
      <w:r>
        <w:t>BOSS is multi-objective by construction. Seven dimensions, each with its own framework anchor, each with a Director of Record. Calibration must balance objectives that are not commensurable — a false negative on Sovereignty is not interchangeable with a false negative on Doctrinal Alignment. The asymmetric loss function in §4.4 is therefore vector-valued, not scalar.</w:t>
      </w:r>
    </w:p>
    <w:p>
      <w:pPr>
        <w:pStyle w:val="ListBullet"/>
      </w:pPr>
      <w:r>
        <w:t>Tier assignments are a strategic input, not a fitted parameter. Priority Tiers (Top, Very High, High, Medium, Low, Very Low) are set by the organisation's Directors during DNA Questionnaire deployment; the calibration regime cannot move them. The Calibration Engineer tunes thresholds and second-order weights; the Constitution tunes tier assignments via the formal DNA recalibration path.</w:t>
      </w:r>
    </w:p>
    <w:p>
      <w:pPr>
        <w:pStyle w:val="Heading2"/>
      </w:pPr>
      <w:r>
        <w:t>2.5  Adversarial calibration: the gaming surface</w:t>
      </w:r>
    </w:p>
    <w:p>
      <w:r>
        <w:rPr>
          <w:b w:val="0"/>
          <w:i w:val="0"/>
        </w:rPr>
        <w:t>An attacker — internal or external — who learns the BOSS thresholds gains a structural advantage. They will craft Intent Objects that score just below ELEVATED, split a HIGH-value action across multiple MODERATE actions, or rotate which dimension carries the residual risk. The calibration regime must assume this behaviour and degrade adversarial yield through three architectural properties:</w:t>
      </w:r>
    </w:p>
    <w:p>
      <w:pPr>
        <w:pStyle w:val="ListBullet"/>
      </w:pPr>
      <w:r>
        <w:t>Score density just below threshold. A statistically anomalous concentration of scores in the band [tier_threshold − ε, tier_threshold) is itself a calibration signal and an OHSHAT-tier security signal. The meta-stability agent reports density anomalies to ga-security in addition to the Calibration Engineering Council.</w:t>
      </w:r>
    </w:p>
    <w:p>
      <w:pPr>
        <w:pStyle w:val="ListBullet"/>
      </w:pPr>
      <w:r>
        <w:t>Stochastic verification. A randomised fraction of MODERATE-tier actions is promoted to ELEVATED for human review regardless of score, sampled with doctrine-level secret seed material from the Cryptographic Authorization Vault. An attacker cannot tune around a probability they cannot observe.</w:t>
      </w:r>
    </w:p>
    <w:p>
      <w:pPr>
        <w:pStyle w:val="ListBullet"/>
      </w:pPr>
      <w:r>
        <w:t>Threshold opacity in user-facing surfaces. Exact thresholds are not exposed to agents at runtime; agents see tier outcomes, not the numeric distance. Knowing you are at ELEVATED tells you nothing about how to slide back to MODERATE.</w:t>
      </w:r>
    </w:p>
    <w:p>
      <w:r>
        <w:rPr>
          <w:b w:val="0"/>
          <w:i w:val="0"/>
        </w:rPr>
        <w:t>Calibration changes cannot weaken these properties. An update that materially shrinks the verification rate or publishes a new threshold inside an agent-visible context is a Doctrine Conflict event that the Independent Validator must surface before the bundle is approved.</w:t>
      </w:r>
    </w:p>
    <w:p>
      <w:r>
        <w:br w:type="page"/>
      </w:r>
    </w:p>
    <w:p>
      <w:pPr>
        <w:pStyle w:val="Heading1"/>
      </w:pPr>
      <w:r>
        <w:t>Part III — Calibration Architecture</w:t>
      </w:r>
    </w:p>
    <w:p>
      <w:pPr>
        <w:pStyle w:val="Heading2"/>
      </w:pPr>
      <w:r>
        <w:t>3.1  Principle: every weight, threshold, and tier change is a doctrine event</w:t>
      </w:r>
    </w:p>
    <w:p>
      <w:r>
        <w:rPr>
          <w:b w:val="0"/>
          <w:i w:val="0"/>
        </w:rPr>
        <w:t>Calibration changes are first-class doctrine artifacts. They are versioned, signed, dual-controlled, anchored, replayable, and rollbackable. The mechanism is the Calibration Doctrine Update bundle defined in §5.4. The bundle is to calibration what a constitutional amendment is to the Director Constitution: rare, deliberate, evidenced, and irrevocable as a historical fact.</w:t>
      </w:r>
    </w:p>
    <w:p>
      <w:r>
        <w:rPr>
          <w:b w:val="0"/>
          <w:i w:val="0"/>
        </w:rPr>
        <w:t>Calibration never self-amends. No agent — including meta-stability — has authority to mutate live weights, thresholds, or tiers without a signed Calibration Doctrine Update. The agent's authority is to detect, report, recommend, and prepare; it is not to commit.</w:t>
      </w:r>
    </w:p>
    <w:p>
      <w:pPr>
        <w:pStyle w:val="Heading2"/>
      </w:pPr>
      <w:r>
        <w:t>3.2  Calibration roles and accountability (RACI)</w:t>
      </w:r>
    </w:p>
    <w:p>
      <w:r>
        <w:rPr>
          <w:b w:val="0"/>
          <w:i w:val="0"/>
        </w:rPr>
        <w:t>The calibration regime is staffed by the following named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F3864"/>
          </w:tcPr>
          <w:p>
            <w:r/>
            <w:r>
              <w:rPr>
                <w:b/>
                <w:color w:val="FFFFFF"/>
                <w:sz w:val="20"/>
              </w:rPr>
              <w:t>Role</w:t>
            </w:r>
          </w:p>
        </w:tc>
        <w:tc>
          <w:tcPr>
            <w:tcW w:type="dxa" w:w="3024"/>
            <w:shd w:val="clear" w:color="auto" w:fill="1F3864"/>
          </w:tcPr>
          <w:p>
            <w:r/>
            <w:r>
              <w:rPr>
                <w:b/>
                <w:color w:val="FFFFFF"/>
                <w:sz w:val="20"/>
              </w:rPr>
              <w:t>Held by</w:t>
            </w:r>
          </w:p>
        </w:tc>
        <w:tc>
          <w:tcPr>
            <w:tcW w:type="dxa" w:w="4752"/>
            <w:shd w:val="clear" w:color="auto" w:fill="1F3864"/>
          </w:tcPr>
          <w:p>
            <w:r/>
            <w:r>
              <w:rPr>
                <w:b/>
                <w:color w:val="FFFFFF"/>
                <w:sz w:val="20"/>
              </w:rPr>
              <w:t>Responsibility</w:t>
            </w:r>
          </w:p>
        </w:tc>
      </w:tr>
      <w:tr>
        <w:tc>
          <w:tcPr>
            <w:tcW w:type="dxa" w:w="2304"/>
          </w:tcPr>
          <w:p>
            <w:r/>
            <w:r>
              <w:rPr>
                <w:sz w:val="19"/>
              </w:rPr>
              <w:t>Calibration Owner</w:t>
            </w:r>
          </w:p>
        </w:tc>
        <w:tc>
          <w:tcPr>
            <w:tcW w:type="dxa" w:w="3024"/>
          </w:tcPr>
          <w:p>
            <w:r/>
            <w:r>
              <w:rPr>
                <w:sz w:val="19"/>
              </w:rPr>
              <w:t>meta-stability — Autonomy Stability / BOSS Calibration Agent</w:t>
            </w:r>
          </w:p>
        </w:tc>
        <w:tc>
          <w:tcPr>
            <w:tcW w:type="dxa" w:w="4752"/>
          </w:tcPr>
          <w:p>
            <w:r/>
            <w:r>
              <w:rPr>
                <w:sz w:val="19"/>
              </w:rPr>
              <w:t>Accountable for calibration health; owns drift telemetry; prepares Calibration Evidence Packs; cannot commit changes; recommends to the Council.</w:t>
            </w:r>
          </w:p>
        </w:tc>
      </w:tr>
      <w:tr>
        <w:tc>
          <w:tcPr>
            <w:tcW w:type="dxa" w:w="2304"/>
          </w:tcPr>
          <w:p>
            <w:r/>
            <w:r>
              <w:rPr>
                <w:sz w:val="19"/>
              </w:rPr>
              <w:t>Calibration Engineering Council</w:t>
            </w:r>
          </w:p>
        </w:tc>
        <w:tc>
          <w:tcPr>
            <w:tcW w:type="dxa" w:w="3024"/>
          </w:tcPr>
          <w:p>
            <w:r/>
            <w:r>
              <w:rPr>
                <w:sz w:val="19"/>
              </w:rPr>
              <w:t>Platform engineers + a CISO-delegate + a CFO-delegate</w:t>
            </w:r>
          </w:p>
        </w:tc>
        <w:tc>
          <w:tcPr>
            <w:tcW w:type="dxa" w:w="4752"/>
          </w:tcPr>
          <w:p>
            <w:r/>
            <w:r>
              <w:rPr>
                <w:sz w:val="19"/>
              </w:rPr>
              <w:t>Responsible for executing calibration ceremonies; runs sensitivity, holdout, ECE, challenger benchmarks; drafts the Calibration Doctrine Update.</w:t>
            </w:r>
          </w:p>
        </w:tc>
      </w:tr>
      <w:tr>
        <w:tc>
          <w:tcPr>
            <w:tcW w:type="dxa" w:w="2304"/>
          </w:tcPr>
          <w:p>
            <w:r/>
            <w:r>
              <w:rPr>
                <w:sz w:val="19"/>
              </w:rPr>
              <w:t>Independent Validator</w:t>
            </w:r>
          </w:p>
        </w:tc>
        <w:tc>
          <w:tcPr>
            <w:tcW w:type="dxa" w:w="3024"/>
          </w:tcPr>
          <w:p>
            <w:r/>
            <w:r>
              <w:rPr>
                <w:sz w:val="19"/>
              </w:rPr>
              <w:t>meta-audit — Integrity Auditor</w:t>
            </w:r>
          </w:p>
        </w:tc>
        <w:tc>
          <w:tcPr>
            <w:tcW w:type="dxa" w:w="4752"/>
          </w:tcPr>
          <w:p>
            <w:r/>
            <w:r>
              <w:rPr>
                <w:sz w:val="19"/>
              </w:rPr>
              <w:t>Independent of the Council; replays the prior calibration against the proposed change; rejects bundles that fail SR 11-7-style effective-challenge tests; reports directly to the CISO and to the Director Constitution.</w:t>
            </w:r>
          </w:p>
        </w:tc>
      </w:tr>
      <w:tr>
        <w:tc>
          <w:tcPr>
            <w:tcW w:type="dxa" w:w="2304"/>
          </w:tcPr>
          <w:p>
            <w:r/>
            <w:r>
              <w:rPr>
                <w:sz w:val="19"/>
              </w:rPr>
              <w:t>Director of Record (per change class)</w:t>
            </w:r>
          </w:p>
        </w:tc>
        <w:tc>
          <w:tcPr>
            <w:tcW w:type="dxa" w:w="3024"/>
          </w:tcPr>
          <w:p>
            <w:r/>
            <w:r>
              <w:rPr>
                <w:sz w:val="19"/>
              </w:rPr>
              <w:t>Threshold-only: CISO + Legal (dual). Weight change: CFO + CISO + Legal + CEO (4-of-5). Tier reassignment: Director Constitution full quorum (5-of-5 incl. CEO). Asymmetric-loss policy: full quorum.</w:t>
            </w:r>
          </w:p>
        </w:tc>
        <w:tc>
          <w:tcPr>
            <w:tcW w:type="dxa" w:w="4752"/>
          </w:tcPr>
          <w:p>
            <w:r/>
            <w:r>
              <w:rPr>
                <w:sz w:val="19"/>
              </w:rPr>
              <w:t>Approves the change class within their authority; the quorum is a literal cryptographic property at the Cryptographic Authorization Vault, not a process assertion.</w:t>
            </w:r>
          </w:p>
        </w:tc>
      </w:tr>
      <w:tr>
        <w:tc>
          <w:tcPr>
            <w:tcW w:type="dxa" w:w="2304"/>
          </w:tcPr>
          <w:p>
            <w:r/>
            <w:r>
              <w:rPr>
                <w:sz w:val="19"/>
              </w:rPr>
              <w:t>Final Approver</w:t>
            </w:r>
          </w:p>
        </w:tc>
        <w:tc>
          <w:tcPr>
            <w:tcW w:type="dxa" w:w="3024"/>
          </w:tcPr>
          <w:p>
            <w:r/>
            <w:r>
              <w:rPr>
                <w:sz w:val="19"/>
              </w:rPr>
              <w:t>Director Constitution</w:t>
            </w:r>
          </w:p>
        </w:tc>
        <w:tc>
          <w:tcPr>
            <w:tcW w:type="dxa" w:w="4752"/>
          </w:tcPr>
          <w:p>
            <w:r/>
            <w:r>
              <w:rPr>
                <w:sz w:val="19"/>
              </w:rPr>
              <w:t>Holds annual integrity review; can revoke any active Calibration Doctrine Update; is the only authority that can amend the asymmetric-loss policy.</w:t>
            </w:r>
          </w:p>
        </w:tc>
      </w:tr>
      <w:tr>
        <w:tc>
          <w:tcPr>
            <w:tcW w:type="dxa" w:w="2304"/>
          </w:tcPr>
          <w:p>
            <w:r/>
            <w:r>
              <w:rPr>
                <w:sz w:val="19"/>
              </w:rPr>
              <w:t>External Validator</w:t>
            </w:r>
          </w:p>
        </w:tc>
        <w:tc>
          <w:tcPr>
            <w:tcW w:type="dxa" w:w="3024"/>
          </w:tcPr>
          <w:p>
            <w:r/>
            <w:r>
              <w:rPr>
                <w:sz w:val="19"/>
              </w:rPr>
              <w:t>Named third party retained for the annual review</w:t>
            </w:r>
          </w:p>
        </w:tc>
        <w:tc>
          <w:tcPr>
            <w:tcW w:type="dxa" w:w="4752"/>
          </w:tcPr>
          <w:p>
            <w:r/>
            <w:r>
              <w:rPr>
                <w:sz w:val="19"/>
              </w:rPr>
              <w:t>Independent of all internal roles; reproduces the Council's results from the Evidence Pack; reports to the Constitution; the engagement letter is itself a Flight Recorder entry.</w:t>
            </w:r>
          </w:p>
        </w:tc>
      </w:tr>
      <w:tr>
        <w:tc>
          <w:tcPr>
            <w:tcW w:type="dxa" w:w="2304"/>
          </w:tcPr>
          <w:p>
            <w:r/>
            <w:r>
              <w:rPr>
                <w:sz w:val="19"/>
              </w:rPr>
              <w:t>Challenger Author</w:t>
            </w:r>
          </w:p>
        </w:tc>
        <w:tc>
          <w:tcPr>
            <w:tcW w:type="dxa" w:w="3024"/>
          </w:tcPr>
          <w:p>
            <w:r/>
            <w:r>
              <w:rPr>
                <w:sz w:val="19"/>
              </w:rPr>
              <w:t>ML Research wing of the Calibration Engineering Council, walled off from the production calibration team</w:t>
            </w:r>
          </w:p>
        </w:tc>
        <w:tc>
          <w:tcPr>
            <w:tcW w:type="dxa" w:w="4752"/>
          </w:tcPr>
          <w:p>
            <w:r/>
            <w:r>
              <w:rPr>
                <w:sz w:val="19"/>
              </w:rPr>
              <w:t>Maintains a benchmark calibration that does not see the proposed update during its fitting; the proposed update must outperform the challenger on the agreed loss before it is even considered.</w:t>
            </w:r>
          </w:p>
        </w:tc>
      </w:tr>
    </w:tbl>
    <w:p>
      <w:r>
        <w:rPr>
          <w:b w:val="0"/>
          <w:i w:val="0"/>
        </w:rPr>
        <w:t>Two-person integrity is the floor: no single human, single key, single agent, or single Director can land a calibration change. Where the change crosses dimension boundaries (a weight change, a tier reassignment, a threshold adjustment that would alter the asymmetric-loss policy), the floor rises to a multi-Director cryptographic quorum.</w:t>
      </w:r>
    </w:p>
    <w:p>
      <w:pPr>
        <w:pStyle w:val="Heading2"/>
      </w:pPr>
      <w:r>
        <w:t>3.3  Calibration cadence and triggers</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val="clear" w:color="auto" w:fill="1F3864"/>
          </w:tcPr>
          <w:p>
            <w:r/>
            <w:r>
              <w:rPr>
                <w:b/>
                <w:color w:val="FFFFFF"/>
                <w:sz w:val="20"/>
              </w:rPr>
              <w:t>Cadence</w:t>
            </w:r>
          </w:p>
        </w:tc>
        <w:tc>
          <w:tcPr>
            <w:tcW w:type="dxa" w:w="3600"/>
            <w:shd w:val="clear" w:color="auto" w:fill="1F3864"/>
          </w:tcPr>
          <w:p>
            <w:r/>
            <w:r>
              <w:rPr>
                <w:b/>
                <w:color w:val="FFFFFF"/>
                <w:sz w:val="20"/>
              </w:rPr>
              <w:t>Trigger</w:t>
            </w:r>
          </w:p>
        </w:tc>
        <w:tc>
          <w:tcPr>
            <w:tcW w:type="dxa" w:w="5040"/>
            <w:shd w:val="clear" w:color="auto" w:fill="1F3864"/>
          </w:tcPr>
          <w:p>
            <w:r/>
            <w:r>
              <w:rPr>
                <w:b/>
                <w:color w:val="FFFFFF"/>
                <w:sz w:val="20"/>
              </w:rPr>
              <w:t>Action</w:t>
            </w:r>
          </w:p>
        </w:tc>
      </w:tr>
      <w:tr>
        <w:tc>
          <w:tcPr>
            <w:tcW w:type="dxa" w:w="1440"/>
          </w:tcPr>
          <w:p>
            <w:r/>
            <w:r>
              <w:rPr>
                <w:sz w:val="19"/>
              </w:rPr>
              <w:t>Continuous</w:t>
            </w:r>
          </w:p>
        </w:tc>
        <w:tc>
          <w:tcPr>
            <w:tcW w:type="dxa" w:w="3600"/>
          </w:tcPr>
          <w:p>
            <w:r/>
            <w:r>
              <w:rPr>
                <w:sz w:val="19"/>
              </w:rPr>
              <w:t>Drift telemetry; FP/FN per dimension; tier-band exception rate; score density near thresholds.</w:t>
            </w:r>
          </w:p>
        </w:tc>
        <w:tc>
          <w:tcPr>
            <w:tcW w:type="dxa" w:w="5040"/>
          </w:tcPr>
          <w:p>
            <w:r/>
            <w:r>
              <w:rPr>
                <w:sz w:val="19"/>
              </w:rPr>
              <w:t>meta-stability runs as a stream processor over the Flight Recorder; emits 'instability_detected' if any dimension's FP rate exceeds 25% for 7 rolling days, or if score density in [threshold − ε, threshold) exceeds the doctrine band.</w:t>
            </w:r>
          </w:p>
        </w:tc>
      </w:tr>
      <w:tr>
        <w:tc>
          <w:tcPr>
            <w:tcW w:type="dxa" w:w="1440"/>
          </w:tcPr>
          <w:p>
            <w:r/>
            <w:r>
              <w:rPr>
                <w:sz w:val="19"/>
              </w:rPr>
              <w:t>Monthly</w:t>
            </w:r>
          </w:p>
        </w:tc>
        <w:tc>
          <w:tcPr>
            <w:tcW w:type="dxa" w:w="3600"/>
          </w:tcPr>
          <w:p>
            <w:r/>
            <w:r>
              <w:rPr>
                <w:sz w:val="19"/>
              </w:rPr>
              <w:t>Threshold sensitivity check.</w:t>
            </w:r>
          </w:p>
        </w:tc>
        <w:tc>
          <w:tcPr>
            <w:tcW w:type="dxa" w:w="5040"/>
          </w:tcPr>
          <w:p>
            <w:r/>
            <w:r>
              <w:rPr>
                <w:sz w:val="19"/>
              </w:rPr>
              <w:t>Council confirms exception volume sits in the doctrinal band (target 5–15% of actions); produces a Threshold Sensitivity Note appended to the FR. Threshold changes inside the doctrinal band require CISO + Legal dual approval.</w:t>
            </w:r>
          </w:p>
        </w:tc>
      </w:tr>
      <w:tr>
        <w:tc>
          <w:tcPr>
            <w:tcW w:type="dxa" w:w="1440"/>
          </w:tcPr>
          <w:p>
            <w:r/>
            <w:r>
              <w:rPr>
                <w:sz w:val="19"/>
              </w:rPr>
              <w:t>Quarterly</w:t>
            </w:r>
          </w:p>
        </w:tc>
        <w:tc>
          <w:tcPr>
            <w:tcW w:type="dxa" w:w="3600"/>
          </w:tcPr>
          <w:p>
            <w:r/>
            <w:r>
              <w:rPr>
                <w:sz w:val="19"/>
              </w:rPr>
              <w:t>Full recalibration ceremony.</w:t>
            </w:r>
          </w:p>
        </w:tc>
        <w:tc>
          <w:tcPr>
            <w:tcW w:type="dxa" w:w="5040"/>
          </w:tcPr>
          <w:p>
            <w:r/>
            <w:r>
              <w:rPr>
                <w:sz w:val="19"/>
              </w:rPr>
              <w:t>Council assembles 90-day labeled outcomes; runs full statistical procedure (§4.3); produces a Calibration Evidence Pack; the Independent Validator replays prior calibration; the Director of Record approves; bundle is deployed under §5.5.</w:t>
            </w:r>
          </w:p>
        </w:tc>
      </w:tr>
      <w:tr>
        <w:tc>
          <w:tcPr>
            <w:tcW w:type="dxa" w:w="1440"/>
          </w:tcPr>
          <w:p>
            <w:r/>
            <w:r>
              <w:rPr>
                <w:sz w:val="19"/>
              </w:rPr>
              <w:t>Annually</w:t>
            </w:r>
          </w:p>
        </w:tc>
        <w:tc>
          <w:tcPr>
            <w:tcW w:type="dxa" w:w="3600"/>
          </w:tcPr>
          <w:p>
            <w:r/>
            <w:r>
              <w:rPr>
                <w:sz w:val="19"/>
              </w:rPr>
              <w:t>Director-led integrity review with external validator.</w:t>
            </w:r>
          </w:p>
        </w:tc>
        <w:tc>
          <w:tcPr>
            <w:tcW w:type="dxa" w:w="5040"/>
          </w:tcPr>
          <w:p>
            <w:r/>
            <w:r>
              <w:rPr>
                <w:sz w:val="19"/>
              </w:rPr>
              <w:t>External validator reproduces the Council's results; cumulative threshold deltas reviewed by the Constitution; tier-assignment fitness reviewed via the DNA Questionnaire path.</w:t>
            </w:r>
          </w:p>
        </w:tc>
      </w:tr>
      <w:tr>
        <w:tc>
          <w:tcPr>
            <w:tcW w:type="dxa" w:w="1440"/>
          </w:tcPr>
          <w:p>
            <w:r/>
            <w:r>
              <w:rPr>
                <w:sz w:val="19"/>
              </w:rPr>
              <w:t>Event-driven</w:t>
            </w:r>
          </w:p>
        </w:tc>
        <w:tc>
          <w:tcPr>
            <w:tcW w:type="dxa" w:w="3600"/>
          </w:tcPr>
          <w:p>
            <w:r/>
            <w:r>
              <w:rPr>
                <w:sz w:val="19"/>
              </w:rPr>
              <w:t>Regulatory change, OHSHAT incident, framework version uplift, threat-actor TTP shift, base-rate excursion.</w:t>
            </w:r>
          </w:p>
        </w:tc>
        <w:tc>
          <w:tcPr>
            <w:tcW w:type="dxa" w:w="5040"/>
          </w:tcPr>
          <w:p>
            <w:r/>
            <w:r>
              <w:rPr>
                <w:sz w:val="19"/>
              </w:rPr>
              <w:t>Calibration Owner declares an out-of-cycle ceremony; cadence does not displace the standing schedule; minutes are signed and anchored.</w:t>
            </w:r>
          </w:p>
        </w:tc>
      </w:tr>
    </w:tbl>
    <w:p>
      <w:r>
        <w:rPr>
          <w:b w:val="0"/>
          <w:i w:val="0"/>
        </w:rPr>
        <w:t>The continuous channel is a guard, not a calibrator. Detection of an instability halts pending calibration changes and pages the Calibration Owner; it does not auto-tune live weights. Auto-tuning of routing parameters by an agent without a signed doctrine event is structurally impossible in the ADAM mesh.</w:t>
      </w:r>
    </w:p>
    <w:p>
      <w:pPr>
        <w:pStyle w:val="Heading2"/>
      </w:pPr>
      <w:r>
        <w:t>3.4  The Calibration Data Plane</w:t>
      </w:r>
    </w:p>
    <w:p>
      <w:r>
        <w:rPr>
          <w:b w:val="0"/>
          <w:i w:val="0"/>
        </w:rPr>
        <w:t>The data plane that calibration runs on is a derived view over the Flight Recorder. Every action that BOSS scored is present in the FR with the calibration_id used at the time, the dimension scores that were computed, the tier outcome, the routing decision, the human reviewer (if any), the override (if any), the post-action outcome label (if collected), the doctrine_version, and the signed envelope. The calibration data plane is exactly the projection of those fields needed for calibration analysis. It is read-only and append-only.</w:t>
      </w:r>
    </w:p>
    <w:p>
      <w:r>
        <w:rPr>
          <w:b w:val="0"/>
          <w:i w:val="0"/>
        </w:rPr>
        <w:t>Three properties make this data plane defensible:</w:t>
      </w:r>
    </w:p>
    <w:p>
      <w:pPr>
        <w:pStyle w:val="ListBullet"/>
      </w:pPr>
      <w:r>
        <w:t>Provenance. Every label is bound to the FR entry hash that produced it. A label asserted without an FR anchor is invalid. Labels added after the fact must themselves be FR entries with their own envelope and Director Decision Receipt where adjudication occurred.</w:t>
      </w:r>
    </w:p>
    <w:p>
      <w:pPr>
        <w:pStyle w:val="ListBullet"/>
      </w:pPr>
      <w:r>
        <w:t>Time machine. The plane supports calibration_id-pinned replay: the BOSS engine can be invoked against the calibration that was live at any historical moment, with the same dimension inputs, and produce the same composite and tier. This is the audit-equals-playback property extended to calibration history.</w:t>
      </w:r>
    </w:p>
    <w:p>
      <w:pPr>
        <w:pStyle w:val="ListBullet"/>
      </w:pPr>
      <w:r>
        <w:t>Right of rebuttal. Directors and authorised reviewers may dispute a label; the dispute does not erase the original label. Both labels persist; the calibration Council picks the label policy used for fitting (typically: 'majority of adjudicated labels, ties to the most conservative interpretation') and records the choice in the Evidence Pack.</w:t>
      </w:r>
    </w:p>
    <w:p>
      <w:pPr>
        <w:pStyle w:val="Heading2"/>
      </w:pPr>
      <w:r>
        <w:t>3.5  Labeled Outcome Taxonomy</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F3864"/>
          </w:tcPr>
          <w:p>
            <w:r/>
            <w:r>
              <w:rPr>
                <w:b/>
                <w:color w:val="FFFFFF"/>
                <w:sz w:val="20"/>
              </w:rPr>
              <w:t>Label</w:t>
            </w:r>
          </w:p>
        </w:tc>
        <w:tc>
          <w:tcPr>
            <w:tcW w:type="dxa" w:w="7488"/>
            <w:shd w:val="clear" w:color="auto" w:fill="1F3864"/>
          </w:tcPr>
          <w:p>
            <w:r/>
            <w:r>
              <w:rPr>
                <w:b/>
                <w:color w:val="FFFFFF"/>
                <w:sz w:val="20"/>
              </w:rPr>
              <w:t>Definition</w:t>
            </w:r>
          </w:p>
        </w:tc>
      </w:tr>
      <w:tr>
        <w:tc>
          <w:tcPr>
            <w:tcW w:type="dxa" w:w="2304"/>
          </w:tcPr>
          <w:p>
            <w:r/>
            <w:r>
              <w:rPr>
                <w:sz w:val="19"/>
              </w:rPr>
              <w:t>True Positive (TP)</w:t>
            </w:r>
          </w:p>
        </w:tc>
        <w:tc>
          <w:tcPr>
            <w:tcW w:type="dxa" w:w="7488"/>
          </w:tcPr>
          <w:p>
            <w:r/>
            <w:r>
              <w:rPr>
                <w:sz w:val="19"/>
              </w:rPr>
              <w:t>ELEVATED+ scored, action would have produced harm if unconfirmed; confirmed by Director Decision Receipt or post-action outcome.</w:t>
            </w:r>
          </w:p>
        </w:tc>
      </w:tr>
      <w:tr>
        <w:tc>
          <w:tcPr>
            <w:tcW w:type="dxa" w:w="2304"/>
          </w:tcPr>
          <w:p>
            <w:r/>
            <w:r>
              <w:rPr>
                <w:sz w:val="19"/>
              </w:rPr>
              <w:t>True Negative (TN)</w:t>
            </w:r>
          </w:p>
        </w:tc>
        <w:tc>
          <w:tcPr>
            <w:tcW w:type="dxa" w:w="7488"/>
          </w:tcPr>
          <w:p>
            <w:r/>
            <w:r>
              <w:rPr>
                <w:sz w:val="19"/>
              </w:rPr>
              <w:t>MODERATE− scored, action ran, post-action outcome shows no harm above the noise floor.</w:t>
            </w:r>
          </w:p>
        </w:tc>
      </w:tr>
      <w:tr>
        <w:tc>
          <w:tcPr>
            <w:tcW w:type="dxa" w:w="2304"/>
          </w:tcPr>
          <w:p>
            <w:r/>
            <w:r>
              <w:rPr>
                <w:sz w:val="19"/>
              </w:rPr>
              <w:t>False Positive (FP)</w:t>
            </w:r>
          </w:p>
        </w:tc>
        <w:tc>
          <w:tcPr>
            <w:tcW w:type="dxa" w:w="7488"/>
          </w:tcPr>
          <w:p>
            <w:r/>
            <w:r>
              <w:rPr>
                <w:sz w:val="19"/>
              </w:rPr>
              <w:t>ELEVATED+ scored, post-adjudication evidence shows the action was safe; the escalation cost is borne by the organisation.</w:t>
            </w:r>
          </w:p>
        </w:tc>
      </w:tr>
      <w:tr>
        <w:tc>
          <w:tcPr>
            <w:tcW w:type="dxa" w:w="2304"/>
          </w:tcPr>
          <w:p>
            <w:r/>
            <w:r>
              <w:rPr>
                <w:sz w:val="19"/>
              </w:rPr>
              <w:t>False Negative (FN)</w:t>
            </w:r>
          </w:p>
        </w:tc>
        <w:tc>
          <w:tcPr>
            <w:tcW w:type="dxa" w:w="7488"/>
          </w:tcPr>
          <w:p>
            <w:r/>
            <w:r>
              <w:rPr>
                <w:sz w:val="19"/>
              </w:rPr>
              <w:t>MODERATE− scored, action ran, post-action outcome shows harm above the noise floor; the loss is borne by the organisation.</w:t>
            </w:r>
          </w:p>
        </w:tc>
      </w:tr>
      <w:tr>
        <w:tc>
          <w:tcPr>
            <w:tcW w:type="dxa" w:w="2304"/>
          </w:tcPr>
          <w:p>
            <w:r/>
            <w:r>
              <w:rPr>
                <w:sz w:val="19"/>
              </w:rPr>
              <w:t>Near-Miss (NM)</w:t>
            </w:r>
          </w:p>
        </w:tc>
        <w:tc>
          <w:tcPr>
            <w:tcW w:type="dxa" w:w="7488"/>
          </w:tcPr>
          <w:p>
            <w:r/>
            <w:r>
              <w:rPr>
                <w:sz w:val="19"/>
              </w:rPr>
              <w:t>Action scored within ε of an escalation threshold and the realised outcome would have changed the appropriate tier; counted as half-weight in standard FP/FN tallies and full-weight in stress tests.</w:t>
            </w:r>
          </w:p>
        </w:tc>
      </w:tr>
      <w:tr>
        <w:tc>
          <w:tcPr>
            <w:tcW w:type="dxa" w:w="2304"/>
          </w:tcPr>
          <w:p>
            <w:r/>
            <w:r>
              <w:rPr>
                <w:sz w:val="19"/>
              </w:rPr>
              <w:t>Override (OV)</w:t>
            </w:r>
          </w:p>
        </w:tc>
        <w:tc>
          <w:tcPr>
            <w:tcW w:type="dxa" w:w="7488"/>
          </w:tcPr>
          <w:p>
            <w:r/>
            <w:r>
              <w:rPr>
                <w:sz w:val="19"/>
              </w:rPr>
              <w:t>A Director, on a Director Decision Receipt, overrode the BOSS-recommended tier; recorded with reason code; treated as ground truth for calibration unless the override is later reversed.</w:t>
            </w:r>
          </w:p>
        </w:tc>
      </w:tr>
      <w:tr>
        <w:tc>
          <w:tcPr>
            <w:tcW w:type="dxa" w:w="2304"/>
          </w:tcPr>
          <w:p>
            <w:r/>
            <w:r>
              <w:rPr>
                <w:sz w:val="19"/>
              </w:rPr>
              <w:t>Override-Reversed (OR)</w:t>
            </w:r>
          </w:p>
        </w:tc>
        <w:tc>
          <w:tcPr>
            <w:tcW w:type="dxa" w:w="7488"/>
          </w:tcPr>
          <w:p>
            <w:r/>
            <w:r>
              <w:rPr>
                <w:sz w:val="19"/>
              </w:rPr>
              <w:t>An override that was later judged incorrect by Director adjudication; both records are retained; the OR record overrides the OV for label-policy purposes.</w:t>
            </w:r>
          </w:p>
        </w:tc>
      </w:tr>
      <w:tr>
        <w:tc>
          <w:tcPr>
            <w:tcW w:type="dxa" w:w="2304"/>
          </w:tcPr>
          <w:p>
            <w:r/>
            <w:r>
              <w:rPr>
                <w:sz w:val="19"/>
              </w:rPr>
              <w:t>Adjudicated-Tied (AT)</w:t>
            </w:r>
          </w:p>
        </w:tc>
        <w:tc>
          <w:tcPr>
            <w:tcW w:type="dxa" w:w="7488"/>
          </w:tcPr>
          <w:p>
            <w:r/>
            <w:r>
              <w:rPr>
                <w:sz w:val="19"/>
              </w:rPr>
              <w:t>A label was disputed and remained tied; calibration uses the most conservative interpretation per the doctrine.</w:t>
            </w:r>
          </w:p>
        </w:tc>
      </w:tr>
    </w:tbl>
    <w:p>
      <w:pPr>
        <w:pStyle w:val="Heading2"/>
      </w:pPr>
      <w:r>
        <w:t>3.6  RGI Calibration surface</w:t>
      </w:r>
    </w:p>
    <w:p>
      <w:r>
        <w:rPr>
          <w:b w:val="0"/>
          <w:i w:val="0"/>
        </w:rPr>
        <w:t>The Runtime Governance Interface defines the contract every conformant runtime honours. Calibration imposes the following obligations on RGI runtimes (native ADAM, AGT Light, Full AGT Plugin, third-party RGI-conformant runtimes):</w:t>
      </w:r>
    </w:p>
    <w:p>
      <w:pPr>
        <w:pStyle w:val="ListBullet"/>
      </w:pPr>
      <w:r>
        <w:t>RGI Policy Enforcement contract — the live calibration_id is part of every BOSS invocation and is logged in every emitted Flight Recorder event.</w:t>
      </w:r>
    </w:p>
    <w:p>
      <w:pPr>
        <w:pStyle w:val="ListBullet"/>
      </w:pPr>
      <w:r>
        <w:t>RGI Telemetry Emission contract — drift signals (FP/FN, tier-band volume, score density near thresholds) are emitted on the calibration channel, sampled at the doctrinal rate.</w:t>
      </w:r>
    </w:p>
    <w:p>
      <w:pPr>
        <w:pStyle w:val="ListBullet"/>
      </w:pPr>
      <w:r>
        <w:t>RGI Identity contract — calibration artifacts are signed under the T1 Doctrine Signing Key class; runtime refuses to load an unsigned or below-suite calibration bundle.</w:t>
      </w:r>
    </w:p>
    <w:p>
      <w:pPr>
        <w:pStyle w:val="ListBullet"/>
      </w:pPr>
      <w:r>
        <w:t>RGI Execution Rings contract — the calibration data plane is a read-only projection inside a dedicated execution ring; no agent ring may write to it.</w:t>
      </w:r>
    </w:p>
    <w:p>
      <w:r>
        <w:br w:type="page"/>
      </w:r>
    </w:p>
    <w:p>
      <w:pPr>
        <w:pStyle w:val="Heading1"/>
      </w:pPr>
      <w:r>
        <w:t>Part IV — Calibration Methodology</w:t>
      </w:r>
    </w:p>
    <w:p>
      <w:pPr>
        <w:pStyle w:val="Heading2"/>
      </w:pPr>
      <w:r>
        <w:t>4.1  Calibration objectives, lexicographic ordering</w:t>
      </w:r>
    </w:p>
    <w:p>
      <w:r>
        <w:rPr>
          <w:b w:val="0"/>
          <w:i w:val="0"/>
        </w:rPr>
        <w:t>Calibration is multi-objective. ADAM resolves the multi-objective problem by lexicographic ordering — solve the higher-priority objective first, then optimise the next subject to not regressing the prior:</w:t>
      </w:r>
    </w:p>
    <w:p>
      <w:pPr>
        <w:pStyle w:val="ListNumber"/>
      </w:pPr>
      <w:r>
        <w:t>Catch HIGH and OHSHAT events. Achieve a doctrinal recall floor on labeled HIGH+ actions; this is the inviolable baseline.</w:t>
      </w:r>
    </w:p>
    <w:p>
      <w:pPr>
        <w:pStyle w:val="ListNumber"/>
      </w:pPr>
      <w:r>
        <w:t>Minimise FP at SOAP. Reduce false positives at the lowest band, where the cost of escalation is the human reviewer's time and attention.</w:t>
      </w:r>
    </w:p>
    <w:p>
      <w:pPr>
        <w:pStyle w:val="ListNumber"/>
      </w:pPr>
      <w:r>
        <w:t>Preserve coverage. Keep the exception rate inside the doctrinal band (5–15% by default); excessive escalation collapses the human review channel.</w:t>
      </w:r>
    </w:p>
    <w:p>
      <w:pPr>
        <w:pStyle w:val="ListNumber"/>
      </w:pPr>
      <w:r>
        <w:t>Minimise dimension-level miscalibration. Tighten reliability diagrams per dimension once the higher objectives are satisfied.</w:t>
      </w:r>
    </w:p>
    <w:p>
      <w:pPr>
        <w:pStyle w:val="ListNumber"/>
      </w:pPr>
      <w:r>
        <w:t>Adversarial robustness. Maintain score density discipline near thresholds and the stochastic verification budget.</w:t>
      </w:r>
    </w:p>
    <w:p>
      <w:r>
        <w:rPr>
          <w:b w:val="0"/>
          <w:i w:val="0"/>
        </w:rPr>
        <w:t>Lexicographic ordering is doctrine. The Calibration Engineer cannot trade recall at HIGH+ for a better SOAP FP rate; that trade requires a Director-Constitution amendment to the asymmetric-loss policy.</w:t>
      </w:r>
    </w:p>
    <w:p>
      <w:pPr>
        <w:pStyle w:val="Heading2"/>
      </w:pPr>
      <w:r>
        <w:t>4.2  Label sources and ground-truth discipline</w:t>
      </w:r>
    </w:p>
    <w:p>
      <w:r>
        <w:rPr>
          <w:b w:val="0"/>
          <w:i w:val="0"/>
        </w:rPr>
        <w:t>Labels enter the data plane through five disciplined channels:</w:t>
      </w:r>
    </w:p>
    <w:p>
      <w:pPr>
        <w:pStyle w:val="ListBullet"/>
      </w:pPr>
      <w:r>
        <w:t>Director adjudication. Director Decision Receipts on escalations are first-class labels; the receipt is the anchor.</w:t>
      </w:r>
    </w:p>
    <w:p>
      <w:pPr>
        <w:pStyle w:val="ListBullet"/>
      </w:pPr>
      <w:r>
        <w:t>Post-action outcomes. Where the action ran, the realised outcome (financial loss, regulatory finding, security incident, IP dispute, sovereignty incident) is collected and bound to the FR entry; the binding includes the outcome reporter's identity.</w:t>
      </w:r>
    </w:p>
    <w:p>
      <w:pPr>
        <w:pStyle w:val="ListBullet"/>
      </w:pPr>
      <w:r>
        <w:t>Near-miss synthesis. Where an action ran with a score within ε of a threshold, the realised outcome is recorded as a near-miss with full label weight in stress tests.</w:t>
      </w:r>
    </w:p>
    <w:p>
      <w:pPr>
        <w:pStyle w:val="ListBullet"/>
      </w:pPr>
      <w:r>
        <w:t>Red-team injections. Synthetic high-risk actions are injected with known ground truth; the agent under test must escalate; the injection is itself an FR entry, distinguishable from production by a doctrine-level provenance flag.</w:t>
      </w:r>
    </w:p>
    <w:p>
      <w:pPr>
        <w:pStyle w:val="ListBullet"/>
      </w:pPr>
      <w:r>
        <w:t>Simulation. Twin-driven what-if replay against historical states; the simulated label is marked synthetic and never used as the sole driver of a calibration change.</w:t>
      </w:r>
    </w:p>
    <w:p>
      <w:r>
        <w:rPr>
          <w:b w:val="0"/>
          <w:i w:val="0"/>
        </w:rPr>
        <w:t>Two anti-patterns are blocked at the data-plane layer: (a) a label whose only evidence is the BOSS score itself ('the action was safe because BOSS said so'), and (b) a label whose only evidence is the absence of an incident in a window smaller than the action's plausible harm-realisation horizon. Both are rejected by the label preflight and produce an FR 'label_provenance_violation' event.</w:t>
      </w:r>
    </w:p>
    <w:p>
      <w:pPr>
        <w:pStyle w:val="Heading2"/>
      </w:pPr>
      <w:r>
        <w:t>4.3  Statistical procedures</w:t>
      </w:r>
    </w:p>
    <w:p>
      <w:r>
        <w:rPr>
          <w:b w:val="0"/>
          <w:i w:val="0"/>
        </w:rPr>
        <w:t>The Council runs the following procedure during a quarterly recalibration:</w:t>
      </w:r>
    </w:p>
    <w:p>
      <w:pPr>
        <w:pStyle w:val="ListNumber"/>
      </w:pPr>
      <w:r>
        <w:t>Stratified holdout. The 90-day labeled period is split into a fitting set (80%) and a holdout (20%), stratified by dimension's leading sub-component score band and by tier. The holdout is sealed before fitting and is opened only after the Council has frozen the proposed calibration.</w:t>
      </w:r>
    </w:p>
    <w:p>
      <w:pPr>
        <w:pStyle w:val="ListNumber"/>
      </w:pPr>
      <w:r>
        <w:t>Bootstrap confidence intervals. Each headline KPI (recall at HIGH+, FP rate at SOAP, exception rate, ECE per dimension) is reported with a 95% bootstrap CI from 1,000 resamples. Point estimates without intervals are not admissible to the Evidence Pack.</w:t>
      </w:r>
    </w:p>
    <w:p>
      <w:pPr>
        <w:pStyle w:val="ListNumber"/>
      </w:pPr>
      <w:r>
        <w:t>Reliability diagrams + ECE per dimension. For each dimension, plot mean predicted score in K bins versus realised harm rate; report Expected Calibration Error and Maximum Calibration Error.</w:t>
      </w:r>
    </w:p>
    <w:p>
      <w:pPr>
        <w:pStyle w:val="ListNumber"/>
      </w:pPr>
      <w:r>
        <w:t>Counterfactual replay. Score every historical FR entry against the proposed calibration; produce the migration matrix (how many actions move tier under the new calibration); flag any class where more than the doctrinal threshold of actions move. Migration &gt; threshold requires explicit Director acknowledgement.</w:t>
      </w:r>
    </w:p>
    <w:p>
      <w:pPr>
        <w:pStyle w:val="ListNumber"/>
      </w:pPr>
      <w:r>
        <w:t>Influence-function sensitivity. Estimate the sensitivity of every headline KPI to each dimension weight and threshold via the influence-function approximation; report the top-K most sensitive parameters; require justification for any change that touches a top-K parameter.</w:t>
      </w:r>
    </w:p>
    <w:p>
      <w:pPr>
        <w:pStyle w:val="ListNumber"/>
      </w:pPr>
      <w:r>
        <w:t>Subgroup audit. Recompute every headline KPI per industry profile, per region, per agent class, per actor population. A change that improves aggregate KPIs but regresses a named subgroup must be flagged and reasoned in the Evidence Pack.</w:t>
      </w:r>
    </w:p>
    <w:p>
      <w:pPr>
        <w:pStyle w:val="ListNumber"/>
      </w:pPr>
      <w:r>
        <w:t>Challenger benchmark. The proposed calibration must beat the challenger on the agreed asymmetric loss by a doctrinal margin on the holdout. Failure to beat the challenger ends the ceremony with no change deployed.</w:t>
      </w:r>
    </w:p>
    <w:p>
      <w:pPr>
        <w:pStyle w:val="Heading2"/>
      </w:pPr>
      <w:r>
        <w:t>4.4  FP / FN trade-off governance and asymmetric loss</w:t>
      </w:r>
    </w:p>
    <w:p>
      <w:r>
        <w:rPr>
          <w:b w:val="0"/>
          <w:i w:val="0"/>
        </w:rPr>
        <w:t>Calibration optimises an asymmetric loss whose costs are set by the Director Constitution and recorded in doctrine. The general form per tier band is:</w:t>
      </w:r>
    </w:p>
    <w:p>
      <w:pPr>
        <w:spacing w:after="120"/>
        <w:ind w:left="360"/>
      </w:pPr>
      <w:r>
        <w:rPr>
          <w:rFonts w:ascii="Consolas" w:hAnsi="Consolas" w:cs="Consolas"/>
          <w:sz w:val="18"/>
        </w:rPr>
        <w:t>L_total = Σ_band ( c_FN(band) · count_FN(band) + c_FP(band) · count_FP(band) )</w:t>
        <w:br/>
        <w:t xml:space="preserve">                                                                              </w:t>
        <w:br/>
        <w:t>where c_FN, c_FP are tier-banded costs in dimension-aware units, set by</w:t>
        <w:br/>
        <w:t xml:space="preserve">the Constitution and reviewed annually. By doctrinal default:                 </w:t>
        <w:br/>
        <w:t xml:space="preserve">                                                                              </w:t>
        <w:br/>
        <w:t xml:space="preserve">    c_FN(OHSHAT)  &gt;&gt; c_FP(OHSHAT)        # missing OHSHAT is intolerable      </w:t>
        <w:br/>
        <w:t xml:space="preserve">    c_FN(HIGH)    &gt;  c_FP(HIGH)                                                </w:t>
        <w:br/>
        <w:t xml:space="preserve">    c_FN(ELEVATED) ≈ c_FP(ELEVATED)      # near-symmetric review cost          </w:t>
        <w:br/>
        <w:t xml:space="preserve">    c_FP(SOAP)    &gt;  c_FN(SOAP)          # over-escalation collapses review    </w:t>
        <w:br/>
        <w:t xml:space="preserve">    c_FP(MODERATE) &gt; c_FN(MODERATE)      # same logic, smaller magnitude       </w:t>
        <w:br/>
      </w:r>
    </w:p>
    <w:p>
      <w:r>
        <w:rPr>
          <w:b w:val="0"/>
          <w:i w:val="0"/>
        </w:rPr>
        <w:t>The cost units are dimension-aware. A false negative on Sovereignty is costed against the SEAL exposure baseline; a false negative on Financial is costed against the FAIR loss-magnitude estimate; a false negative on Rights is costed against rights-violation precedent. The unit conversion table is annexed to the asymmetric-loss policy and is itself a Director-Constitution artifact.</w:t>
      </w:r>
    </w:p>
    <w:p>
      <w:r>
        <w:rPr>
          <w:b w:val="0"/>
          <w:i w:val="0"/>
        </w:rPr>
        <w:t>The Calibration Engineer optimises subject to the costs; the Calibration Engineer does not set the costs. A proposed change that requires a cost edit to be preferred over the existing calibration is not a calibration change; it is an asymmetric-loss policy amendment, and travels the longer Director-Constitution path.</w:t>
      </w:r>
    </w:p>
    <w:p>
      <w:pPr>
        <w:pStyle w:val="Heading2"/>
      </w:pPr>
      <w:r>
        <w:t>4.5  Threshold tuning, weight tuning, tier reassignment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F3864"/>
          </w:tcPr>
          <w:p>
            <w:r/>
            <w:r>
              <w:rPr>
                <w:b/>
                <w:color w:val="FFFFFF"/>
                <w:sz w:val="20"/>
              </w:rPr>
              <w:t>Change class</w:t>
            </w:r>
          </w:p>
        </w:tc>
        <w:tc>
          <w:tcPr>
            <w:tcW w:type="dxa" w:w="3456"/>
            <w:shd w:val="clear" w:color="auto" w:fill="1F3864"/>
          </w:tcPr>
          <w:p>
            <w:r/>
            <w:r>
              <w:rPr>
                <w:b/>
                <w:color w:val="FFFFFF"/>
                <w:sz w:val="20"/>
              </w:rPr>
              <w:t>What it is</w:t>
            </w:r>
          </w:p>
        </w:tc>
        <w:tc>
          <w:tcPr>
            <w:tcW w:type="dxa" w:w="4320"/>
            <w:shd w:val="clear" w:color="auto" w:fill="1F3864"/>
          </w:tcPr>
          <w:p>
            <w:r/>
            <w:r>
              <w:rPr>
                <w:b/>
                <w:color w:val="FFFFFF"/>
                <w:sz w:val="20"/>
              </w:rPr>
              <w:t>Authority and cadence</w:t>
            </w:r>
          </w:p>
        </w:tc>
      </w:tr>
      <w:tr>
        <w:tc>
          <w:tcPr>
            <w:tcW w:type="dxa" w:w="2304"/>
          </w:tcPr>
          <w:p>
            <w:r/>
            <w:r>
              <w:rPr>
                <w:sz w:val="19"/>
              </w:rPr>
              <w:t>Threshold tuning</w:t>
            </w:r>
          </w:p>
        </w:tc>
        <w:tc>
          <w:tcPr>
            <w:tcW w:type="dxa" w:w="3456"/>
          </w:tcPr>
          <w:p>
            <w:r/>
            <w:r>
              <w:rPr>
                <w:sz w:val="19"/>
              </w:rPr>
              <w:t>Move escalation thresholds inside the doctrinal band; e.g., ELEVATED 33→36.</w:t>
            </w:r>
          </w:p>
        </w:tc>
        <w:tc>
          <w:tcPr>
            <w:tcW w:type="dxa" w:w="4320"/>
          </w:tcPr>
          <w:p>
            <w:r/>
            <w:r>
              <w:rPr>
                <w:sz w:val="19"/>
              </w:rPr>
              <w:t>Monthly cadence allowed; CISO + Legal dual approval; bounded by the doctrinal band; cumulative threshold delta reviewed at the annual Constitution review.</w:t>
            </w:r>
          </w:p>
        </w:tc>
      </w:tr>
      <w:tr>
        <w:tc>
          <w:tcPr>
            <w:tcW w:type="dxa" w:w="2304"/>
          </w:tcPr>
          <w:p>
            <w:r/>
            <w:r>
              <w:rPr>
                <w:sz w:val="19"/>
              </w:rPr>
              <w:t>Second-order weight tuning</w:t>
            </w:r>
          </w:p>
        </w:tc>
        <w:tc>
          <w:tcPr>
            <w:tcW w:type="dxa" w:w="3456"/>
          </w:tcPr>
          <w:p>
            <w:r/>
            <w:r>
              <w:rPr>
                <w:sz w:val="19"/>
              </w:rPr>
              <w:t>Adjust sub-component weights inside a dimension; e.g., the relative weighting of CVSS Attack Surface and Control Maturity inside Security Impact.</w:t>
            </w:r>
          </w:p>
        </w:tc>
        <w:tc>
          <w:tcPr>
            <w:tcW w:type="dxa" w:w="4320"/>
          </w:tcPr>
          <w:p>
            <w:r/>
            <w:r>
              <w:rPr>
                <w:sz w:val="19"/>
              </w:rPr>
              <w:t>Quarterly cadence; CFO + CISO + Legal + CEO (4-of-5); cannot cross dimension boundaries; cannot re-tier any Priority Tier.</w:t>
            </w:r>
          </w:p>
        </w:tc>
      </w:tr>
      <w:tr>
        <w:tc>
          <w:tcPr>
            <w:tcW w:type="dxa" w:w="2304"/>
          </w:tcPr>
          <w:p>
            <w:r/>
            <w:r>
              <w:rPr>
                <w:sz w:val="19"/>
              </w:rPr>
              <w:t>Asymmetric-loss policy amendment</w:t>
            </w:r>
          </w:p>
        </w:tc>
        <w:tc>
          <w:tcPr>
            <w:tcW w:type="dxa" w:w="3456"/>
          </w:tcPr>
          <w:p>
            <w:r/>
            <w:r>
              <w:rPr>
                <w:sz w:val="19"/>
              </w:rPr>
              <w:t>Adjust c_FN / c_FP costs per band, or the cost-unit conversion table.</w:t>
            </w:r>
          </w:p>
        </w:tc>
        <w:tc>
          <w:tcPr>
            <w:tcW w:type="dxa" w:w="4320"/>
          </w:tcPr>
          <w:p>
            <w:r/>
            <w:r>
              <w:rPr>
                <w:sz w:val="19"/>
              </w:rPr>
              <w:t>Director Constitution full quorum; annual cadence at minimum; produces a Constitution Order, not a Calibration Doctrine Update.</w:t>
            </w:r>
          </w:p>
        </w:tc>
      </w:tr>
      <w:tr>
        <w:tc>
          <w:tcPr>
            <w:tcW w:type="dxa" w:w="2304"/>
          </w:tcPr>
          <w:p>
            <w:r/>
            <w:r>
              <w:rPr>
                <w:sz w:val="19"/>
              </w:rPr>
              <w:t>Tier reassignment (Priority Tier change)</w:t>
            </w:r>
          </w:p>
        </w:tc>
        <w:tc>
          <w:tcPr>
            <w:tcW w:type="dxa" w:w="3456"/>
          </w:tcPr>
          <w:p>
            <w:r/>
            <w:r>
              <w:rPr>
                <w:sz w:val="19"/>
              </w:rPr>
              <w:t>Reassign a dimension between Top, Very High, High, Medium, Low, Very Low.</w:t>
            </w:r>
          </w:p>
        </w:tc>
        <w:tc>
          <w:tcPr>
            <w:tcW w:type="dxa" w:w="4320"/>
          </w:tcPr>
          <w:p>
            <w:r/>
            <w:r>
              <w:rPr>
                <w:sz w:val="19"/>
              </w:rPr>
              <w:t>Routed through the DNA Questionnaire recalibration path; Director Constitution full quorum; produces a doctrine version bump and a coordinated OPA/RGI rollout.</w:t>
            </w:r>
          </w:p>
        </w:tc>
      </w:tr>
    </w:tbl>
    <w:p>
      <w:r>
        <w:rPr>
          <w:b w:val="0"/>
          <w:i w:val="0"/>
        </w:rPr>
        <w:t>The change classes are mutually exclusive within a single Calibration Doctrine Update. A bundle that conflates a threshold change with a tier reassignment is rejected at preflight and produces an FR 'calibration_bundle_scope_violation' event.</w:t>
      </w:r>
    </w:p>
    <w:p>
      <w:pPr>
        <w:pStyle w:val="Heading2"/>
      </w:pPr>
      <w:r>
        <w:t>4.6  Adversarial calibration defenses</w:t>
      </w:r>
    </w:p>
    <w:p>
      <w:pPr>
        <w:pStyle w:val="ListBullet"/>
      </w:pPr>
      <w:r>
        <w:t>Score-density monitoring. The meta-stability agent maintains a sliding-window histogram of composite scores and reports concentration in the [τ − ε, τ) band for each tier threshold τ. A concentration above the doctrinal band is reported to ga-security as a HIGH-tier event, in addition to the Calibration Engineering Council.</w:t>
      </w:r>
    </w:p>
    <w:p>
      <w:pPr>
        <w:pStyle w:val="ListBullet"/>
      </w:pPr>
      <w:r>
        <w:t>Stochastic verification. A doctrinally-set fraction f_v of MODERATE-tier actions are promoted to ELEVATED for human review regardless of score, drawn with a secret seed derived from the Cryptographic Authorization Vault. The seed rotates on the doctrine cadence; the rotation is itself an FR-anchored event.</w:t>
      </w:r>
    </w:p>
    <w:p>
      <w:pPr>
        <w:pStyle w:val="ListBullet"/>
      </w:pPr>
      <w:r>
        <w:t>Threshold opacity. The exact threshold values are not exposed to agents at runtime. Agents observe tier outcomes through the RGI; numeric distance to a threshold is not part of the contract.</w:t>
      </w:r>
    </w:p>
    <w:p>
      <w:pPr>
        <w:pStyle w:val="ListBullet"/>
      </w:pPr>
      <w:r>
        <w:t>Splittability detection. An attempt to split one HIGH-value action into multiple MODERATE actions is detected by the meta-stability agent through Intent Object lineage; cumulative dimension exposure across a delegation tree triggers an ELEVATED-or-above re-evaluation.</w:t>
      </w:r>
    </w:p>
    <w:p>
      <w:pPr>
        <w:pStyle w:val="ListBullet"/>
      </w:pPr>
      <w:r>
        <w:t>Rotation detection. Adversaries who rotate residual risk across dimensions to stay below tier thresholds produce a characteristic per-dimension cyclic signature; the Council monitors per-dimension residual-risk autocorrelation as a calibration health KPI.</w:t>
      </w:r>
    </w:p>
    <w:p>
      <w:pPr>
        <w:pStyle w:val="Heading2"/>
      </w:pPr>
      <w:r>
        <w:t>4.7  Worked recalibration walk-through</w:t>
      </w:r>
    </w:p>
    <w:p>
      <w:r>
        <w:rPr>
          <w:b w:val="0"/>
          <w:i w:val="0"/>
        </w:rPr>
        <w:t>An illustrative ceremony — generic, not bound to any specific industry profile — shows the procedure end to end. The illustration carries no real organisation's data and is intended as a worked example for engineers and AI assistants constructing a Calibration Evidence Pack.</w:t>
      </w:r>
    </w:p>
    <w:p>
      <w:pPr>
        <w:pStyle w:val="ListBullet"/>
      </w:pPr>
      <w:r>
        <w:t>Trigger. Drift telemetry shows Dimension 4 (Regulatory Impact) FP rate at 28% for 9 rolling days, breaching the 25% threshold.</w:t>
      </w:r>
    </w:p>
    <w:p>
      <w:pPr>
        <w:pStyle w:val="ListBullet"/>
      </w:pPr>
      <w:r>
        <w:t>Scope decision. Calibration Owner declares a threshold tuning ceremony scoped to Dimension 4; weight changes and tier reassignment are out of scope.</w:t>
      </w:r>
    </w:p>
    <w:p>
      <w:pPr>
        <w:pStyle w:val="ListBullet"/>
      </w:pPr>
      <w:r>
        <w:t>Data plane. Council retrieves the prior 90-day FR projection; labels are complete for 96.4% of actions; the 3.6% unlabeled tail is tracked as missing-not-at-random and excluded with a documented sensitivity check.</w:t>
      </w:r>
    </w:p>
    <w:p>
      <w:pPr>
        <w:pStyle w:val="ListBullet"/>
      </w:pPr>
      <w:r>
        <w:t>Holdout sealed. 20% holdout sealed; fitting set 80%.</w:t>
      </w:r>
    </w:p>
    <w:p>
      <w:pPr>
        <w:pStyle w:val="ListBullet"/>
      </w:pPr>
      <w:r>
        <w:t>Fitting. The Council adjusts Dimension 4's escalation threshold inside the doctrinal band, runs the asymmetric-loss optimisation, and freezes a candidate.</w:t>
      </w:r>
    </w:p>
    <w:p>
      <w:pPr>
        <w:pStyle w:val="ListBullet"/>
      </w:pPr>
      <w:r>
        <w:t>Sensitivity. Influence-function analysis shows two top-K parameters were touched; justification is added to the Evidence Pack.</w:t>
      </w:r>
    </w:p>
    <w:p>
      <w:pPr>
        <w:pStyle w:val="ListBullet"/>
      </w:pPr>
      <w:r>
        <w:t>Counterfactual replay. The candidate is replayed against 90-day FR; 4.1% of actions move tier; subgroup audit shows two industry profiles take a disproportionate share of the migration; reasoning is added to the Evidence Pack.</w:t>
      </w:r>
    </w:p>
    <w:p>
      <w:pPr>
        <w:pStyle w:val="ListBullet"/>
      </w:pPr>
      <w:r>
        <w:t>Holdout. Holdout opened; recall at HIGH+ is preserved within the bootstrap CI; FP at SOAP is improved by 4.2 percentage points.</w:t>
      </w:r>
    </w:p>
    <w:p>
      <w:pPr>
        <w:pStyle w:val="ListBullet"/>
      </w:pPr>
      <w:r>
        <w:t>Challenger. Candidate beats the challenger on asymmetric loss by 1.6 standard deviations on the holdout, exceeding the doctrinal margin.</w:t>
      </w:r>
    </w:p>
    <w:p>
      <w:pPr>
        <w:pStyle w:val="ListBullet"/>
      </w:pPr>
      <w:r>
        <w:t>Independent Validator. meta-audit replays the prior calibration; verifies the label provenance; verifies the bootstrap procedure; signs the Validation Report.</w:t>
      </w:r>
    </w:p>
    <w:p>
      <w:pPr>
        <w:pStyle w:val="ListBullet"/>
      </w:pPr>
      <w:r>
        <w:t>Director approval. CISO + Legal sign the Calibration Doctrine Update; the bundle is anchored externally and pushed via OPA dual control.</w:t>
      </w:r>
    </w:p>
    <w:p>
      <w:pPr>
        <w:pStyle w:val="ListBullet"/>
      </w:pPr>
      <w:r>
        <w:t>Post-deployment. The first 14 days are tracked under heightened drift monitoring; if the new calibration trips a stability gate, the prior calibration is automatically restored under the rollback procedure in §5.4.</w:t>
      </w:r>
    </w:p>
    <w:p>
      <w:r>
        <w:br w:type="page"/>
      </w:r>
    </w:p>
    <w:p>
      <w:pPr>
        <w:pStyle w:val="Heading1"/>
      </w:pPr>
      <w:r>
        <w:t>Part V — Replay, Evidence, and Change Control</w:t>
      </w:r>
    </w:p>
    <w:p>
      <w:pPr>
        <w:pStyle w:val="Heading2"/>
      </w:pPr>
      <w:r>
        <w:t>5.1  Calibration Evidence Pack</w:t>
      </w:r>
    </w:p>
    <w:p>
      <w:r>
        <w:rPr>
          <w:b w:val="0"/>
          <w:i w:val="0"/>
        </w:rPr>
        <w:t>Every calibration ceremony produces a Calibration Evidence Pack. The Pack is the model-development record an external reader needs to reproduce the result. Its schema is normative:</w:t>
      </w:r>
    </w:p>
    <w:p>
      <w:pPr>
        <w:spacing w:after="120"/>
        <w:ind w:left="360"/>
      </w:pPr>
      <w:r>
        <w:rPr>
          <w:rFonts w:ascii="Consolas" w:hAnsi="Consolas" w:cs="Consolas"/>
          <w:sz w:val="18"/>
        </w:rPr>
        <w:t>{</w:t>
        <w:br/>
        <w:t xml:space="preserve">  "calibration_id": "&lt;uuidv4&gt;",</w:t>
        <w:br/>
        <w:t xml:space="preserve">  "scope": "threshold_tuning | second_order_weight | asymmetric_loss | tier_reassignment",</w:t>
        <w:br/>
        <w:t xml:space="preserve">  "trigger": {</w:t>
        <w:br/>
        <w:t xml:space="preserve">    "kind": "drift | monthly | quarterly | annual | regulatory | incident | framework_uplift",</w:t>
        <w:br/>
        <w:t xml:space="preserve">    "evidence_fr_entries": ["&lt;fr_hash&gt;", ...]</w:t>
        <w:br/>
        <w:t xml:space="preserve">  },</w:t>
        <w:br/>
        <w:t xml:space="preserve">  "data_plane": {</w:t>
        <w:br/>
        <w:t xml:space="preserve">    "window_start": "&lt;rfc3339&gt;",</w:t>
        <w:br/>
        <w:t xml:space="preserve">    "window_end":   "&lt;rfc3339&gt;",</w:t>
        <w:br/>
        <w:t xml:space="preserve">    "n_actions": 0,</w:t>
        <w:br/>
        <w:t xml:space="preserve">    "label_completeness": 0.0,</w:t>
        <w:br/>
        <w:t xml:space="preserve">    "label_provenance_summary": {</w:t>
        <w:br/>
        <w:t xml:space="preserve">      "director_adjudication": 0,</w:t>
        <w:br/>
        <w:t xml:space="preserve">      "post_action_outcome":   0,</w:t>
        <w:br/>
        <w:t xml:space="preserve">      "near_miss":             0,</w:t>
        <w:br/>
        <w:t xml:space="preserve">      "red_team_injection":    0,</w:t>
        <w:br/>
        <w:t xml:space="preserve">      "simulation":            0</w:t>
        <w:br/>
        <w:t xml:space="preserve">    }</w:t>
        <w:br/>
        <w:t xml:space="preserve">  },</w:t>
        <w:br/>
        <w:t xml:space="preserve">  "splits": {</w:t>
        <w:br/>
        <w:t xml:space="preserve">    "fit_set_hash":     "&lt;sha384&gt;",</w:t>
        <w:br/>
        <w:t xml:space="preserve">    "holdout_set_hash": "&lt;sha384&gt;",</w:t>
        <w:br/>
        <w:t xml:space="preserve">    "stratification":   "by_tier_and_leading_subcomponent"</w:t>
        <w:br/>
        <w:t xml:space="preserve">  },</w:t>
        <w:br/>
        <w:t xml:space="preserve">  "candidate": {</w:t>
        <w:br/>
        <w:t xml:space="preserve">    "diff": "&lt;git-style diff vs prior calibration_id&gt;",</w:t>
        <w:br/>
        <w:t xml:space="preserve">    "params_changed": ["dim4.threshold.elevated", ...]</w:t>
        <w:br/>
        <w:t xml:space="preserve">  },</w:t>
        <w:br/>
        <w:t xml:space="preserve">  "kpis": {</w:t>
        <w:br/>
        <w:t xml:space="preserve">    "recall_high_plus":      {"point": 0.0, "ci95": [0.0, 0.0]},</w:t>
        <w:br/>
        <w:t xml:space="preserve">    "fp_rate_soap":          {"point": 0.0, "ci95": [0.0, 0.0]},</w:t>
        <w:br/>
        <w:t xml:space="preserve">    "exception_rate":        {"point": 0.0, "ci95": [0.0, 0.0]},</w:t>
        <w:br/>
        <w:t xml:space="preserve">    "ece_per_dimension":     {"dim1": 0.0, "...": 0.0},</w:t>
        <w:br/>
        <w:t xml:space="preserve">    "asymmetric_loss":       {"point": 0.0, "ci95": [0.0, 0.0]}</w:t>
        <w:br/>
        <w:t xml:space="preserve">  },</w:t>
        <w:br/>
        <w:t xml:space="preserve">  "sensitivity": {</w:t>
        <w:br/>
        <w:t xml:space="preserve">    "top_k_influence":       [{"param": "...", "influence": 0.0}, ...]</w:t>
        <w:br/>
        <w:t xml:space="preserve">  },</w:t>
        <w:br/>
        <w:t xml:space="preserve">  "subgroup_audit": [{"group": "...", "delta_kpis": {"...": 0.0}}, ...],</w:t>
        <w:br/>
        <w:t xml:space="preserve">  "counterfactual_replay": {</w:t>
        <w:br/>
        <w:t xml:space="preserve">    "n_actions_replayed":    0,</w:t>
        <w:br/>
        <w:t xml:space="preserve">    "tier_migration_matrix": [[0]],</w:t>
        <w:br/>
        <w:t xml:space="preserve">    "subgroup_concentration_flag": false</w:t>
        <w:br/>
        <w:t xml:space="preserve">  },</w:t>
        <w:br/>
        <w:t xml:space="preserve">  "challenger": {</w:t>
        <w:br/>
        <w:t xml:space="preserve">    "challenger_id":         "&lt;uuid&gt;",</w:t>
        <w:br/>
        <w:t xml:space="preserve">    "asymmetric_loss_delta": 0.0,</w:t>
        <w:br/>
        <w:t xml:space="preserve">    "delta_in_sd":           0.0,</w:t>
        <w:br/>
        <w:t xml:space="preserve">    "passed_doctrinal_margin": true</w:t>
        <w:br/>
        <w:t xml:space="preserve">  },</w:t>
        <w:br/>
        <w:t xml:space="preserve">  "validator_report": {</w:t>
        <w:br/>
        <w:t xml:space="preserve">    "validator_agent":       "meta-audit",</w:t>
        <w:br/>
        <w:t xml:space="preserve">    "validator_signature":   "&lt;hybrid-pqc-signature&gt;",</w:t>
        <w:br/>
        <w:t xml:space="preserve">    "approved":              true,</w:t>
        <w:br/>
        <w:t xml:space="preserve">    "findings": []</w:t>
        <w:br/>
        <w:t xml:space="preserve">  },</w:t>
        <w:br/>
        <w:t xml:space="preserve">  "director_approval": {</w:t>
        <w:br/>
        <w:t xml:space="preserve">    "directors":             ["CISO", "Legal"],</w:t>
        <w:br/>
        <w:t xml:space="preserve">    "quorum_proof":          "&lt;acs-c-threshold-proof&gt;",</w:t>
        <w:br/>
        <w:t xml:space="preserve">    "signed_at":             "&lt;rfc3339&gt;"</w:t>
        <w:br/>
        <w:t xml:space="preserve">  },</w:t>
        <w:br/>
        <w:t xml:space="preserve">  "envelope": {</w:t>
        <w:br/>
        <w:t xml:space="preserve">    "alg_id":         "hybrid-ed25519-mldsa65",</w:t>
        <w:br/>
        <w:t xml:space="preserve">    "key_id":         "T1.doctrine.signing.&lt;rotation&gt;",</w:t>
        <w:br/>
        <w:t xml:space="preserve">    "suite_version":  "&lt;doctrine-suite&gt;",</w:t>
        <w:br/>
        <w:t xml:space="preserve">    "policy_version": "&lt;policy-bundle-hash&gt;",</w:t>
        <w:br/>
        <w:t xml:space="preserve">    "anchor": {</w:t>
        <w:br/>
        <w:t xml:space="preserve">      "azure": "&lt;acl-receipt&gt;",</w:t>
        <w:br/>
        <w:t xml:space="preserve">      "aws":   "&lt;s3-objectlock-rfc3161&gt;",</w:t>
        <w:br/>
        <w:t xml:space="preserve">      "gcp":   "&lt;gcs-bucketlock-receipt&gt;",</w:t>
        <w:br/>
        <w:t xml:space="preserve">      "onprem":"&lt;worm-share-receipt&gt;"</w:t>
        <w:br/>
        <w:t xml:space="preserve">    }</w:t>
        <w:br/>
        <w:t xml:space="preserve">  }</w:t>
        <w:br/>
        <w:t>}</w:t>
        <w:br/>
      </w:r>
    </w:p>
    <w:p>
      <w:r>
        <w:rPr>
          <w:b w:val="0"/>
          <w:i w:val="0"/>
        </w:rPr>
        <w:t>The Pack is the proof. Without a signed, anchored, complete Pack a calibration change cannot deploy. With it, an auditor — internal or external — can reproduce every KPI from raw FR entries.</w:t>
      </w:r>
    </w:p>
    <w:p>
      <w:pPr>
        <w:pStyle w:val="Heading2"/>
      </w:pPr>
      <w:r>
        <w:t>5.2  Calibration replay — audit equals playback</w:t>
      </w:r>
    </w:p>
    <w:p>
      <w:r>
        <w:rPr>
          <w:b w:val="0"/>
          <w:i w:val="0"/>
        </w:rPr>
        <w:t>A historical decision is replayable in three senses, all of which are obligations:</w:t>
      </w:r>
    </w:p>
    <w:p>
      <w:pPr>
        <w:pStyle w:val="ListBullet"/>
      </w:pPr>
      <w:r>
        <w:t>Action replay. Re-evaluate the historical Intent Object against the calibration that was live when the action was originally decided; identical inputs produce identical composite, tier, and routing.</w:t>
      </w:r>
    </w:p>
    <w:p>
      <w:pPr>
        <w:pStyle w:val="ListBullet"/>
      </w:pPr>
      <w:r>
        <w:t>Calibration replay. Re-evaluate the historical Intent Object against the current calibration; the differential isolates the calibration's effect.</w:t>
      </w:r>
    </w:p>
    <w:p>
      <w:pPr>
        <w:pStyle w:val="ListBullet"/>
      </w:pPr>
      <w:r>
        <w:t>Counterfactual replay. Re-evaluate every historical Intent Object against any candidate calibration; the migration matrix is the headline output of the Counterfactual Replay subsystem and is part of every Evidence Pack.</w:t>
      </w:r>
    </w:p>
    <w:p>
      <w:r>
        <w:rPr>
          <w:b w:val="0"/>
          <w:i w:val="0"/>
        </w:rPr>
        <w:t>All three replays read from the immutable, externally anchored Flight Recorder. The replay engine itself is itself attested at boot; replay logs are signed before being made available to an external reader.</w:t>
      </w:r>
    </w:p>
    <w:p>
      <w:pPr>
        <w:pStyle w:val="Heading2"/>
      </w:pPr>
      <w:r>
        <w:t>5.3  Challenger and benchmark models</w:t>
      </w:r>
    </w:p>
    <w:p>
      <w:r>
        <w:rPr>
          <w:b w:val="0"/>
          <w:i w:val="0"/>
        </w:rPr>
        <w:t>The challenger is a calibration maintained by a function walled off from the production calibration team. Its design is intentionally simpler than the production calibration so that it can serve as a sanity floor: if the proposed calibration cannot beat a transparent rule-based challenger by a doctrinal margin, the proposed calibration is not landing. The challenger is itself recalibrated on the same cadence and is its own minor Evidence Pack.</w:t>
      </w:r>
    </w:p>
    <w:p>
      <w:pPr>
        <w:pStyle w:val="Heading2"/>
      </w:pPr>
      <w:r>
        <w:t>5.4  Change control and signed Calibration Doctrine Updates</w:t>
      </w:r>
    </w:p>
    <w:p>
      <w:r>
        <w:rPr>
          <w:b w:val="0"/>
          <w:i w:val="0"/>
        </w:rPr>
        <w:t>A calibration change deploys as a Calibration Doctrine Update bundle. The bundle is the union of: (a) the Calibration Evidence Pack; (b) the diff against the current live calibration; (c) the OPA bundle implementing the change; (d) the Independent Validator's report; (e) the Director quorum proof; (f) the rollback manifest. The bundle's hash is itself an FR entry. The bundle is signed with the T1 Doctrine Signing Key class under the Day-1 PQC suite. Deployment is dual-controlled per the OPA Rego Authoring Standards. Rollback is automatic if any of the first-14-days health gates trip; the rollback also writes an FR entry and pages the Calibration Owner.</w:t>
      </w:r>
    </w:p>
    <w:p>
      <w:r>
        <w:rPr>
          <w:b w:val="0"/>
          <w:i w:val="0"/>
        </w:rPr>
        <w:t>Bundles are append-only. A 'corrective' bundle never overwrites a prior bundle; it cancels it. Two Calibration Evidence Packs (the original and the corrective) and two FR entries persist. The replay subsystem honours the cancellation by calibration_id, never by mutation.</w:t>
      </w:r>
    </w:p>
    <w:p>
      <w:pPr>
        <w:pStyle w:val="Heading2"/>
      </w:pPr>
      <w:r>
        <w:t>5.5  OPA bundle deployment of new weights and thresholds</w:t>
      </w:r>
    </w:p>
    <w:p>
      <w:r>
        <w:rPr>
          <w:b w:val="0"/>
          <w:i w:val="0"/>
        </w:rPr>
        <w:t>Calibration changes that affect routing reach the runtime as a signed OPA bundle. Per ADAM — OPA Rego Authoring Standards: every .rego file begins with import rego.v1; the OPA invocation includes --v1-compatible; the preflight Rego validator is a hard gate. Calibration bundles add three preflight checks beyond the standard set:</w:t>
      </w:r>
    </w:p>
    <w:p>
      <w:pPr>
        <w:pStyle w:val="ListBullet"/>
      </w:pPr>
      <w:r>
        <w:t>Scope-conformance check — the bundle's diff must match the declared change class (§4.5); a tier-reassignment masquerading as a threshold tune is rejected.</w:t>
      </w:r>
    </w:p>
    <w:p>
      <w:pPr>
        <w:pStyle w:val="ListBullet"/>
      </w:pPr>
      <w:r>
        <w:t>Migration-matrix check — the migration matrix from the Evidence Pack is recomputed against current FR; the on-line and off-line matrices must agree within tolerance.</w:t>
      </w:r>
    </w:p>
    <w:p>
      <w:pPr>
        <w:pStyle w:val="ListBullet"/>
      </w:pPr>
      <w:r>
        <w:t>Stability-gate check — current drift telemetry must be inside the doctrinal band; an instability_detected event in the past 24 hours blocks deployment until cleared.</w:t>
      </w:r>
    </w:p>
    <w:p>
      <w:pPr>
        <w:pStyle w:val="Heading2"/>
      </w:pPr>
      <w:r>
        <w:t>5.6  Day-1 PQC obligations on calibration artifacts</w:t>
      </w:r>
    </w:p>
    <w:p>
      <w:r>
        <w:rPr>
          <w:b w:val="0"/>
          <w:i w:val="0"/>
        </w:rPr>
        <w:t>Calibration Evidence Packs, Calibration Doctrine Update bundles, Validator Reports, Director quorum proofs, and the rolled-up calibration history index are dual-signed under the Day-1 PQC suite (Ed25519 + ML-DSA-65), with archival anchors under SLH-DSA. Key-encapsulation on cross-service transport uses ML-KEM-768. The envelope and key hierarchy are defined in ADAM — Quantum and Cryptographic Security at Scale; calibration artifacts are first-class participants in that envelope. Any classical-only calibration artifact is refused at the runtime boundary and produces an FR 'pqc_violation_rejected' event.</w:t>
      </w:r>
    </w:p>
    <w:p>
      <w:pPr>
        <w:pStyle w:val="Heading2"/>
      </w:pPr>
      <w:r>
        <w:t>5.7  Calibration in OHSHAT — frozen state and break-glass</w:t>
      </w:r>
    </w:p>
    <w:p>
      <w:r>
        <w:rPr>
          <w:b w:val="0"/>
          <w:i w:val="0"/>
        </w:rPr>
        <w:t>When the mesh enters OHSHAT safe-mode, calibration freezes: no new bundle deploys; in-flight ceremonies suspend with state preserved. The frozen state is itself an evidentiary property — auditors can ask 'what calibration was live when the incident occurred' and the answer is mathematically pinned. Exit from OHSHAT does not auto-resume calibration; the Calibration Owner re-validates the data plane (post-incident telemetry can be wildly out of distribution and is rarely fit for calibration) and the Constitution authorises resume.</w:t>
      </w:r>
    </w:p>
    <w:p>
      <w:r>
        <w:rPr>
          <w:b w:val="0"/>
          <w:i w:val="0"/>
        </w:rPr>
        <w:t>A break-glass calibration change inside OHSHAT — required, e.g., by an emergency regulatory directive — uses the constitutional emergency path: full Director Constitution quorum, twin-replay of the proposed change against the incident state, and an explicit Constitution Order overriding the freeze. The emergency event is itself an FR entry of OHSHAT severity.</w:t>
      </w:r>
    </w:p>
    <w:p>
      <w:pPr>
        <w:pStyle w:val="Heading2"/>
      </w:pPr>
      <w:r>
        <w:t>5.8  Reference algorithms and Rego pseudo-code</w:t>
      </w:r>
    </w:p>
    <w:p>
      <w:r>
        <w:rPr>
          <w:b w:val="0"/>
          <w:i w:val="0"/>
        </w:rPr>
        <w:t>The reference Python below sketches the core procedures (data plane, asymmetric loss, bootstrap CI, sensitivity, challenger comparison, migration matrix). The production implementation ships in the BOSS Engine package; this listing is indicative and is intended for AI assistants generating calibration code, auditors reproducing results, and engineers porting to a new RGI runtime.</w:t>
      </w:r>
    </w:p>
    <w:p>
      <w:pPr>
        <w:spacing w:after="120"/>
        <w:ind w:left="360"/>
      </w:pPr>
      <w:r>
        <w:rPr>
          <w:rFonts w:ascii="Consolas" w:hAnsi="Consolas" w:cs="Consolas"/>
          <w:sz w:val="18"/>
        </w:rPr>
        <w:t># boss_calibration_reference.py</w:t>
        <w:br/>
        <w:t># Indicative reference. The production implementation ships in the BOSS Engine package.</w:t>
        <w:br/>
        <w:t># All loss costs and tolerances are doctrine inputs; do not hard-code.</w:t>
        <w:br/>
        <w:br/>
        <w:t>from __future__ import annotations</w:t>
        <w:br/>
        <w:t>from dataclasses import dataclass</w:t>
        <w:br/>
        <w:t>from typing import Sequence, Mapping, Tuple</w:t>
        <w:br/>
        <w:t>import math</w:t>
        <w:br/>
        <w:t>import statistics</w:t>
        <w:br/>
        <w:br/>
        <w:br/>
        <w:t>@dataclass(frozen=True)</w:t>
        <w:br/>
        <w:t>class ActionRecord:</w:t>
        <w:br/>
        <w:t xml:space="preserve">    fr_hash: str                          # Flight Recorder anchor</w:t>
        <w:br/>
        <w:t xml:space="preserve">    calibration_id: str                   # calibration live at decision time</w:t>
        <w:br/>
        <w:t xml:space="preserve">    dim_scores: Mapping[str, float]       # dim1..dim7 in [0, 100]</w:t>
        <w:br/>
        <w:t xml:space="preserve">    composite: float                      # [0, 100]</w:t>
        <w:br/>
        <w:t xml:space="preserve">    tier: str                             # SOAP|MODERATE|ELEVATED|HIGH|OHSHAT</w:t>
        <w:br/>
        <w:t xml:space="preserve">    label: str | None                     # TP|TN|FP|FN|NM|OV|OR|AT|None</w:t>
        <w:br/>
        <w:t xml:space="preserve">    subgroup: Mapping[str, str]           # industry, region, agent_class, ...</w:t>
        <w:br/>
        <w:br/>
        <w:br/>
        <w:t>@dataclass(frozen=True)</w:t>
        <w:br/>
        <w:t>class Costs:</w:t>
        <w:br/>
        <w:t xml:space="preserve">    """Asymmetric-loss costs per tier band; set by the Director Constitution."""</w:t>
        <w:br/>
        <w:t xml:space="preserve">    c_fn: Mapping[str, float]</w:t>
        <w:br/>
        <w:t xml:space="preserve">    c_fp: Mapping[str, float]</w:t>
        <w:br/>
        <w:br/>
        <w:br/>
        <w:t>def asymmetric_loss(records: Sequence[ActionRecord], costs: Costs) -&gt; float:</w:t>
        <w:br/>
        <w:t xml:space="preserve">    total = 0.0</w:t>
        <w:br/>
        <w:t xml:space="preserve">    for r in records:</w:t>
        <w:br/>
        <w:t xml:space="preserve">        if r.label == "FN":</w:t>
        <w:br/>
        <w:t xml:space="preserve">            total += costs.c_fn.get(r.tier, 0.0)</w:t>
        <w:br/>
        <w:t xml:space="preserve">        elif r.label == "FP":</w:t>
        <w:br/>
        <w:t xml:space="preserve">            total += costs.c_fp.get(r.tier, 0.0)</w:t>
        <w:br/>
        <w:t xml:space="preserve">    return total</w:t>
        <w:br/>
        <w:br/>
        <w:br/>
        <w:t>def bootstrap_ci(values: Sequence[float], n_resamples: int = 1000,</w:t>
        <w:br/>
        <w:t xml:space="preserve">                 alpha: float = 0.05, seed: int = 0) -&gt; Tuple[float, float, float]:</w:t>
        <w:br/>
        <w:t xml:space="preserve">    """Returns (point, lo, hi) 1-alpha bootstrap CI for the mean."""</w:t>
        <w:br/>
        <w:t xml:space="preserve">    import random</w:t>
        <w:br/>
        <w:t xml:space="preserve">    rng = random.Random(seed)</w:t>
        <w:br/>
        <w:t xml:space="preserve">    n = len(values)</w:t>
        <w:br/>
        <w:t xml:space="preserve">    if n == 0:</w:t>
        <w:br/>
        <w:t xml:space="preserve">        return 0.0, 0.0, 0.0</w:t>
        <w:br/>
        <w:t xml:space="preserve">    point = sum(values) / n</w:t>
        <w:br/>
        <w:t xml:space="preserve">    samples = []</w:t>
        <w:br/>
        <w:t xml:space="preserve">    for _ in range(n_resamples):</w:t>
        <w:br/>
        <w:t xml:space="preserve">        s = [values[rng.randrange(n)] for _ in range(n)]</w:t>
        <w:br/>
        <w:t xml:space="preserve">        samples.append(sum(s) / n)</w:t>
        <w:br/>
        <w:t xml:space="preserve">    samples.sort()</w:t>
        <w:br/>
        <w:t xml:space="preserve">    lo = samples[int(alpha / 2 * n_resamples)]</w:t>
        <w:br/>
        <w:t xml:space="preserve">    hi = samples[int((1 - alpha / 2) * n_resamples) - 1]</w:t>
        <w:br/>
        <w:t xml:space="preserve">    return point, lo, hi</w:t>
        <w:br/>
        <w:br/>
        <w:br/>
        <w:t>def expected_calibration_error(probs: Sequence[float], outcomes: Sequence[int],</w:t>
        <w:br/>
        <w:t xml:space="preserve">                               n_bins: int = 10) -&gt; float:</w:t>
        <w:br/>
        <w:t xml:space="preserve">    """ECE per dimension. probs in [0, 1]; outcomes in {0, 1}."""</w:t>
        <w:br/>
        <w:t xml:space="preserve">    assert len(probs) == len(outcomes)</w:t>
        <w:br/>
        <w:t xml:space="preserve">    if not probs:</w:t>
        <w:br/>
        <w:t xml:space="preserve">        return 0.0</w:t>
        <w:br/>
        <w:t xml:space="preserve">    bins = [[] for _ in range(n_bins)]</w:t>
        <w:br/>
        <w:t xml:space="preserve">    for p, y in zip(probs, outcomes):</w:t>
        <w:br/>
        <w:t xml:space="preserve">        b = min(int(p * n_bins), n_bins - 1)</w:t>
        <w:br/>
        <w:t xml:space="preserve">        bins[b].append((p, y))</w:t>
        <w:br/>
        <w:t xml:space="preserve">    ece = 0.0</w:t>
        <w:br/>
        <w:t xml:space="preserve">    n = len(probs)</w:t>
        <w:br/>
        <w:t xml:space="preserve">    for b in bins:</w:t>
        <w:br/>
        <w:t xml:space="preserve">        if not b:</w:t>
        <w:br/>
        <w:t xml:space="preserve">            continue</w:t>
        <w:br/>
        <w:t xml:space="preserve">        pmean = sum(p for p, _ in b) / len(b)</w:t>
        <w:br/>
        <w:t xml:space="preserve">        ymean = sum(y for _, y in b) / len(b)</w:t>
        <w:br/>
        <w:t xml:space="preserve">        ece += (len(b) / n) * abs(pmean - ymean)</w:t>
        <w:br/>
        <w:t xml:space="preserve">    return ece</w:t>
        <w:br/>
        <w:br/>
        <w:br/>
        <w:t>def migration_matrix(records: Sequence[ActionRecord],</w:t>
        <w:br/>
        <w:t xml:space="preserve">                     rescore_fn) -&gt; dict:</w:t>
        <w:br/>
        <w:t xml:space="preserve">    """Counterfactual replay against a candidate calibration.</w:t>
        <w:br/>
        <w:t xml:space="preserve">       rescore_fn(record) -&gt; (composite, tier) under the candidate."""</w:t>
        <w:br/>
        <w:t xml:space="preserve">    tiers = ["SOAP", "MODERATE", "ELEVATED", "HIGH", "OHSHAT"]</w:t>
        <w:br/>
        <w:t xml:space="preserve">    m = {a: {b: 0 for b in tiers} for a in tiers}</w:t>
        <w:br/>
        <w:t xml:space="preserve">    for r in records:</w:t>
        <w:br/>
        <w:t xml:space="preserve">        _, new_tier = rescore_fn(r)</w:t>
        <w:br/>
        <w:t xml:space="preserve">        m[r.tier][new_tier] += 1</w:t>
        <w:br/>
        <w:t xml:space="preserve">    return m</w:t>
        <w:br/>
        <w:br/>
        <w:br/>
        <w:t>def passes_challenger(candidate_loss: float, challenger_loss: float,</w:t>
        <w:br/>
        <w:t xml:space="preserve">                      candidate_sd: float, doctrinal_margin_sd: float) -&gt; bool:</w:t>
        <w:br/>
        <w:t xml:space="preserve">    """Candidate must beat challenger by doctrinal_margin_sd standard deviations."""</w:t>
        <w:br/>
        <w:t xml:space="preserve">    if candidate_sd &lt;= 0:</w:t>
        <w:br/>
        <w:t xml:space="preserve">        return False</w:t>
        <w:br/>
        <w:t xml:space="preserve">    delta_in_sd = (challenger_loss - candidate_loss) / candidate_sd</w:t>
        <w:br/>
        <w:t xml:space="preserve">    return delta_in_sd &gt;= doctrinal_margin_sd</w:t>
        <w:br/>
        <w:br/>
        <w:br/>
        <w:t>def fp_fn_budget_gate(kpis: dict, doctrine: dict) -&gt; Tuple[bool, list]:</w:t>
        <w:br/>
        <w:t xml:space="preserve">    """Lexicographic objective check; returns (passes, violations)."""</w:t>
        <w:br/>
        <w:t xml:space="preserve">    violations = []</w:t>
        <w:br/>
        <w:t xml:space="preserve">    if kpis["recall_high_plus_lo"] &lt; doctrine["recall_high_plus_floor"]:</w:t>
        <w:br/>
        <w:t xml:space="preserve">        violations.append("recall_high_plus_below_floor")</w:t>
        <w:br/>
        <w:t xml:space="preserve">    if kpis["exception_rate_hi"] &gt; doctrine["exception_rate_ceiling"]:</w:t>
        <w:br/>
        <w:t xml:space="preserve">        violations.append("exception_rate_above_ceiling")</w:t>
        <w:br/>
        <w:t xml:space="preserve">    if kpis["exception_rate_lo"] &lt; doctrine["exception_rate_floor"]:</w:t>
        <w:br/>
        <w:t xml:space="preserve">        violations.append("exception_rate_below_floor")</w:t>
        <w:br/>
        <w:t xml:space="preserve">    return (len(violations) == 0, violations)</w:t>
        <w:br/>
      </w:r>
    </w:p>
    <w:p>
      <w:r>
        <w:rPr>
          <w:b w:val="0"/>
          <w:i w:val="0"/>
        </w:rPr>
        <w:t>The Rego pseudo-code below sketches the calibration preflight gate that runs before any Calibration Doctrine Update can deploy. The production module ships with the BOSS Engine and is preflight-validated per the OPA Rego Authoring Standards.</w:t>
      </w:r>
    </w:p>
    <w:p>
      <w:pPr>
        <w:spacing w:after="120"/>
        <w:ind w:left="360"/>
      </w:pPr>
      <w:r>
        <w:rPr>
          <w:rFonts w:ascii="Consolas" w:hAnsi="Consolas" w:cs="Consolas"/>
          <w:sz w:val="18"/>
        </w:rPr>
        <w:t>package boss.calibration.preflight</w:t>
        <w:br/>
        <w:t>import rego.v1</w:t>
        <w:br/>
        <w:br/>
        <w:t># Default-deny: a missing field is a failure.</w:t>
        <w:br/>
        <w:t>default allow := false</w:t>
        <w:br/>
        <w:br/>
        <w:t>allow if {</w:t>
        <w:br/>
        <w:t xml:space="preserve">    scope_conforms</w:t>
        <w:br/>
        <w:t xml:space="preserve">    migration_matrix_agrees</w:t>
        <w:br/>
        <w:t xml:space="preserve">    stability_gate_clear</w:t>
        <w:br/>
        <w:t xml:space="preserve">    validator_signed</w:t>
        <w:br/>
        <w:t xml:space="preserve">    director_quorum_met</w:t>
        <w:br/>
        <w:t xml:space="preserve">    pqc_envelope_ok</w:t>
        <w:br/>
        <w:t>}</w:t>
        <w:br/>
        <w:br/>
        <w:t>scope_conforms if {</w:t>
        <w:br/>
        <w:t xml:space="preserve">    declared := input.bundle.declared_scope</w:t>
        <w:br/>
        <w:t xml:space="preserve">    diff_classes := {c | c := input.bundle.diff[_].change_class}</w:t>
        <w:br/>
        <w:t xml:space="preserve">    diff_classes == {declared}</w:t>
        <w:br/>
        <w:t>}</w:t>
        <w:br/>
        <w:br/>
        <w:t>migration_matrix_agrees if {</w:t>
        <w:br/>
        <w:t xml:space="preserve">    online := input.bundle.evidence.counterfactual_replay.tier_migration_matrix</w:t>
        <w:br/>
        <w:t xml:space="preserve">    fresh  := input.runtime.recomputed_migration_matrix</w:t>
        <w:br/>
        <w:t xml:space="preserve">    matrix_within_tolerance(online, fresh, input.doctrine.migration_tolerance)</w:t>
        <w:br/>
        <w:t>}</w:t>
        <w:br/>
        <w:br/>
        <w:t>stability_gate_clear if {</w:t>
        <w:br/>
        <w:t xml:space="preserve">    not input.runtime.recent_instability_detected</w:t>
        <w:br/>
        <w:t>}</w:t>
        <w:br/>
        <w:br/>
        <w:t>validator_signed if {</w:t>
        <w:br/>
        <w:t xml:space="preserve">    input.bundle.validator_report.approved == true</w:t>
        <w:br/>
        <w:t xml:space="preserve">    input.bundle.validator_report.validator_agent == "meta-audit"</w:t>
        <w:br/>
        <w:t xml:space="preserve">    valid_pqc_signature(input.bundle.validator_report.validator_signature)</w:t>
        <w:br/>
        <w:t>}</w:t>
        <w:br/>
        <w:br/>
        <w:t>director_quorum_met if {</w:t>
        <w:br/>
        <w:t xml:space="preserve">    required := input.doctrine.required_quorum[input.bundle.declared_scope]</w:t>
        <w:br/>
        <w:t xml:space="preserve">    actual   := input.bundle.director_approval.directors</w:t>
        <w:br/>
        <w:t xml:space="preserve">    count(actual) &gt;= required.count</w:t>
        <w:br/>
        <w:t xml:space="preserve">    valid_acs_threshold_proof(input.bundle.director_approval.quorum_proof, required)</w:t>
        <w:br/>
        <w:t>}</w:t>
        <w:br/>
        <w:br/>
        <w:t>pqc_envelope_ok if {</w:t>
        <w:br/>
        <w:t xml:space="preserve">    input.bundle.envelope.alg_id == "hybrid-ed25519-mldsa65"</w:t>
        <w:br/>
        <w:t xml:space="preserve">    input.bundle.envelope.suite_version == input.doctrine.suite_version_min</w:t>
        <w:br/>
        <w:t xml:space="preserve">    valid_pqc_anchor(input.bundle.envelope.anchor)</w:t>
        <w:br/>
        <w:t>}</w:t>
        <w:br/>
      </w:r>
    </w:p>
    <w:p>
      <w:r>
        <w:br w:type="page"/>
      </w:r>
    </w:p>
    <w:p>
      <w:pPr>
        <w:pStyle w:val="Heading1"/>
      </w:pPr>
      <w:r>
        <w:t>Part VI — Regulatory Crosswalk</w:t>
      </w:r>
    </w:p>
    <w:p>
      <w:r>
        <w:rPr>
          <w:b w:val="0"/>
          <w:i w:val="0"/>
        </w:rPr>
        <w:t>Calibration is mapped to the small set of frameworks ADAM treats as authoritative. These are the trusted anchors; sectoral references are noted for completeness and adapter-only frameworks are listed in ADAM — Financial Services Security Frameworks.</w:t>
      </w:r>
    </w:p>
    <w:p>
      <w:pPr>
        <w:pStyle w:val="Heading2"/>
      </w:pPr>
      <w:r>
        <w:t>6.1  NIST AI Risk Management Framework</w:t>
      </w:r>
    </w:p>
    <w:p>
      <w:r>
        <w:rPr>
          <w:b w:val="0"/>
          <w:i w:val="0"/>
        </w:rPr>
        <w:t>The four NIST AI RMF functions — Govern, Map, Measure, Manage — map directly to the calibration regime:</w:t>
      </w:r>
    </w:p>
    <w:p>
      <w:pPr>
        <w:pStyle w:val="ListBullet"/>
      </w:pPr>
      <w:r>
        <w:t>Govern. Calibration roles, accountability, and the Constitution-level approval path satisfy the Govern function's explicit assignment of risk-management responsibilities.</w:t>
      </w:r>
    </w:p>
    <w:p>
      <w:pPr>
        <w:pStyle w:val="ListBullet"/>
      </w:pPr>
      <w:r>
        <w:t>Map. The Calibration Data Plane and Labeled Outcome Taxonomy implement the Map function's requirement to characterise context, intended uses, and harms.</w:t>
      </w:r>
    </w:p>
    <w:p>
      <w:pPr>
        <w:pStyle w:val="ListBullet"/>
      </w:pPr>
      <w:r>
        <w:t>Measure. The statistical procedures (§4.3), KPIs (Appendix A), reliability diagrams, and ECE per dimension implement the Measure function.</w:t>
      </w:r>
    </w:p>
    <w:p>
      <w:pPr>
        <w:pStyle w:val="ListBullet"/>
      </w:pPr>
      <w:r>
        <w:t>Manage. The Calibration Doctrine Update bundle, rollback, OHSHAT freeze, and event-driven re-cadence implement the Manage function's risk-treatment requirements.</w:t>
      </w:r>
    </w:p>
    <w:p>
      <w:r>
        <w:rPr>
          <w:b w:val="0"/>
          <w:i w:val="0"/>
        </w:rPr>
        <w:t>The NIST Generative AI profile (AI 600-1) tightens the Measure function with emphasis on monitoring, content provenance, and incident response; ADAM imports those hooks via the AI-Control Attack Exposure feed into Dimension 1 and the calibration-FR binding.</w:t>
      </w:r>
    </w:p>
    <w:p>
      <w:pPr>
        <w:pStyle w:val="Heading2"/>
      </w:pPr>
      <w:r>
        <w:t>6.2  ISO/IEC 42001 (AI Management System)</w:t>
      </w:r>
    </w:p>
    <w:p>
      <w:r>
        <w:rPr>
          <w:b w:val="0"/>
          <w:i w:val="0"/>
        </w:rPr>
        <w:t>ISO/IEC 42001 specifies an AI Management System (AIMS). Calibration touches every clause of the management system:</w:t>
      </w:r>
    </w:p>
    <w:p>
      <w:pPr>
        <w:pStyle w:val="ListBullet"/>
      </w:pPr>
      <w:r>
        <w:t>Clause 6 Planning — calibration cadence and triggers; risk assessment and risk treatment around routing decisions.</w:t>
      </w:r>
    </w:p>
    <w:p>
      <w:pPr>
        <w:pStyle w:val="ListBullet"/>
      </w:pPr>
      <w:r>
        <w:t>Clause 7 Support — competence requirements for the Calibration Engineering Council; documented information requirements satisfied by the Evidence Pack.</w:t>
      </w:r>
    </w:p>
    <w:p>
      <w:pPr>
        <w:pStyle w:val="ListBullet"/>
      </w:pPr>
      <w:r>
        <w:t>Clause 8 Operation — operational planning of calibration ceremonies; the role of meta-stability and meta-audit as named operating controls.</w:t>
      </w:r>
    </w:p>
    <w:p>
      <w:pPr>
        <w:pStyle w:val="ListBullet"/>
      </w:pPr>
      <w:r>
        <w:t>Clause 9 Performance Evaluation — the KPI system in Appendix A and the annual external validation are management-review inputs.</w:t>
      </w:r>
    </w:p>
    <w:p>
      <w:pPr>
        <w:pStyle w:val="ListBullet"/>
      </w:pPr>
      <w:r>
        <w:t>Clause 10 Improvement — corrective action through bundle cancellation; never rewrite, always append.</w:t>
      </w:r>
    </w:p>
    <w:p>
      <w:pPr>
        <w:pStyle w:val="Heading2"/>
      </w:pPr>
      <w:r>
        <w:t>6.3  ISO/IEC 23894 and ISO 31000</w:t>
      </w:r>
    </w:p>
    <w:p>
      <w:r>
        <w:rPr>
          <w:b w:val="0"/>
          <w:i w:val="0"/>
        </w:rPr>
        <w:t>ISO/IEC 23894 (AI risk-management guidance) and ISO 31000 (general risk-management principles) provide the reasoning frame for the lexicographic objective ordering (§4.1) and the asymmetric-loss policy (§4.4). The principle of consequence-driven treatment of risks comes directly from ISO 31000; ADAM expresses it as the tier-band cost differentials in the loss function.</w:t>
      </w:r>
    </w:p>
    <w:p>
      <w:pPr>
        <w:pStyle w:val="Heading2"/>
      </w:pPr>
      <w:r>
        <w:t>6.4  EU AI Act (Regulation 2024/1689)</w:t>
      </w:r>
    </w:p>
    <w:p>
      <w:r>
        <w:rPr>
          <w:b w:val="0"/>
          <w:i w:val="0"/>
        </w:rPr>
        <w:t>Calibration evidence is the EU AI Act's evidence:</w:t>
      </w:r>
    </w:p>
    <w:p>
      <w:pPr>
        <w:pStyle w:val="ListBullet"/>
      </w:pPr>
      <w:r>
        <w:t>Article 9 Risk management — the calibration regime is a continuous risk-management process; the Evidence Pack is its documentation.</w:t>
      </w:r>
    </w:p>
    <w:p>
      <w:pPr>
        <w:pStyle w:val="ListBullet"/>
      </w:pPr>
      <w:r>
        <w:t>Article 12 Record-keeping — Flight Recorder anchoring satisfies the automatic logging and traceability obligations for high-risk AI systems.</w:t>
      </w:r>
    </w:p>
    <w:p>
      <w:pPr>
        <w:pStyle w:val="ListBullet"/>
      </w:pPr>
      <w:r>
        <w:t>Article 14 Human oversight — Director-Constitution approval of calibration changes is the human-oversight artifact at the model-risk level, complementing per-action oversight.</w:t>
      </w:r>
    </w:p>
    <w:p>
      <w:pPr>
        <w:pStyle w:val="ListBullet"/>
      </w:pPr>
      <w:r>
        <w:t>Article 15 Accuracy, robustness and cybersecurity — the asymmetric-loss policy and challenger benchmarking are the accuracy controls; the Day-1 PQC envelope is the cybersecurity control on calibration artifacts.</w:t>
      </w:r>
    </w:p>
    <w:p>
      <w:pPr>
        <w:pStyle w:val="ListBullet"/>
      </w:pPr>
      <w:r>
        <w:t>Article 17 Quality management system — the calibration regime is a named QMS process; the cadence is the QMS review schedule.</w:t>
      </w:r>
    </w:p>
    <w:p>
      <w:pPr>
        <w:pStyle w:val="ListBullet"/>
      </w:pPr>
      <w:r>
        <w:t>Article 26 Obligations of deployers — deployers reuse the upstream Evidence Packs as part of their own deployment record.</w:t>
      </w:r>
    </w:p>
    <w:p>
      <w:pPr>
        <w:pStyle w:val="Heading2"/>
      </w:pPr>
      <w:r>
        <w:t>6.5  US Federal Reserve SR 11-7 / OCC Bulletin 2011-12 (Model Risk Management)</w:t>
      </w:r>
    </w:p>
    <w:p>
      <w:r>
        <w:rPr>
          <w:b w:val="0"/>
          <w:i w:val="0"/>
        </w:rPr>
        <w:t>The supervisory guidance on model risk management is the closest legacy precedent for governing a scoring engine that re-prices a decision space. The calibration regime maps as follows:</w:t>
      </w:r>
    </w:p>
    <w:p>
      <w:pPr>
        <w:pStyle w:val="ListBullet"/>
      </w:pPr>
      <w:r>
        <w:t>Model development, implementation and use — Calibration Engineering Council scope; Evidence Pack; reference algorithms (§5.8); production deployment via the OPA bundle path.</w:t>
      </w:r>
    </w:p>
    <w:p>
      <w:pPr>
        <w:pStyle w:val="ListBullet"/>
      </w:pPr>
      <w:r>
        <w:t>Model validation — Independent Validator (meta-audit), with explicit independence and authority; the External Validator at the annual review provides additional independent assurance.</w:t>
      </w:r>
    </w:p>
    <w:p>
      <w:pPr>
        <w:pStyle w:val="ListBullet"/>
      </w:pPr>
      <w:r>
        <w:t>Effective challenge — the challenger benchmark (§5.3) and the validator's veto authority operationalise effective challenge as a structural property, not a procedural one.</w:t>
      </w:r>
    </w:p>
    <w:p>
      <w:pPr>
        <w:pStyle w:val="ListBullet"/>
      </w:pPr>
      <w:r>
        <w:t>Outcomes analysis — the Labeled Outcome Taxonomy and the FP/FN telemetry implement outcomes analysis.</w:t>
      </w:r>
    </w:p>
    <w:p>
      <w:pPr>
        <w:pStyle w:val="ListBullet"/>
      </w:pPr>
      <w:r>
        <w:t>Sensitivity testing and benchmarking — influence-function sensitivity and challenger benchmarking are mandatory in every Evidence Pack.</w:t>
      </w:r>
    </w:p>
    <w:p>
      <w:pPr>
        <w:pStyle w:val="ListBullet"/>
      </w:pPr>
      <w:r>
        <w:t>Process verification — preflight gates on the Calibration Doctrine Update bundle (§5.5).</w:t>
      </w:r>
    </w:p>
    <w:p>
      <w:pPr>
        <w:pStyle w:val="ListBullet"/>
      </w:pPr>
      <w:r>
        <w:t>Governance, policies and controls — Director Constitution authority; the Governance Charter; this document as the calibration policy.</w:t>
      </w:r>
    </w:p>
    <w:p>
      <w:pPr>
        <w:pStyle w:val="ListBullet"/>
      </w:pPr>
      <w:r>
        <w:t>Documentation — the Evidence Pack and the FR-anchored bundle history are the documentation.</w:t>
      </w:r>
    </w:p>
    <w:p>
      <w:pPr>
        <w:pStyle w:val="ListBullet"/>
      </w:pPr>
      <w:r>
        <w:t>Internal audit role — meta-audit and the External Validator together discharge the internal-audit function for calibration.</w:t>
      </w:r>
    </w:p>
    <w:p>
      <w:pPr>
        <w:pStyle w:val="Heading2"/>
      </w:pPr>
      <w:r>
        <w:t>6.6  DORA (Regulation 2022/2554)</w:t>
      </w:r>
    </w:p>
    <w:p>
      <w:pPr>
        <w:pStyle w:val="ListBullet"/>
      </w:pPr>
      <w:r>
        <w:t>Article 5 Governance and organisation — Director-Constitution accountability for calibration changes.</w:t>
      </w:r>
    </w:p>
    <w:p>
      <w:pPr>
        <w:pStyle w:val="ListBullet"/>
      </w:pPr>
      <w:r>
        <w:t>Article 6 ICT risk-management framework — calibration as an explicit ICT-risk control over the routing decision.</w:t>
      </w:r>
    </w:p>
    <w:p>
      <w:pPr>
        <w:pStyle w:val="ListBullet"/>
      </w:pPr>
      <w:r>
        <w:t>Article 9 Protection and prevention — calibration artifact integrity via Day-1 PQC envelope.</w:t>
      </w:r>
    </w:p>
    <w:p>
      <w:pPr>
        <w:pStyle w:val="ListBullet"/>
      </w:pPr>
      <w:r>
        <w:t>Article 10 Detection — drift telemetry and score-density anomaly reporting.</w:t>
      </w:r>
    </w:p>
    <w:p>
      <w:pPr>
        <w:pStyle w:val="ListBullet"/>
      </w:pPr>
      <w:r>
        <w:t>Article 17 ICT-related incident management — OHSHAT freeze and emergency calibration path.</w:t>
      </w:r>
    </w:p>
    <w:p>
      <w:pPr>
        <w:pStyle w:val="Heading2"/>
      </w:pPr>
      <w:r>
        <w:t>6.7  COSO ERM Governance</w:t>
      </w:r>
    </w:p>
    <w:p>
      <w:r>
        <w:rPr>
          <w:b w:val="0"/>
          <w:i w:val="0"/>
        </w:rPr>
        <w:t>Doctrinal Alignment (BOSS Dimension 7) is anchored in COSO ERM Governance; the calibration regime extends that anchoring to the routing engine itself. Strategy and risk appetite — the Constitution-set asymmetric-loss policy — flow into performance through the calibration regime; review and revision occur on the specified cadence.</w:t>
      </w:r>
    </w:p>
    <w:p>
      <w:pPr>
        <w:pStyle w:val="Heading2"/>
      </w:pPr>
      <w:r>
        <w:t>6.8  NIST CSF 2.0</w:t>
      </w:r>
    </w:p>
    <w:p>
      <w:pPr>
        <w:pStyle w:val="ListBullet"/>
      </w:pPr>
      <w:r>
        <w:t>Govern — the calibration governance is itself a NIST CSF Govern outcome.</w:t>
      </w:r>
    </w:p>
    <w:p>
      <w:pPr>
        <w:pStyle w:val="ListBullet"/>
      </w:pPr>
      <w:r>
        <w:t>Identify — the calibration data plane is an identified high-criticality asset.</w:t>
      </w:r>
    </w:p>
    <w:p>
      <w:pPr>
        <w:pStyle w:val="ListBullet"/>
      </w:pPr>
      <w:r>
        <w:t>Protect — Day-1 PQC envelope, dual control, and OPA bundle signing.</w:t>
      </w:r>
    </w:p>
    <w:p>
      <w:pPr>
        <w:pStyle w:val="ListBullet"/>
      </w:pPr>
      <w:r>
        <w:t>Detect — drift telemetry; score-density anomalies; instability_detected events.</w:t>
      </w:r>
    </w:p>
    <w:p>
      <w:pPr>
        <w:pStyle w:val="ListBullet"/>
      </w:pPr>
      <w:r>
        <w:t>Respond — OHSHAT freeze and Calibration Owner pageout.</w:t>
      </w:r>
    </w:p>
    <w:p>
      <w:pPr>
        <w:pStyle w:val="ListBullet"/>
      </w:pPr>
      <w:r>
        <w:t>Recover — bundle cancellation and rollback procedure.</w:t>
      </w:r>
    </w:p>
    <w:p>
      <w:pPr>
        <w:pStyle w:val="Heading2"/>
      </w:pPr>
      <w:r>
        <w:t>6.9  Sectoral references</w:t>
      </w:r>
    </w:p>
    <w:p>
      <w:r>
        <w:rPr>
          <w:b w:val="0"/>
          <w:i w:val="0"/>
        </w:rPr>
        <w:t>The calibration regime aligns with the model-risk and AI-governance chapters of FFIEC AIO and the FFIEC CAT, NY DFS 23 NYCRR 500 §500.13 audit-trail and §500.15 encryption requirements applied to calibration artifacts, MAS TRM and FEAT, BCBS 239 risk-data-aggregation principles applied to the Calibration Data Plane, and the OECD AI Principles' accountability and robustness pillars. Detailed control-by-control mappings live in the sectoral support documents.</w:t>
      </w:r>
    </w:p>
    <w:p>
      <w:r>
        <w:br w:type="page"/>
      </w:r>
    </w:p>
    <w:p>
      <w:pPr>
        <w:pStyle w:val="Heading1"/>
      </w:pPr>
      <w:r>
        <w:t>Part VII — Companion Specifications and Build Cards</w:t>
      </w:r>
    </w:p>
    <w:p>
      <w:r>
        <w:rPr>
          <w:b w:val="0"/>
          <w:i w:val="0"/>
        </w:rPr>
        <w:t>This document is one of a coordinated set; cross-references are normative.</w:t>
      </w:r>
    </w:p>
    <w:p>
      <w:pPr>
        <w:pStyle w:val="ListBullet"/>
      </w:pPr>
      <w:r>
        <w:t>ADAM — BOSS Score Formulas. The math BOSS calibration is calibrating: Priority Tiers, dimension formulas, composite, Critical Dimension Override, Non-Idempotent Penalty, sub-component tables.</w:t>
      </w:r>
    </w:p>
    <w:p>
      <w:pPr>
        <w:pStyle w:val="ListBullet"/>
      </w:pPr>
      <w:r>
        <w:t>ADAM — OPA Rego Authoring Standards. How calibration bundles must be written, signed, validated, and pinned. Calibration preflight (§5.5) extends the standard set.</w:t>
      </w:r>
    </w:p>
    <w:p>
      <w:pPr>
        <w:pStyle w:val="ListBullet"/>
      </w:pPr>
      <w:r>
        <w:t>ADAM — Governance Charter and Human Directorship. Director duties, quorum semantics, OHSHAT path, Director Decision Receipts. Calibration approval authority lives here.</w:t>
      </w:r>
    </w:p>
    <w:p>
      <w:pPr>
        <w:pStyle w:val="ListBullet"/>
      </w:pPr>
      <w:r>
        <w:t>ADAM — DNA Questionnaire. Where Priority Tiers come from. Tier reassignments travel the DNA recalibration path; calibration ceremonies do not move tiers.</w:t>
      </w:r>
    </w:p>
    <w:p>
      <w:pPr>
        <w:pStyle w:val="ListBullet"/>
      </w:pPr>
      <w:r>
        <w:t>ADAM — Quantum and Cryptographic Security at Scale. Day-1 PQC envelope, key hierarchy, Flight Recorder hash chain, external anchors, replay obligation. Calibration artifacts are first-class participants.</w:t>
      </w:r>
    </w:p>
    <w:p>
      <w:pPr>
        <w:pStyle w:val="ListBullet"/>
      </w:pPr>
      <w:r>
        <w:t>ADAM — Legal and Arbitration. Legal Personality Boundary; ADAM cannot bind the company; calibration decisions flow into Director liability via the Director Decision Receipt path.</w:t>
      </w:r>
    </w:p>
    <w:p>
      <w:pPr>
        <w:pStyle w:val="ListBullet"/>
      </w:pPr>
      <w:r>
        <w:t>ADAM — Copyright and Use Agreement. Excluded Uses bind every grant in this document and every code sample.</w:t>
      </w:r>
    </w:p>
    <w:p>
      <w:pPr>
        <w:pStyle w:val="ListBullet"/>
      </w:pPr>
      <w:r>
        <w:t>ADAM — Agent Org Chart. Org-chart placement of the meta-stability BOSS Calibration Agent and meta-audit Integrity Auditor.</w:t>
      </w:r>
    </w:p>
    <w:p>
      <w:pPr>
        <w:pStyle w:val="ListBullet"/>
      </w:pPr>
      <w:r>
        <w:t>Build Card — meta-stability (Autonomy Stability / BOSS Calibration Agent). The implementing agent. Its responsibilities, APIs, FR event types, RGI contracts, and acceptance criteria are normative.</w:t>
      </w:r>
    </w:p>
    <w:p>
      <w:pPr>
        <w:pStyle w:val="ListBullet"/>
      </w:pPr>
      <w:r>
        <w:t>Build Card — meta-audit (Integrity Auditor). The Independent Validator. Its independence properties, signing keys, and signed Validation Report schema.</w:t>
      </w:r>
    </w:p>
    <w:p>
      <w:pPr>
        <w:pStyle w:val="ListBullet"/>
      </w:pPr>
      <w:r>
        <w:t>Build Card — Governor agents (ga-financial, ga-legal, ga-security, ga-market, ga-operations). Hold the Director-of-Record concurrence path for calibration changes within their plane.</w:t>
      </w:r>
    </w:p>
    <w:p>
      <w:r>
        <w:br w:type="page"/>
      </w:r>
    </w:p>
    <w:p>
      <w:pPr>
        <w:pStyle w:val="Heading1"/>
      </w:pPr>
      <w:r>
        <w:t>Appendix A — Calibration KPIs and Reporting</w:t>
      </w:r>
    </w:p>
    <w:p>
      <w:r>
        <w:rPr>
          <w:b w:val="0"/>
          <w:i w:val="0"/>
        </w:rPr>
        <w:t>The calibration regime tracks the following KPIs continuously and reports them to the Director Constitution at the cadences specified in §3.3.</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F3864"/>
          </w:tcPr>
          <w:p>
            <w:r/>
            <w:r>
              <w:rPr>
                <w:b/>
                <w:color w:val="FFFFFF"/>
                <w:sz w:val="20"/>
              </w:rPr>
              <w:t>KPI</w:t>
            </w:r>
          </w:p>
        </w:tc>
        <w:tc>
          <w:tcPr>
            <w:tcW w:type="dxa" w:w="3888"/>
            <w:shd w:val="clear" w:color="auto" w:fill="1F3864"/>
          </w:tcPr>
          <w:p>
            <w:r/>
            <w:r>
              <w:rPr>
                <w:b/>
                <w:color w:val="FFFFFF"/>
                <w:sz w:val="20"/>
              </w:rPr>
              <w:t>Definition</w:t>
            </w:r>
          </w:p>
        </w:tc>
        <w:tc>
          <w:tcPr>
            <w:tcW w:type="dxa" w:w="3888"/>
            <w:shd w:val="clear" w:color="auto" w:fill="1F3864"/>
          </w:tcPr>
          <w:p>
            <w:r/>
            <w:r>
              <w:rPr>
                <w:b/>
                <w:color w:val="FFFFFF"/>
                <w:sz w:val="20"/>
              </w:rPr>
              <w:t>Doctrinal target / gate</w:t>
            </w:r>
          </w:p>
        </w:tc>
      </w:tr>
      <w:tr>
        <w:tc>
          <w:tcPr>
            <w:tcW w:type="dxa" w:w="2304"/>
          </w:tcPr>
          <w:p>
            <w:r/>
            <w:r>
              <w:rPr>
                <w:sz w:val="19"/>
              </w:rPr>
              <w:t>recall_high_plus</w:t>
            </w:r>
          </w:p>
        </w:tc>
        <w:tc>
          <w:tcPr>
            <w:tcW w:type="dxa" w:w="3888"/>
          </w:tcPr>
          <w:p>
            <w:r/>
            <w:r>
              <w:rPr>
                <w:sz w:val="19"/>
              </w:rPr>
              <w:t>Recall on labeled HIGH+ actions over the rolling 90-day window.</w:t>
            </w:r>
          </w:p>
        </w:tc>
        <w:tc>
          <w:tcPr>
            <w:tcW w:type="dxa" w:w="3888"/>
          </w:tcPr>
          <w:p>
            <w:r/>
            <w:r>
              <w:rPr>
                <w:sz w:val="19"/>
              </w:rPr>
              <w:t>Doctrinal floor (Constitution-set); breach is OHSHAT-tier.</w:t>
            </w:r>
          </w:p>
        </w:tc>
      </w:tr>
      <w:tr>
        <w:tc>
          <w:tcPr>
            <w:tcW w:type="dxa" w:w="2304"/>
          </w:tcPr>
          <w:p>
            <w:r/>
            <w:r>
              <w:rPr>
                <w:sz w:val="19"/>
              </w:rPr>
              <w:t>fp_rate_soap</w:t>
            </w:r>
          </w:p>
        </w:tc>
        <w:tc>
          <w:tcPr>
            <w:tcW w:type="dxa" w:w="3888"/>
          </w:tcPr>
          <w:p>
            <w:r/>
            <w:r>
              <w:rPr>
                <w:sz w:val="19"/>
              </w:rPr>
              <w:t>False-positive rate at SOAP tier.</w:t>
            </w:r>
          </w:p>
        </w:tc>
        <w:tc>
          <w:tcPr>
            <w:tcW w:type="dxa" w:w="3888"/>
          </w:tcPr>
          <w:p>
            <w:r/>
            <w:r>
              <w:rPr>
                <w:sz w:val="19"/>
              </w:rPr>
              <w:t>Below doctrinal ceiling; persistent breach triggers monthly threshold review.</w:t>
            </w:r>
          </w:p>
        </w:tc>
      </w:tr>
      <w:tr>
        <w:tc>
          <w:tcPr>
            <w:tcW w:type="dxa" w:w="2304"/>
          </w:tcPr>
          <w:p>
            <w:r/>
            <w:r>
              <w:rPr>
                <w:sz w:val="19"/>
              </w:rPr>
              <w:t>fp_rate_per_dim</w:t>
            </w:r>
          </w:p>
        </w:tc>
        <w:tc>
          <w:tcPr>
            <w:tcW w:type="dxa" w:w="3888"/>
          </w:tcPr>
          <w:p>
            <w:r/>
            <w:r>
              <w:rPr>
                <w:sz w:val="19"/>
              </w:rPr>
              <w:t>FP rate per dimension over rolling 7 days.</w:t>
            </w:r>
          </w:p>
        </w:tc>
        <w:tc>
          <w:tcPr>
            <w:tcW w:type="dxa" w:w="3888"/>
          </w:tcPr>
          <w:p>
            <w:r/>
            <w:r>
              <w:rPr>
                <w:sz w:val="19"/>
              </w:rPr>
              <w:t>≤ 25% per dimension for 7 consecutive days; breach triggers automatic review.</w:t>
            </w:r>
          </w:p>
        </w:tc>
      </w:tr>
      <w:tr>
        <w:tc>
          <w:tcPr>
            <w:tcW w:type="dxa" w:w="2304"/>
          </w:tcPr>
          <w:p>
            <w:r/>
            <w:r>
              <w:rPr>
                <w:sz w:val="19"/>
              </w:rPr>
              <w:t>fn_rate_per_band</w:t>
            </w:r>
          </w:p>
        </w:tc>
        <w:tc>
          <w:tcPr>
            <w:tcW w:type="dxa" w:w="3888"/>
          </w:tcPr>
          <w:p>
            <w:r/>
            <w:r>
              <w:rPr>
                <w:sz w:val="19"/>
              </w:rPr>
              <w:t>FN rate per tier band over rolling 30 days.</w:t>
            </w:r>
          </w:p>
        </w:tc>
        <w:tc>
          <w:tcPr>
            <w:tcW w:type="dxa" w:w="3888"/>
          </w:tcPr>
          <w:p>
            <w:r/>
            <w:r>
              <w:rPr>
                <w:sz w:val="19"/>
              </w:rPr>
              <w:t>Vector KPI; tracked against asymmetric-loss policy.</w:t>
            </w:r>
          </w:p>
        </w:tc>
      </w:tr>
      <w:tr>
        <w:tc>
          <w:tcPr>
            <w:tcW w:type="dxa" w:w="2304"/>
          </w:tcPr>
          <w:p>
            <w:r/>
            <w:r>
              <w:rPr>
                <w:sz w:val="19"/>
              </w:rPr>
              <w:t>exception_rate</w:t>
            </w:r>
          </w:p>
        </w:tc>
        <w:tc>
          <w:tcPr>
            <w:tcW w:type="dxa" w:w="3888"/>
          </w:tcPr>
          <w:p>
            <w:r/>
            <w:r>
              <w:rPr>
                <w:sz w:val="19"/>
              </w:rPr>
              <w:t>Fraction of actions in ELEVATED+ over rolling 30 days.</w:t>
            </w:r>
          </w:p>
        </w:tc>
        <w:tc>
          <w:tcPr>
            <w:tcW w:type="dxa" w:w="3888"/>
          </w:tcPr>
          <w:p>
            <w:r/>
            <w:r>
              <w:rPr>
                <w:sz w:val="19"/>
              </w:rPr>
              <w:t>Doctrinal band 5–15% by default; band is Constitution-set.</w:t>
            </w:r>
          </w:p>
        </w:tc>
      </w:tr>
      <w:tr>
        <w:tc>
          <w:tcPr>
            <w:tcW w:type="dxa" w:w="2304"/>
          </w:tcPr>
          <w:p>
            <w:r/>
            <w:r>
              <w:rPr>
                <w:sz w:val="19"/>
              </w:rPr>
              <w:t>ece_per_dimension</w:t>
            </w:r>
          </w:p>
        </w:tc>
        <w:tc>
          <w:tcPr>
            <w:tcW w:type="dxa" w:w="3888"/>
          </w:tcPr>
          <w:p>
            <w:r/>
            <w:r>
              <w:rPr>
                <w:sz w:val="19"/>
              </w:rPr>
              <w:t>Expected Calibration Error per dimension.</w:t>
            </w:r>
          </w:p>
        </w:tc>
        <w:tc>
          <w:tcPr>
            <w:tcW w:type="dxa" w:w="3888"/>
          </w:tcPr>
          <w:p>
            <w:r/>
            <w:r>
              <w:rPr>
                <w:sz w:val="19"/>
              </w:rPr>
              <w:t>Reported in every Evidence Pack; tightening trend expected over time.</w:t>
            </w:r>
          </w:p>
        </w:tc>
      </w:tr>
      <w:tr>
        <w:tc>
          <w:tcPr>
            <w:tcW w:type="dxa" w:w="2304"/>
          </w:tcPr>
          <w:p>
            <w:r/>
            <w:r>
              <w:rPr>
                <w:sz w:val="19"/>
              </w:rPr>
              <w:t>score_density_eps</w:t>
            </w:r>
          </w:p>
        </w:tc>
        <w:tc>
          <w:tcPr>
            <w:tcW w:type="dxa" w:w="3888"/>
          </w:tcPr>
          <w:p>
            <w:r/>
            <w:r>
              <w:rPr>
                <w:sz w:val="19"/>
              </w:rPr>
              <w:t>Density of composite scores in [τ − ε, τ) for each tier threshold τ.</w:t>
            </w:r>
          </w:p>
        </w:tc>
        <w:tc>
          <w:tcPr>
            <w:tcW w:type="dxa" w:w="3888"/>
          </w:tcPr>
          <w:p>
            <w:r/>
            <w:r>
              <w:rPr>
                <w:sz w:val="19"/>
              </w:rPr>
              <w:t>Above doctrinal band → HIGH-tier security event.</w:t>
            </w:r>
          </w:p>
        </w:tc>
      </w:tr>
      <w:tr>
        <w:tc>
          <w:tcPr>
            <w:tcW w:type="dxa" w:w="2304"/>
          </w:tcPr>
          <w:p>
            <w:r/>
            <w:r>
              <w:rPr>
                <w:sz w:val="19"/>
              </w:rPr>
              <w:t>override_rate</w:t>
            </w:r>
          </w:p>
        </w:tc>
        <w:tc>
          <w:tcPr>
            <w:tcW w:type="dxa" w:w="3888"/>
          </w:tcPr>
          <w:p>
            <w:r/>
            <w:r>
              <w:rPr>
                <w:sz w:val="19"/>
              </w:rPr>
              <w:t>Director override rate by tier band.</w:t>
            </w:r>
          </w:p>
        </w:tc>
        <w:tc>
          <w:tcPr>
            <w:tcW w:type="dxa" w:w="3888"/>
          </w:tcPr>
          <w:p>
            <w:r/>
            <w:r>
              <w:rPr>
                <w:sz w:val="19"/>
              </w:rPr>
              <w:t>Tracked; persistent excess override is a calibration signal.</w:t>
            </w:r>
          </w:p>
        </w:tc>
      </w:tr>
      <w:tr>
        <w:tc>
          <w:tcPr>
            <w:tcW w:type="dxa" w:w="2304"/>
          </w:tcPr>
          <w:p>
            <w:r/>
            <w:r>
              <w:rPr>
                <w:sz w:val="19"/>
              </w:rPr>
              <w:t>override_reversal_rate</w:t>
            </w:r>
          </w:p>
        </w:tc>
        <w:tc>
          <w:tcPr>
            <w:tcW w:type="dxa" w:w="3888"/>
          </w:tcPr>
          <w:p>
            <w:r/>
            <w:r>
              <w:rPr>
                <w:sz w:val="19"/>
              </w:rPr>
              <w:t>Fraction of overrides later judged incorrect.</w:t>
            </w:r>
          </w:p>
        </w:tc>
        <w:tc>
          <w:tcPr>
            <w:tcW w:type="dxa" w:w="3888"/>
          </w:tcPr>
          <w:p>
            <w:r/>
            <w:r>
              <w:rPr>
                <w:sz w:val="19"/>
              </w:rPr>
              <w:t>Reviewed quarterly; structural excess implies governance friction not calibration error.</w:t>
            </w:r>
          </w:p>
        </w:tc>
      </w:tr>
      <w:tr>
        <w:tc>
          <w:tcPr>
            <w:tcW w:type="dxa" w:w="2304"/>
          </w:tcPr>
          <w:p>
            <w:r/>
            <w:r>
              <w:rPr>
                <w:sz w:val="19"/>
              </w:rPr>
              <w:t>challenger_margin</w:t>
            </w:r>
          </w:p>
        </w:tc>
        <w:tc>
          <w:tcPr>
            <w:tcW w:type="dxa" w:w="3888"/>
          </w:tcPr>
          <w:p>
            <w:r/>
            <w:r>
              <w:rPr>
                <w:sz w:val="19"/>
              </w:rPr>
              <w:t>Asymmetric-loss margin of production calibration over the challenger.</w:t>
            </w:r>
          </w:p>
        </w:tc>
        <w:tc>
          <w:tcPr>
            <w:tcW w:type="dxa" w:w="3888"/>
          </w:tcPr>
          <w:p>
            <w:r/>
            <w:r>
              <w:rPr>
                <w:sz w:val="19"/>
              </w:rPr>
              <w:t>Must remain positive at every recalibration; collapse triggers an out-of-cycle review.</w:t>
            </w:r>
          </w:p>
        </w:tc>
      </w:tr>
      <w:tr>
        <w:tc>
          <w:tcPr>
            <w:tcW w:type="dxa" w:w="2304"/>
          </w:tcPr>
          <w:p>
            <w:r/>
            <w:r>
              <w:rPr>
                <w:sz w:val="19"/>
              </w:rPr>
              <w:t>verification_yield</w:t>
            </w:r>
          </w:p>
        </w:tc>
        <w:tc>
          <w:tcPr>
            <w:tcW w:type="dxa" w:w="3888"/>
          </w:tcPr>
          <w:p>
            <w:r/>
            <w:r>
              <w:rPr>
                <w:sz w:val="19"/>
              </w:rPr>
              <w:t>True-positive rate of stochastic verification on MODERATE actions.</w:t>
            </w:r>
          </w:p>
        </w:tc>
        <w:tc>
          <w:tcPr>
            <w:tcW w:type="dxa" w:w="3888"/>
          </w:tcPr>
          <w:p>
            <w:r/>
            <w:r>
              <w:rPr>
                <w:sz w:val="19"/>
              </w:rPr>
              <w:t>Tracked as adversarial-calibration KPI.</w:t>
            </w:r>
          </w:p>
        </w:tc>
      </w:tr>
      <w:tr>
        <w:tc>
          <w:tcPr>
            <w:tcW w:type="dxa" w:w="2304"/>
          </w:tcPr>
          <w:p>
            <w:r/>
            <w:r>
              <w:rPr>
                <w:sz w:val="19"/>
              </w:rPr>
              <w:t>calibration_age_days</w:t>
            </w:r>
          </w:p>
        </w:tc>
        <w:tc>
          <w:tcPr>
            <w:tcW w:type="dxa" w:w="3888"/>
          </w:tcPr>
          <w:p>
            <w:r/>
            <w:r>
              <w:rPr>
                <w:sz w:val="19"/>
              </w:rPr>
              <w:t>Days since the last full recalibration deployed.</w:t>
            </w:r>
          </w:p>
        </w:tc>
        <w:tc>
          <w:tcPr>
            <w:tcW w:type="dxa" w:w="3888"/>
          </w:tcPr>
          <w:p>
            <w:r/>
            <w:r>
              <w:rPr>
                <w:sz w:val="19"/>
              </w:rPr>
              <w:t>≤ 90 + grace; older triggers a stability gate.</w:t>
            </w:r>
          </w:p>
        </w:tc>
      </w:tr>
    </w:tbl>
    <w:p>
      <w:r>
        <w:br w:type="page"/>
      </w:r>
    </w:p>
    <w:p>
      <w:pPr>
        <w:pStyle w:val="Heading1"/>
      </w:pPr>
      <w:r>
        <w:t>Appendix B — Calibration Glossary</w:t>
      </w:r>
    </w:p>
    <w:p>
      <w:r>
        <w:rPr>
          <w:b/>
        </w:rPr>
        <w:t xml:space="preserve">Calibration Doctrine Update. </w:t>
      </w:r>
      <w:r>
        <w:t>Signed, anchored bundle that lands a calibration change. The unit of calibration deployment.</w:t>
      </w:r>
    </w:p>
    <w:p>
      <w:r>
        <w:rPr>
          <w:b/>
        </w:rPr>
        <w:t xml:space="preserve">Calibration Evidence Pack. </w:t>
      </w:r>
      <w:r>
        <w:t>Complete model-development record for a calibration ceremony. Schema in §5.1.</w:t>
      </w:r>
    </w:p>
    <w:p>
      <w:r>
        <w:rPr>
          <w:b/>
        </w:rPr>
        <w:t xml:space="preserve">Calibration Owner. </w:t>
      </w:r>
      <w:r>
        <w:t>meta-stability — the agent accountable for calibration health; cannot commit changes.</w:t>
      </w:r>
    </w:p>
    <w:p>
      <w:r>
        <w:rPr>
          <w:b/>
        </w:rPr>
        <w:t xml:space="preserve">Independent Validator. </w:t>
      </w:r>
      <w:r>
        <w:t>meta-audit — Integrity Auditor; structurally independent of the Calibration Engineering Council; effective-challenge authority.</w:t>
      </w:r>
    </w:p>
    <w:p>
      <w:r>
        <w:rPr>
          <w:b/>
        </w:rPr>
        <w:t xml:space="preserve">Calibration Engineering Council. </w:t>
      </w:r>
      <w:r>
        <w:t>The execution function for calibration; platform engineers plus CISO and CFO delegates.</w:t>
      </w:r>
    </w:p>
    <w:p>
      <w:r>
        <w:rPr>
          <w:b/>
        </w:rPr>
        <w:t xml:space="preserve">Director of Record. </w:t>
      </w:r>
      <w:r>
        <w:t>Director (or Directors) whose quorum approves a given change class.</w:t>
      </w:r>
    </w:p>
    <w:p>
      <w:r>
        <w:rPr>
          <w:b/>
        </w:rPr>
        <w:t xml:space="preserve">Asymmetric-loss policy. </w:t>
      </w:r>
      <w:r>
        <w:t>Constitution-set vector of c_FN and c_FP costs per tier band; sets the trade-off the Calibration Engineer optimises.</w:t>
      </w:r>
    </w:p>
    <w:p>
      <w:r>
        <w:rPr>
          <w:b/>
        </w:rPr>
        <w:t xml:space="preserve">Lexicographic objective. </w:t>
      </w:r>
      <w:r>
        <w:t>Multi-objective policy where each objective is satisfied in priority order; ADAM's calibration objective set.</w:t>
      </w:r>
    </w:p>
    <w:p>
      <w:r>
        <w:rPr>
          <w:b/>
        </w:rPr>
        <w:t xml:space="preserve">Counterfactual replay. </w:t>
      </w:r>
      <w:r>
        <w:t>Re-evaluation of historical Intent Objects against a candidate calibration; produces the migration matrix.</w:t>
      </w:r>
    </w:p>
    <w:p>
      <w:r>
        <w:rPr>
          <w:b/>
        </w:rPr>
        <w:t xml:space="preserve">Migration matrix. </w:t>
      </w:r>
      <w:r>
        <w:t>Tier-by-tier transition counts under a candidate calibration.</w:t>
      </w:r>
    </w:p>
    <w:p>
      <w:r>
        <w:rPr>
          <w:b/>
        </w:rPr>
        <w:t xml:space="preserve">Score-density anomaly. </w:t>
      </w:r>
      <w:r>
        <w:t>Concentration of composite scores in [τ − ε, τ); an adversarial-calibration signal.</w:t>
      </w:r>
    </w:p>
    <w:p>
      <w:r>
        <w:rPr>
          <w:b/>
        </w:rPr>
        <w:t xml:space="preserve">Stochastic verification. </w:t>
      </w:r>
      <w:r>
        <w:t>Random promotion of MODERATE actions to ELEVATED for human review; doctrine-set rate.</w:t>
      </w:r>
    </w:p>
    <w:p>
      <w:r>
        <w:rPr>
          <w:b/>
        </w:rPr>
        <w:t xml:space="preserve">Effective challenge. </w:t>
      </w:r>
      <w:r>
        <w:t>Independent validation with the standing, authority, and skill to overrule the developer; SR 11-7 term.</w:t>
      </w:r>
    </w:p>
    <w:p>
      <w:r>
        <w:rPr>
          <w:b/>
        </w:rPr>
        <w:t xml:space="preserve">Calibration_id. </w:t>
      </w:r>
      <w:r>
        <w:t>Unique identifier for a deployed calibration; stamped on every FR entry it scored.</w:t>
      </w:r>
    </w:p>
    <w:p>
      <w:r>
        <w:rPr>
          <w:b/>
        </w:rPr>
        <w:t xml:space="preserve">Drift. </w:t>
      </w:r>
      <w:r>
        <w:t>Distribution shift in inputs or labels making a static calibration progressively miscalibrated.</w:t>
      </w:r>
    </w:p>
    <w:p>
      <w:r>
        <w:rPr>
          <w:b/>
        </w:rPr>
        <w:t xml:space="preserve">Threshold opacity. </w:t>
      </w:r>
      <w:r>
        <w:t>Property that runtime agents observe tier outcomes, not numeric distance to thresholds.</w:t>
      </w:r>
    </w:p>
    <w:p>
      <w:r>
        <w:rPr>
          <w:b/>
        </w:rPr>
        <w:t xml:space="preserve">Doctrinal band. </w:t>
      </w:r>
      <w:r>
        <w:t>Doctrine-defined acceptable range for a metric (e.g., exception rate 5–15%).</w:t>
      </w:r>
    </w:p>
    <w:p>
      <w:r>
        <w:rPr>
          <w:b/>
        </w:rPr>
        <w:t xml:space="preserve">Bundle cancellation. </w:t>
      </w:r>
      <w:r>
        <w:t>Append-only mechanism that supersedes a prior calibration without overwriting it.</w:t>
      </w:r>
    </w:p>
    <w:p>
      <w:r>
        <w:br w:type="page"/>
      </w:r>
    </w:p>
    <w:p>
      <w:pPr>
        <w:pStyle w:val="Heading1"/>
      </w:pPr>
      <w:r>
        <w:t>Appendix C — 360-Degree QA Checklist</w:t>
      </w:r>
    </w:p>
    <w:p>
      <w:r>
        <w:rPr>
          <w:b w:val="0"/>
          <w:i w:val="0"/>
        </w:rPr>
        <w:t>This checklist is normative. A Calibration Doctrine Update is admissible only when every item is green and the proof of each item is anchored to the Evidence Pack. The list is consumed by humans and by AI assistants generating calibration deliverables; both must produce the same answers.</w:t>
      </w:r>
    </w:p>
    <w:p>
      <w:pPr>
        <w:pStyle w:val="Heading2"/>
      </w:pPr>
      <w:r>
        <w:t>Doctrinal scope</w:t>
      </w:r>
    </w:p>
    <w:p>
      <w:pPr>
        <w:pStyle w:val="ListBullet"/>
      </w:pPr>
      <w:r>
        <w:t>Change class declared (threshold | second-order weight | asymmetric-loss | tier reassignment).</w:t>
      </w:r>
    </w:p>
    <w:p>
      <w:pPr>
        <w:pStyle w:val="ListBullet"/>
      </w:pPr>
      <w:r>
        <w:t>Diff fits exactly one declared change class; preflight scope-conformance check passes.</w:t>
      </w:r>
    </w:p>
    <w:p>
      <w:pPr>
        <w:pStyle w:val="ListBullet"/>
      </w:pPr>
      <w:r>
        <w:t>No conflation: bundle does not bundle a tier reassignment with anything else.</w:t>
      </w:r>
    </w:p>
    <w:p>
      <w:pPr>
        <w:pStyle w:val="Heading2"/>
      </w:pPr>
      <w:r>
        <w:t>Authority and quorum</w:t>
      </w:r>
    </w:p>
    <w:p>
      <w:pPr>
        <w:pStyle w:val="ListBullet"/>
      </w:pPr>
      <w:r>
        <w:t>Director-of-Record table for the declared change class is identified.</w:t>
      </w:r>
    </w:p>
    <w:p>
      <w:pPr>
        <w:pStyle w:val="ListBullet"/>
      </w:pPr>
      <w:r>
        <w:t>Quorum proof attached and verified at the Cryptographic Authorization Vault.</w:t>
      </w:r>
    </w:p>
    <w:p>
      <w:pPr>
        <w:pStyle w:val="ListBullet"/>
      </w:pPr>
      <w:r>
        <w:t>No single human, key, agent, or Director can land the change.</w:t>
      </w:r>
    </w:p>
    <w:p>
      <w:pPr>
        <w:pStyle w:val="Heading2"/>
      </w:pPr>
      <w:r>
        <w:t>Data plane</w:t>
      </w:r>
    </w:p>
    <w:p>
      <w:pPr>
        <w:pStyle w:val="ListBullet"/>
      </w:pPr>
      <w:r>
        <w:t>Window start/end inside the doctrinal recalibration window.</w:t>
      </w:r>
    </w:p>
    <w:p>
      <w:pPr>
        <w:pStyle w:val="ListBullet"/>
      </w:pPr>
      <w:r>
        <w:t>Label completeness reported with bootstrap CI; missing-not-at-random handled and documented.</w:t>
      </w:r>
    </w:p>
    <w:p>
      <w:pPr>
        <w:pStyle w:val="ListBullet"/>
      </w:pPr>
      <w:r>
        <w:t>Label provenance summary present; no labels without an FR anchor.</w:t>
      </w:r>
    </w:p>
    <w:p>
      <w:pPr>
        <w:pStyle w:val="ListBullet"/>
      </w:pPr>
      <w:r>
        <w:t>Right-of-rebuttal disputes accounted for; label policy for ties stated.</w:t>
      </w:r>
    </w:p>
    <w:p>
      <w:pPr>
        <w:pStyle w:val="Heading2"/>
      </w:pPr>
      <w:r>
        <w:t>Statistical procedures</w:t>
      </w:r>
    </w:p>
    <w:p>
      <w:pPr>
        <w:pStyle w:val="ListBullet"/>
      </w:pPr>
      <w:r>
        <w:t>Stratified holdout sealed before fitting; holdout hash matches Evidence Pack.</w:t>
      </w:r>
    </w:p>
    <w:p>
      <w:pPr>
        <w:pStyle w:val="ListBullet"/>
      </w:pPr>
      <w:r>
        <w:t>Bootstrap CIs reported on every headline KPI.</w:t>
      </w:r>
    </w:p>
    <w:p>
      <w:pPr>
        <w:pStyle w:val="ListBullet"/>
      </w:pPr>
      <w:r>
        <w:t>ECE and reliability diagrams per dimension included.</w:t>
      </w:r>
    </w:p>
    <w:p>
      <w:pPr>
        <w:pStyle w:val="ListBullet"/>
      </w:pPr>
      <w:r>
        <w:t>Influence-function sensitivity reported with top-K parameters and justification for any change touching them.</w:t>
      </w:r>
    </w:p>
    <w:p>
      <w:pPr>
        <w:pStyle w:val="ListBullet"/>
      </w:pPr>
      <w:r>
        <w:t>Counterfactual replay produced; migration matrix and subgroup concentration audited.</w:t>
      </w:r>
    </w:p>
    <w:p>
      <w:pPr>
        <w:pStyle w:val="ListBullet"/>
      </w:pPr>
      <w:r>
        <w:t>Subgroup audit (industry, region, agent class) performed; regressions flagged with reasoning.</w:t>
      </w:r>
    </w:p>
    <w:p>
      <w:pPr>
        <w:pStyle w:val="ListBullet"/>
      </w:pPr>
      <w:r>
        <w:t>Challenger benchmark beaten by ≥ doctrinal margin in standard deviations on the holdout.</w:t>
      </w:r>
    </w:p>
    <w:p>
      <w:pPr>
        <w:pStyle w:val="Heading2"/>
      </w:pPr>
      <w:r>
        <w:t>FP / FN governance</w:t>
      </w:r>
    </w:p>
    <w:p>
      <w:pPr>
        <w:pStyle w:val="ListBullet"/>
      </w:pPr>
      <w:r>
        <w:t>Asymmetric-loss policy unchanged or routed through the Constitution amendment path.</w:t>
      </w:r>
    </w:p>
    <w:p>
      <w:pPr>
        <w:pStyle w:val="ListBullet"/>
      </w:pPr>
      <w:r>
        <w:t>Lexicographic objective ordering not violated; recall floor at HIGH+ preserved.</w:t>
      </w:r>
    </w:p>
    <w:p>
      <w:pPr>
        <w:pStyle w:val="ListBullet"/>
      </w:pPr>
      <w:r>
        <w:t>Exception rate inside doctrinal band; SOAP FP rate inside doctrinal band.</w:t>
      </w:r>
    </w:p>
    <w:p>
      <w:pPr>
        <w:pStyle w:val="Heading2"/>
      </w:pPr>
      <w:r>
        <w:t>Adversarial defenses</w:t>
      </w:r>
    </w:p>
    <w:p>
      <w:pPr>
        <w:pStyle w:val="ListBullet"/>
      </w:pPr>
      <w:r>
        <w:t>Score-density monitoring active and reported; no anomalous concentration introduced by the change.</w:t>
      </w:r>
    </w:p>
    <w:p>
      <w:pPr>
        <w:pStyle w:val="ListBullet"/>
      </w:pPr>
      <w:r>
        <w:t>Stochastic verification budget unchanged or strengthened; not loosened by the change.</w:t>
      </w:r>
    </w:p>
    <w:p>
      <w:pPr>
        <w:pStyle w:val="ListBullet"/>
      </w:pPr>
      <w:r>
        <w:t>Threshold opacity preserved; no agent-visible exposure of numeric thresholds introduced.</w:t>
      </w:r>
    </w:p>
    <w:p>
      <w:pPr>
        <w:pStyle w:val="Heading2"/>
      </w:pPr>
      <w:r>
        <w:t>Replay and evidence</w:t>
      </w:r>
    </w:p>
    <w:p>
      <w:pPr>
        <w:pStyle w:val="ListBullet"/>
      </w:pPr>
      <w:r>
        <w:t>Calibration_id assigned; old calibration_id retained.</w:t>
      </w:r>
    </w:p>
    <w:p>
      <w:pPr>
        <w:pStyle w:val="ListBullet"/>
      </w:pPr>
      <w:r>
        <w:t>FR entries for the prior 90 days replay correctly against the prior calibration.</w:t>
      </w:r>
    </w:p>
    <w:p>
      <w:pPr>
        <w:pStyle w:val="ListBullet"/>
      </w:pPr>
      <w:r>
        <w:t>Migration matrix on-line agrees with Evidence Pack within doctrinal tolerance.</w:t>
      </w:r>
    </w:p>
    <w:p>
      <w:pPr>
        <w:pStyle w:val="Heading2"/>
      </w:pPr>
      <w:r>
        <w:t>Cryptographic envelope</w:t>
      </w:r>
    </w:p>
    <w:p>
      <w:pPr>
        <w:pStyle w:val="ListBullet"/>
      </w:pPr>
      <w:r>
        <w:t>Hybrid Ed25519 + ML-DSA-65 dual-signature on Evidence Pack and bundle.</w:t>
      </w:r>
    </w:p>
    <w:p>
      <w:pPr>
        <w:pStyle w:val="ListBullet"/>
      </w:pPr>
      <w:r>
        <w:t>ML-KEM-768 key-encapsulation on cross-service transport.</w:t>
      </w:r>
    </w:p>
    <w:p>
      <w:pPr>
        <w:pStyle w:val="ListBullet"/>
      </w:pPr>
      <w:r>
        <w:t>SLH-DSA archival anchor on the rolled-up calibration history index.</w:t>
      </w:r>
    </w:p>
    <w:p>
      <w:pPr>
        <w:pStyle w:val="ListBullet"/>
      </w:pPr>
      <w:r>
        <w:t>External anchor receipts (Azure / AWS / GCP / on-prem WORM) attached.</w:t>
      </w:r>
    </w:p>
    <w:p>
      <w:pPr>
        <w:pStyle w:val="ListBullet"/>
      </w:pPr>
      <w:r>
        <w:t>No classical-only artifact admitted.</w:t>
      </w:r>
    </w:p>
    <w:p>
      <w:pPr>
        <w:pStyle w:val="Heading2"/>
      </w:pPr>
      <w:r>
        <w:t>RGI conformance</w:t>
      </w:r>
    </w:p>
    <w:p>
      <w:pPr>
        <w:pStyle w:val="ListBullet"/>
      </w:pPr>
      <w:r>
        <w:t>RGI Policy Enforcement contract honoured; calibration_id propagates.</w:t>
      </w:r>
    </w:p>
    <w:p>
      <w:pPr>
        <w:pStyle w:val="ListBullet"/>
      </w:pPr>
      <w:r>
        <w:t>RGI Telemetry Emission contract honoured; drift signals on the calibration channel.</w:t>
      </w:r>
    </w:p>
    <w:p>
      <w:pPr>
        <w:pStyle w:val="ListBullet"/>
      </w:pPr>
      <w:r>
        <w:t>RGI Identity contract honoured; T1 Doctrine Signing Key class.</w:t>
      </w:r>
    </w:p>
    <w:p>
      <w:pPr>
        <w:pStyle w:val="ListBullet"/>
      </w:pPr>
      <w:r>
        <w:t>RGI Execution Rings contract honoured; data plane is read-only.</w:t>
      </w:r>
    </w:p>
    <w:p>
      <w:pPr>
        <w:pStyle w:val="Heading2"/>
      </w:pPr>
      <w:r>
        <w:t>Code QA</w:t>
      </w:r>
    </w:p>
    <w:p>
      <w:pPr>
        <w:pStyle w:val="ListBullet"/>
      </w:pPr>
      <w:r>
        <w:t>Reference algorithms unit-tested against fixed-seed fixtures; results match Evidence Pack KPIs within 1e-9.</w:t>
      </w:r>
    </w:p>
    <w:p>
      <w:pPr>
        <w:pStyle w:val="ListBullet"/>
      </w:pPr>
      <w:r>
        <w:t>Rego preflight passes the seven hard rules of the OPA Rego Authoring Standards (rego.v1; --v1-compatible; tuples for directional allow-lists; mutual exclusivity; unrolled expressions; no bare-reference body comprehensions; pinned OPA image and version-controlled bundle).</w:t>
      </w:r>
    </w:p>
    <w:p>
      <w:pPr>
        <w:pStyle w:val="ListBullet"/>
      </w:pPr>
      <w:r>
        <w:t>All code samples in the Evidence Pack reproduce KPIs end-to-end on a clean machine.</w:t>
      </w:r>
    </w:p>
    <w:p>
      <w:pPr>
        <w:pStyle w:val="Heading2"/>
      </w:pPr>
      <w:r>
        <w:t>Operational</w:t>
      </w:r>
    </w:p>
    <w:p>
      <w:pPr>
        <w:pStyle w:val="ListBullet"/>
      </w:pPr>
      <w:r>
        <w:t>Stability-gate check clear; no instability_detected event in past 24 hours.</w:t>
      </w:r>
    </w:p>
    <w:p>
      <w:pPr>
        <w:pStyle w:val="ListBullet"/>
      </w:pPr>
      <w:r>
        <w:t>First-14-days health gates and rollback manifest attached.</w:t>
      </w:r>
    </w:p>
    <w:p>
      <w:pPr>
        <w:pStyle w:val="ListBullet"/>
      </w:pPr>
      <w:r>
        <w:t>Calibration Owner sign-off, Council sign-off, Validator sign-off, Director quorum sign-off all anchored.</w:t>
      </w:r>
    </w:p>
    <w:p>
      <w:pPr>
        <w:pStyle w:val="Heading2"/>
      </w:pPr>
      <w:r>
        <w:t>Use exclusions</w:t>
      </w:r>
    </w:p>
    <w:p>
      <w:pPr>
        <w:pStyle w:val="ListBullet"/>
      </w:pPr>
      <w:r>
        <w:t>Bundle does not enable, encourage, or facilitate any Excluded Use under ADAM — Copyright and Use Agreement.</w:t>
      </w:r>
    </w:p>
    <w:p>
      <w:pPr>
        <w:pStyle w:val="ListBullet"/>
      </w:pPr>
      <w:r>
        <w:t>No defense, weaponry/drone, or unconsented human surveillance pathway introduced.</w:t>
      </w:r>
    </w:p>
    <w:p>
      <w:pPr>
        <w:pStyle w:val="ListBullet"/>
      </w:pPr>
      <w:r>
        <w:t>Legal Personality Boundary respected; no calibration that could be construed as autonomous legal agency.</w:t>
      </w:r>
    </w:p>
    <w:p>
      <w:r>
        <w:br w:type="page"/>
      </w:r>
    </w:p>
    <w:p>
      <w:pPr>
        <w:jc w:val="center"/>
      </w:pPr>
      <w:r>
        <w:rPr>
          <w:b w:val="0"/>
          <w:i/>
          <w:color w:val="595959"/>
          <w:sz w:val="20"/>
        </w:rPr>
        <w:t>Humans Define Intent.  Machines Execute.  Evidence Proves Everything.  Calibration is the discipline that keeps the score honest.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