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60"/>
          <w:szCs w:val="60"/>
        </w:rPr>
        <w:t xml:space="preserve">BOSS Score Formulas</w:t>
      </w:r>
    </w:p>
    <w:p>
      <w:pPr>
        <w:spacing w:after="200"/>
        <w:jc w:val="center"/>
      </w:pPr>
      <w:r>
        <w:rPr>
          <w:i/>
          <w:iCs/>
          <w:color w:val="1F3A5F"/>
          <w:sz w:val="30"/>
          <w:szCs w:val="30"/>
        </w:rPr>
        <w:t xml:space="preserve">Business Operations Sovereignty Score</w:t>
      </w:r>
    </w:p>
    <w:p>
      <w:pPr>
        <w:spacing w:after="200"/>
        <w:jc w:val="center"/>
      </w:pPr>
      <w:r>
        <w:rPr>
          <w:color w:val="595959"/>
          <w:sz w:val="24"/>
          <w:szCs w:val="24"/>
        </w:rPr>
        <w:t xml:space="preserve">Comprehensive Scoring Methodology, Framework Attribution,</w:t>
      </w:r>
    </w:p>
    <w:p>
      <w:pPr>
        <w:spacing w:after="1200"/>
        <w:jc w:val="center"/>
      </w:pPr>
      <w:r>
        <w:rPr>
          <w:color w:val="595959"/>
          <w:sz w:val="24"/>
          <w:szCs w:val="24"/>
        </w:rPr>
        <w:t xml:space="preserve">and Dimensional Calculation Specifications</w:t>
      </w:r>
    </w:p>
    <w:p>
      <w:pPr>
        <w:spacing w:after="200"/>
        <w:jc w:val="center"/>
      </w:pPr>
      <w:r>
        <w:rPr>
          <w:sz w:val="22"/>
          <w:szCs w:val="22"/>
        </w:rPr>
        <w:t xml:space="preserve">ADAM — Autonomy Doctrine &amp; Architecture Model</w:t>
      </w:r>
    </w:p>
    <w:p>
      <w:pPr>
        <w:spacing w:after="200"/>
        <w:jc w:val="center"/>
      </w:pPr>
      <w:r>
        <w:rPr>
          <w:b/>
          <w:bCs/>
          <w:sz w:val="24"/>
          <w:szCs w:val="24"/>
        </w:rPr>
        <w:t xml:space="preserve">Version 3.4 — Quantum Exposure and AI-Control Attack Exposure Edition</w:t>
      </w:r>
    </w:p>
    <w:p>
      <w:pPr>
        <w:spacing w:after="1400"/>
        <w:jc w:val="center"/>
      </w:pPr>
      <w:r>
        <w:rPr>
          <w:sz w:val="22"/>
          <w:szCs w:val="22"/>
        </w:rPr>
        <w:t xml:space="preserve">April 2026</w:t>
      </w:r>
    </w:p>
    <w:p>
      <w:pPr>
        <w:jc w:val="center"/>
      </w:pPr>
      <w:r>
        <w:rPr>
          <w:i/>
          <w:iCs/>
          <w:color w:val="595959"/>
          <w:sz w:val="20"/>
          <w:szCs w:val="20"/>
        </w:rPr>
        <w:t xml:space="preserve">Open Source · Global · Industry-Agnostic · Product-Agnostic</w:t>
      </w:r>
    </w:p>
    <w:p>
      <w:r>
        <w:br w:type="page"/>
      </w:r>
    </w:p>
    <w:p>
      <w:pPr>
        <w:pStyle w:val="Heading1"/>
      </w:pPr>
      <w: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Attribute</w:t>
            </w:r>
          </w:p>
        </w:tc>
        <w:tc>
          <w:tcPr>
            <w:tcW w:type="dxa" w:w="648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Value</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Document Title</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BOSS Score Formulas</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File Version</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0.3 (consolidates v0.2; supersedes v0.2 file as the live reference)</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Methodology Version</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3.4 — adds Quantum Exposure (QE) and AI-Control Attack Exposure (ACE) sub-scores in Dimension 1 (Security Impact)</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Date</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April 2026</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Status</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Living Document</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Author</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Michael Lamb</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Audience</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Public, Technical, and Business Executive</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Repository</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GitHub (Apache 2.0; subject to Excluded Uses in Copyright and Use Agreement v0.3 §12)</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Companion to</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Autonomy Doctrine &amp; Architecture Model · Quantum and Cryptographic Security at Scale · Hardware-Free Cryptographic Substrate · OPA Rego Authoring Standards · Keyword Glossary</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 and Document Purpose</w:t>
      </w:r>
    </w:p>
    <w:p>
      <w:pPr>
        <w:spacing w:after="120"/>
      </w:pPr>
      <w:r>
        <w:t xml:space="preserve">The Business Operations Sovereignty Score (BOSS) is ADAM's universal scoring system for autonomous action. It replaces intuition and gut checks with measurable, explainable assessment of consequence. Every action an ADAM agent proposes carries a BOSS score — not a vibe, a score.</w:t>
      </w:r>
    </w:p>
    <w:p>
      <w:pPr>
        <w:spacing w:after="120"/>
      </w:pPr>
      <w:r>
        <w:t xml:space="preserve">BOSS evaluates proposed actions across seven independent dimensions, each assigned a Priority Tier by the organisation's Directors during DNA Questionnaire deployment. The weighted composite score routes the action to one of five escalation tiers, from full autonomous execution (SOAP) to immediate escalation to the CEO and all directors (OHSHAT).</w:t>
      </w:r>
    </w:p>
    <w:p>
      <w:pPr>
        <w:pStyle w:val="Heading2"/>
      </w:pPr>
      <w:r>
        <w:t xml:space="preserve">1.1  What is current in v3.4</w:t>
      </w:r>
    </w:p>
    <w:p>
      <w:pPr>
        <w:spacing w:after="120"/>
      </w:pPr>
      <w:r>
        <w:t xml:space="preserve">BOSS v3.4 is a backward-compatible extension of v3.2 (Priority Tier Edition) and v3.3 (Engine reference manual + OPA Rego authoring discipline; no formula change). All v3.2 sub-component formulas, threshold tables, dimension weights, escalation tiers, the Critical Dimension Override, and the Non-Idempotent Penalty remain in force without modification.</w:t>
      </w:r>
    </w:p>
    <w:p>
      <w:pPr>
        <w:spacing w:after="120"/>
      </w:pPr>
      <w:r>
        <w:t xml:space="preserve">The v3.4 additions are confined to Dimension 1 (Security Impact):</w:t>
      </w:r>
    </w:p>
    <w:p>
      <w:pPr>
        <w:pStyle w:val="ListParagraph"/>
        <w:numPr>
          <w:ilvl w:val="0"/>
          <w:numId w:val="2"/>
        </w:numPr>
      </w:pPr>
      <w:r>
        <w:rPr>
          <w:b/>
          <w:bCs/>
        </w:rPr>
        <w:t xml:space="preserve">Quantum Exposure (QE) sub-score, 0–25, </w:t>
      </w:r>
      <w:r>
        <w:t xml:space="preserve">additive into Dimension 1. Captures the probability that the action's ciphertext or signed artifact would be compromised by a cryptographically relevant quantum computer (CRQC) within the residual retention window.</w:t>
      </w:r>
    </w:p>
    <w:p>
      <w:pPr>
        <w:pStyle w:val="ListParagraph"/>
        <w:numPr>
          <w:ilvl w:val="0"/>
          <w:numId w:val="2"/>
        </w:numPr>
      </w:pPr>
      <w:r>
        <w:rPr>
          <w:b/>
          <w:bCs/>
        </w:rPr>
        <w:t xml:space="preserve">AI-Control Attack Exposure (ACE) sub-score, 0–25, </w:t>
      </w:r>
      <w:r>
        <w:t xml:space="preserve">additive into Dimension 1. Captures the likelihood that the action sits on a known AI-control attack path given prior 90 days of telemetry (prompt injection, tool poisoning, agent hijack, memory poisoning, model supply-chain, policy bypass, evidence tampering, doctrine drift, cryptographic downgrade).</w:t>
      </w:r>
    </w:p>
    <w:p>
      <w:pPr>
        <w:pStyle w:val="ListParagraph"/>
        <w:numPr>
          <w:ilvl w:val="0"/>
          <w:numId w:val="2"/>
        </w:numPr>
      </w:pPr>
      <w:r>
        <w:rPr>
          <w:b/>
          <w:bCs/>
        </w:rPr>
        <w:t xml:space="preserve">Cap discipline. </w:t>
      </w:r>
      <w:r>
        <w:t xml:space="preserve">QE + ACE are additive into Dimension 1's score but Dimension 1 is hard-capped at 100. The composite formula, the Critical Dimension Override, and the Non-Idempotent Penalty operate unchanged.</w:t>
      </w:r>
    </w:p>
    <w:p>
      <w:pPr>
        <w:spacing w:after="120"/>
      </w:pPr>
      <w:r>
        <w:t xml:space="preserve">Backward compatibility. Intent Objects that omit QE/ACE inputs score within ±0.5 absolute composite difference of v3.2 / v3.3 results under canonical hybrid defaults.</w:t>
      </w:r>
    </w:p>
    <w:p>
      <w:pPr>
        <w:pStyle w:val="Heading1"/>
      </w:pPr>
      <w:r>
        <w:t xml:space="preserve">2.  Priority Tier Weighting System</w:t>
      </w:r>
    </w:p>
    <w:p>
      <w:pPr>
        <w:spacing w:after="120"/>
      </w:pPr>
      <w:r>
        <w:t xml:space="preserve">ADAM uses a Priority Tier scale instead of arbitrary numeric weights. Directors assign each dimension a tier reflecting its relative importance to the enterprise's risk posture; the system translates these tiers into precise numeric weights automatically.</w:t>
      </w:r>
    </w:p>
    <w:p>
      <w:pPr>
        <w:pStyle w:val="Heading2"/>
      </w:pPr>
      <w:r>
        <w:t xml:space="preserve">2.1  The Priority Tier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700"/>
        <w:gridCol w:w="5160"/>
      </w:tblGrid>
      <w:tr>
        <w:trPr>
          <w:tblHeader/>
        </w:trPr>
        <w:tc>
          <w:tcPr>
            <w:tcW w:type="dxa" w:w="15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Priority Tier</w:t>
            </w:r>
          </w:p>
        </w:tc>
        <w:tc>
          <w:tcPr>
            <w:tcW w:type="dxa" w:w="10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Weight</w:t>
            </w:r>
          </w:p>
        </w:tc>
        <w:tc>
          <w:tcPr>
            <w:tcW w:type="dxa" w:w="17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Constraint</w:t>
            </w:r>
          </w:p>
        </w:tc>
        <w:tc>
          <w:tcPr>
            <w:tcW w:type="dxa" w:w="51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When to assign this tier</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Top</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Only 1 allowed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The single most critical risk dimension. The one that keeps the CISO or CEO awake. If everything is the highest priority, nothing is.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Multiple allowed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Dimensions where failure creates existential or severe enterprise-level consequences. Loss in these areas threatens the organisation's ability to operate.</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Multiple allowed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Dimensions requiring active governance and monitoring. Material risk that demands attention but is not existential on its own.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Multiple allowed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Dimensions tracked for compliance and alignment, but with lower operational urgency.</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Low</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Multiple allowed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Dimensions monitored but unlikely to drive escalation in normal operations.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Low</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0.5</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Multiple allowed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Dimensions with minimal risk exposure in this enterprise's specific context.</w:t>
            </w:r>
          </w:p>
        </w:tc>
      </w:tr>
    </w:tbl>
    <w:p>
      <w:pPr>
        <w:spacing w:after="120"/>
      </w:pPr>
      <w:r>
        <w:t xml:space="preserve">The Top constraint is non-negotiable: only one dimension may be assigned Top. This forces a real strategic decision rather than marking everything 'critical.' If two dimensions are equally important, both must be Very High; the genuine top priority is identified separately.</w:t>
      </w:r>
    </w:p>
    <w:p>
      <w:pPr>
        <w:pStyle w:val="Heading2"/>
      </w:pPr>
      <w:r>
        <w:t xml:space="preserve">2.2  Tier-to-Weight Translation</w:t>
      </w:r>
    </w:p>
    <w:p>
      <w:pPr>
        <w:spacing w:after="120"/>
      </w:pPr>
      <w:r>
        <w:t xml:space="preserve">The mapping from Priority Tier to numeric weight is fixed and deterministic:</w:t>
      </w:r>
    </w:p>
    <w:p>
      <w:pPr>
        <w:spacing w:after="100" w:before="100"/>
        <w:ind w:left="720" w:right="720"/>
      </w:pPr>
      <w:r>
        <w:rPr>
          <w:i/>
          <w:iCs/>
          <w:color w:val="1F3A5F"/>
        </w:rPr>
        <w:t xml:space="preserve">Weight = { Top: 5.0, Very High: 4.0, High: 3.0, Medium: 2.0, Low: 1.0, Very Low: 0.5 }</w:t>
      </w:r>
    </w:p>
    <w:p>
      <w:pPr>
        <w:spacing w:after="120"/>
      </w:pPr>
      <w:r>
        <w:t xml:space="preserve">Contribution percentage for any dimension is calculated as:</w:t>
      </w:r>
    </w:p>
    <w:p>
      <w:pPr>
        <w:spacing w:after="100" w:before="100"/>
        <w:ind w:left="720" w:right="720"/>
      </w:pPr>
      <w:r>
        <w:rPr>
          <w:i/>
          <w:iCs/>
          <w:color w:val="1F3A5F"/>
        </w:rPr>
        <w:t xml:space="preserve">Contribution% = (DimensionWeight / ΣAllWeights) × 100</w:t>
      </w:r>
    </w:p>
    <w:p>
      <w:pPr>
        <w:spacing w:after="120"/>
      </w:pPr>
      <w:r>
        <w:t xml:space="preserve">Because the tier-to-weight mapping uses fixed values, all dimensions at the same tier automatically have identical contribution percentages.</w:t>
      </w:r>
    </w:p>
    <w:p>
      <w:pPr>
        <w:pStyle w:val="Heading2"/>
      </w:pPr>
      <w:r>
        <w:t xml:space="preserve">2.3  ADAM Default Configuration</w:t>
      </w:r>
    </w:p>
    <w:p>
      <w:pPr>
        <w:spacing w:after="120"/>
      </w:pPr>
      <w:r>
        <w:t xml:space="preserve">The priority tier assignments below are ADAM's recommended defaults. Organisations customise these during DNA Questionnaire deployment to reflect their specific risk appetite, industry profile, and regulatory environment. All tier changes require Director approval and are version-controlled in the Flight Recorder.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1100"/>
        <w:gridCol w:w="4160"/>
      </w:tblGrid>
      <w:tr>
        <w:trPr>
          <w:tblHeader/>
        </w:trPr>
        <w:tc>
          <w:tcPr>
            <w:tcW w:type="dxa" w:w="2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Dimension</w:t>
            </w:r>
          </w:p>
        </w:tc>
        <w:tc>
          <w:tcPr>
            <w:tcW w:type="dxa" w:w="11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Priority Tier</w:t>
            </w:r>
          </w:p>
        </w:tc>
        <w:tc>
          <w:tcPr>
            <w:tcW w:type="dxa" w:w="8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Weight</w:t>
            </w:r>
          </w:p>
        </w:tc>
        <w:tc>
          <w:tcPr>
            <w:tcW w:type="dxa" w:w="11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Contribution</w:t>
            </w:r>
          </w:p>
        </w:tc>
        <w:tc>
          <w:tcPr>
            <w:tcW w:type="dxa" w:w="41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Default rationale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Impact (incl. QE + ACE in v3.4)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Top</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5.0</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20.83%</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 security breach undermines every other dimension simultaneously. Data exfiltration creates financial, regulatory, reputational, and sovereignty damage in a single event. Quantum exposure and AI-control attack exposure are part of the security risk surface.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Action</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16.67%</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Jurisdictional control is structural — once sovereignty is lost, it is expensive and slow to recover.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Financial Exposure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16.67%</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Money lost is money lost. Financial errors compound faster than any other risk category.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Regulatory Impact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12.50%</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Regulatory violations are expensive but generally bounded. Fines are finite; license revocations are survivable if caught early.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Reputational Risk</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12.50%</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Brand damage is real and painful but recoverable with transparent response.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Rights Certainty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12.50%</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IP and licensing errors create legal liability and partner trust erosion. Material risk, but typically catchable before irreversible damage.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Doctrinal Alignment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8.33%</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Internal alignment matters for governance coherence but rarely triggers external consequences directly.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Σ TOTAL</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24.0</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100.00%</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Auto-calculated from tier assignments.</w:t>
            </w:r>
          </w:p>
        </w:tc>
      </w:tr>
    </w:tbl>
    <w:p>
      <w:pPr>
        <w:pStyle w:val="Heading2"/>
      </w:pPr>
      <w:r>
        <w:t xml:space="preserve">2.4  Contribution Equalisation Property</w:t>
      </w:r>
    </w:p>
    <w:p>
      <w:pPr>
        <w:spacing w:after="120"/>
      </w:pPr>
      <w:r>
        <w:t xml:space="preserve">The Priority Tier system guarantees that dimensions at the same tier carry identical influence on the composite score. Top has one dimension at 20.83%; Very High has two at 16.67% each (33.33% combined); High has three at 12.50% each (37.50% combined); Medium has one at 8.33%.</w:t>
      </w:r>
    </w:p>
    <w:p>
      <w:pPr>
        <w:pStyle w:val="Heading1"/>
      </w:pPr>
      <w:r>
        <w:t xml:space="preserve">3.  The SOAP-to-OHSHAT Spectrum</w:t>
      </w:r>
    </w:p>
    <w:p>
      <w:pPr>
        <w:spacing w:after="120"/>
      </w:pPr>
      <w:r>
        <w:t xml:space="preserve">ADAM defines five escalation tiers. The naming convention is intentional — SOAP and OHSHAT are memorable because they need to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900"/>
        <w:gridCol w:w="2960"/>
        <w:gridCol w:w="1000"/>
      </w:tblGrid>
      <w:tr>
        <w:trPr>
          <w:tblHeader/>
        </w:trPr>
        <w:tc>
          <w:tcPr>
            <w:tcW w:type="dxa" w:w="1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Score range</w:t>
            </w:r>
          </w:p>
        </w:tc>
        <w:tc>
          <w:tcPr>
            <w:tcW w:type="dxa" w:w="13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Tier</w:t>
            </w:r>
          </w:p>
        </w:tc>
        <w:tc>
          <w:tcPr>
            <w:tcW w:type="dxa" w:w="29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Full name</w:t>
            </w:r>
          </w:p>
        </w:tc>
        <w:tc>
          <w:tcPr>
            <w:tcW w:type="dxa" w:w="29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Routing behavior</w:t>
            </w:r>
          </w:p>
        </w:tc>
        <w:tc>
          <w:tcPr>
            <w:tcW w:type="dxa" w:w="10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SLA</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0–10</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SOAP</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Safe &amp; Optimum Autonomous Performance</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Full autonomous execution. Minimal logging.</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11–30</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MODERATE</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Constrained Execution</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Autonomous with enhanced logging. Post-execution review.</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31–50</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ELEVATED</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Exception Likely</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Paused. Exception packet to Domain Governor.</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60 min</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51–75</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Director Review Required</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No execution without director approval.</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 hr</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76–100</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OHSHAT</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Operational Hell, Send Humans Act Today!</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CEO + all directors. Safe-mode. No exceptions.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15 min</w:t>
            </w:r>
          </w:p>
        </w:tc>
      </w:tr>
    </w:tbl>
    <w:p>
      <w:pPr>
        <w:pStyle w:val="Heading1"/>
      </w:pPr>
      <w:r>
        <w:t xml:space="preserve">4.  Composite Score Formula and Normalisation</w:t>
      </w:r>
    </w:p>
    <w:p>
      <w:pPr>
        <w:pStyle w:val="Heading2"/>
      </w:pPr>
      <w:r>
        <w:t xml:space="preserve">4.1  Weighted Average Formula</w:t>
      </w:r>
    </w:p>
    <w:p>
      <w:pPr>
        <w:spacing w:after="120"/>
      </w:pPr>
      <w:r>
        <w:t xml:space="preserve">The BOSS composite is a weighted average using numeric weights derived from Priority Tier assignments:</w:t>
      </w:r>
    </w:p>
    <w:p>
      <w:pPr>
        <w:spacing w:after="100" w:before="100"/>
        <w:ind w:left="720" w:right="720"/>
      </w:pPr>
      <w:r>
        <w:rPr>
          <w:i/>
          <w:iCs/>
          <w:color w:val="1F3A5F"/>
        </w:rPr>
        <w:t xml:space="preserve">C = (S_sec×5.0 + S_sov×4.0 + S_fin×4.0 + S_reg×3.0 + S_rep×3.0 + S_rights×3.0 + S_doc×2.0) / 24.0</w:t>
      </w:r>
    </w:p>
    <w:p>
      <w:pPr>
        <w:spacing w:after="120"/>
      </w:pPr>
      <w:r>
        <w:t xml:space="preserve">Where S_d is the individual dimension score (0–100) and the denominator (24.0) is the sum of all weights. This produces a normalised composite in the range [0, 100]. When organisations customise tier assignments via the DNA Questionnaire, the formula automatically adjusts.</w:t>
      </w:r>
    </w:p>
    <w:p>
      <w:pPr>
        <w:pStyle w:val="Heading2"/>
      </w:pPr>
      <w:r>
        <w:t xml:space="preserve">4.2  Critical Dimension Override</w:t>
      </w:r>
    </w:p>
    <w:p>
      <w:pPr>
        <w:spacing w:after="100" w:before="100"/>
        <w:ind w:left="720" w:right="720"/>
      </w:pPr>
      <w:r>
        <w:rPr>
          <w:i/>
          <w:iCs/>
          <w:color w:val="1F3A5F"/>
        </w:rPr>
        <w:t xml:space="preserve">If max(Score_d) &gt; 75: Composite = max(WeightedAverage, max(Score_d) − 10)</w:t>
      </w:r>
    </w:p>
    <w:p>
      <w:pPr>
        <w:spacing w:after="120"/>
      </w:pPr>
      <w:r>
        <w:t xml:space="preserve">A composite score can mask extreme risk in a single dimension. This override ensures that any individual dimension exceeding 75 forces the composite upward, preventing a catastrophically high-risk dimension from being averaged away by six benign ones. The 10-point reduction acknowledges mitigating context while guaranteeing escalation.</w:t>
      </w:r>
    </w:p>
    <w:p>
      <w:pPr>
        <w:pStyle w:val="Heading2"/>
      </w:pPr>
      <w:r>
        <w:t xml:space="preserve">4.3  Non-Idempotent Penalty</w:t>
      </w:r>
    </w:p>
    <w:p>
      <w:pPr>
        <w:spacing w:after="100" w:before="100"/>
        <w:ind w:left="720" w:right="720"/>
      </w:pPr>
      <w:r>
        <w:rPr>
          <w:i/>
          <w:iCs/>
          <w:color w:val="1F3A5F"/>
        </w:rPr>
        <w:t xml:space="preserve">If action.is_non_idempotent: Composite = Composite + 15</w:t>
      </w:r>
    </w:p>
    <w:p>
      <w:pPr>
        <w:spacing w:after="120"/>
      </w:pPr>
      <w:r>
        <w:t xml:space="preserve">ADAM treats idempotency as a first-class architectural principle. Non-idempotent actions — sending an email blast, executing a financial transaction, deleting production data, publishing content — produce permanent effects. The +15 penalty ensures irreversible actions escalate by at least one tier.</w:t>
      </w:r>
    </w:p>
    <w:p>
      <w:pPr>
        <w:pStyle w:val="Heading2"/>
      </w:pPr>
      <w:r>
        <w:t xml:space="preserve">4.4  Final Score</w:t>
      </w:r>
    </w:p>
    <w:p>
      <w:pPr>
        <w:spacing w:after="100" w:before="100"/>
        <w:ind w:left="720" w:right="720"/>
      </w:pPr>
      <w:r>
        <w:rPr>
          <w:i/>
          <w:iCs/>
          <w:color w:val="1F3A5F"/>
        </w:rPr>
        <w:t xml:space="preserve">Composite = min(Composite, 100)  [capped at 100]</w:t>
      </w:r>
    </w:p>
    <w:p>
      <w:pPr>
        <w:pStyle w:val="Heading1"/>
      </w:pPr>
      <w:r>
        <w:t xml:space="preserve">5.  Dimension Specifications</w:t>
      </w:r>
    </w:p>
    <w:p>
      <w:pPr>
        <w:spacing w:after="120"/>
      </w:pPr>
      <w:r>
        <w:t xml:space="preserve">All seven dimensions retain the v3.1 sub-component formulas, threshold tables, and scoring methodologies. The Priority Tier weighting in v3.2 is unchanged through v3.4. Sub-component scores within each dimension sum to 0–100 per dimension.</w:t>
      </w:r>
    </w:p>
    <w:p>
      <w:pPr>
        <w:pStyle w:val="Heading2"/>
      </w:pPr>
      <w:r>
        <w:t xml:space="preserve">5.1  Security Impact Score (Priority: Top, Weight: 5.0)</w:t>
      </w:r>
    </w:p>
    <w:p>
      <w:pPr>
        <w:spacing w:after="120"/>
      </w:pPr>
      <w:r>
        <w:t xml:space="preserve">Frameworks: NIST CSF 2.0, CVSS v4.0, MITRE ATT&amp;CK, OWASP AA01–AA10, NIST FIPS 203/204/205, CNSA 2.0.</w:t>
      </w:r>
    </w:p>
    <w:p>
      <w:pPr>
        <w:spacing w:after="120"/>
      </w:pPr>
      <w:r>
        <w:t xml:space="preserve">Sub-components and ranges:</w:t>
      </w:r>
    </w:p>
    <w:p>
      <w:pPr>
        <w:pStyle w:val="ListParagraph"/>
        <w:numPr>
          <w:ilvl w:val="0"/>
          <w:numId w:val="2"/>
        </w:numPr>
      </w:pPr>
      <w:r>
        <w:t xml:space="preserve">A — Attack Surface (CVSS v4.0): 0–35</w:t>
      </w:r>
    </w:p>
    <w:p>
      <w:pPr>
        <w:pStyle w:val="ListParagraph"/>
        <w:numPr>
          <w:ilvl w:val="0"/>
          <w:numId w:val="2"/>
        </w:numPr>
      </w:pPr>
      <w:r>
        <w:t xml:space="preserve">B — Control Maturity (NIST CSF 2.0): 0–25</w:t>
      </w:r>
    </w:p>
    <w:p>
      <w:pPr>
        <w:pStyle w:val="ListParagraph"/>
        <w:numPr>
          <w:ilvl w:val="0"/>
          <w:numId w:val="2"/>
        </w:numPr>
      </w:pPr>
      <w:r>
        <w:t xml:space="preserve">C — Threat Intelligence (MITRE ATT&amp;CK): 0–20</w:t>
      </w:r>
    </w:p>
    <w:p>
      <w:pPr>
        <w:pStyle w:val="ListParagraph"/>
        <w:numPr>
          <w:ilvl w:val="0"/>
          <w:numId w:val="2"/>
        </w:numPr>
      </w:pPr>
      <w:r>
        <w:t xml:space="preserve">D — AI-Specific Security (OWASP AA01–AA10): 0–20</w:t>
      </w:r>
    </w:p>
    <w:p>
      <w:pPr>
        <w:spacing w:after="120"/>
      </w:pPr>
      <w:r>
        <w:t xml:space="preserve">In v3.4, Dimension 1 also incorporates two additive sub-scores defined in §5.1.1 and §5.1.2 below. The classical sub-component aggregate (A + B + C + D, capped at 100) is denoted S_sec_classical. Dimension 1's final score is computed as:</w:t>
      </w:r>
    </w:p>
    <w:p>
      <w:pPr>
        <w:spacing w:after="100" w:before="100"/>
        <w:ind w:left="720" w:right="720"/>
      </w:pPr>
      <w:r>
        <w:rPr>
          <w:i/>
          <w:iCs/>
          <w:color w:val="1F3A5F"/>
        </w:rPr>
        <w:t xml:space="preserve">S_sec = clamp( S_sec_classical + QE + ACE , 0, 100 )</w:t>
      </w:r>
    </w:p>
    <w:p>
      <w:pPr>
        <w:spacing w:after="120"/>
      </w:pPr>
      <w:r>
        <w:t xml:space="preserve">Contribution to composite: 20.83%. As the sole Top dimension, Security Impact has the highest individual influence.</w:t>
      </w:r>
    </w:p>
    <w:p>
      <w:pPr>
        <w:pStyle w:val="Heading3"/>
      </w:pPr>
      <w:r>
        <w:t xml:space="preserve">5.1.1  Quantum Exposure (QE) sub-score</w:t>
      </w:r>
    </w:p>
    <w:p>
      <w:pPr>
        <w:spacing w:after="120"/>
      </w:pPr>
      <w:r>
        <w:t xml:space="preserve">Definition. Quantum Exposure is the probability, expressed on a 0–25 scale, that the cryptographic primitives protecting an action's data or authority would be compromised by a CRQC within the action's residual retention window. QE measures Harvest-Now-Decrypt-Later (HNDL) risk plus algorithm-class risk plus key-tier criticality.</w:t>
      </w:r>
    </w:p>
    <w:p>
      <w:pPr>
        <w:spacing w:after="120"/>
      </w:pPr>
      <w: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Input</w:t>
            </w:r>
          </w:p>
        </w:tc>
        <w:tc>
          <w:tcPr>
            <w:tcW w:type="dxa" w:w="45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Source</w:t>
            </w:r>
          </w:p>
        </w:tc>
        <w:tc>
          <w:tcPr>
            <w:tcW w:type="dxa" w:w="24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Range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Algorithm class (alg_class)</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Crypto-agility envelope alg_id</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classical / hybrid / pure-PQC</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Retention class (retention_yrs)</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Action metadata; defaults to data classification</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 / 1 / 7 / &gt;7 years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HNDL exposure (hndl)</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Whether the data crosses untrusted networks or is harvestable by a passive attacker</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0..1</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Key tier (key_tier)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T0–T6 from CAV hierarchy</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T0..T6</w:t>
            </w:r>
          </w:p>
        </w:tc>
      </w:tr>
    </w:tbl>
    <w:p>
      <w:pPr>
        <w:spacing w:after="120"/>
      </w:pPr>
      <w:r>
        <w:t xml:space="preserve">Computation.</w:t>
      </w:r>
    </w:p>
    <w:p>
      <w:pPr>
        <w:spacing w:after="100" w:before="100"/>
        <w:ind w:left="720" w:right="720"/>
      </w:pPr>
      <w:r>
        <w:rPr>
          <w:i/>
          <w:iCs/>
          <w:color w:val="1F3A5F"/>
        </w:rPr>
        <w:t xml:space="preserve">QE_raw = ALG(alg_class) + RET(retention_yrs) + HND(hndl) + KEY(key_tier)</w:t>
      </w:r>
    </w:p>
    <w:p>
      <w:pPr>
        <w:spacing w:after="100" w:before="100"/>
        <w:ind w:left="720" w:right="720"/>
      </w:pPr>
      <w:r>
        <w:rPr>
          <w:i/>
          <w:iCs/>
          <w:color w:val="1F3A5F"/>
        </w:rPr>
        <w:t xml:space="preserve">QE = clamp(QE_raw, 0, 25)</w:t>
      </w:r>
    </w:p>
    <w:p>
      <w:pPr>
        <w:spacing w:after="120"/>
      </w:pPr>
      <w:r>
        <w:t xml:space="preserve">Coefficient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Term</w:t>
            </w:r>
          </w:p>
        </w:tc>
        <w:tc>
          <w:tcPr>
            <w:tcW w:type="dxa" w:w="69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Value table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ALG(alg_class)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classical = 12; hybrid = 4; pure-PQC = 1</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RET(retention_yrs)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 = 0; 1 = 2; 7 = 5; &gt;7 = 8</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HND(hndl)</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 = 0; 1 = 5</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KEY(key_tier)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T6 = 0; T5 = 1; T4 = 2; T3 = 3; T2 = 4; T1 = 5; T0 = 6</w:t>
            </w:r>
          </w:p>
        </w:tc>
      </w:tr>
    </w:tbl>
    <w:p>
      <w:pPr>
        <w:spacing w:after="120"/>
      </w:pPr>
      <w:r>
        <w:t xml:space="preserve">Worked QE values.</w:t>
      </w:r>
    </w:p>
    <w:p>
      <w:pPr>
        <w:pStyle w:val="ListParagraph"/>
        <w:numPr>
          <w:ilvl w:val="0"/>
          <w:numId w:val="2"/>
        </w:numPr>
      </w:pPr>
      <w:r>
        <w:t xml:space="preserve">(a) T2 Director Decision Receipt signed under classical Ed25519 only, 7-year retention, traversing the public internet (hndl = 1): QE_raw = 12 + 5 + 5 + 4 = 26 → QE = clamp(26,0,25) = 25.</w:t>
      </w:r>
    </w:p>
    <w:p>
      <w:pPr>
        <w:pStyle w:val="ListParagraph"/>
        <w:numPr>
          <w:ilvl w:val="0"/>
          <w:numId w:val="2"/>
        </w:numPr>
      </w:pPr>
      <w:r>
        <w:t xml:space="preserve">(b) Same Receipt under hybrid Ed25519+ML-DSA-65 (adam-suite-2026.04 default): QE_raw = 4 + 5 + 5 + 4 = 18 → QE = 18.</w:t>
      </w:r>
    </w:p>
    <w:p>
      <w:pPr>
        <w:pStyle w:val="ListParagraph"/>
        <w:numPr>
          <w:ilvl w:val="0"/>
          <w:numId w:val="2"/>
        </w:numPr>
      </w:pPr>
      <w:r>
        <w:t xml:space="preserve">(c) Hybrid + private mesh (hndl = 0): QE = 4 + 5 + 0 + 4 = 13.</w:t>
      </w:r>
    </w:p>
    <w:p>
      <w:pPr>
        <w:pStyle w:val="ListParagraph"/>
        <w:numPr>
          <w:ilvl w:val="0"/>
          <w:numId w:val="2"/>
        </w:numPr>
      </w:pPr>
      <w:r>
        <w:t xml:space="preserve">(d) Hybrid + private mesh + 1-yr retention: QE = 4 + 2 + 0 + 4 = 10.</w:t>
      </w:r>
    </w:p>
    <w:p>
      <w:pPr>
        <w:pStyle w:val="Heading3"/>
      </w:pPr>
      <w:r>
        <w:t xml:space="preserve">5.1.2  AI-Control Attack Exposure (ACE) sub-score</w:t>
      </w:r>
    </w:p>
    <w:p>
      <w:pPr>
        <w:spacing w:after="120"/>
      </w:pPr>
      <w:r>
        <w:t xml:space="preserve">Definition. ACE is the likelihood, on a 0–25 scale, that an action sits on a known AI-control attack path given prior 90 days of telemetry. ACE captures prompt injection, tool poisoning, agent hijack, memory poisoning, model supply-chain, policy bypass, evidence tampering, doctrine drift exploitation, and cryptographic downgrade attempts.</w:t>
      </w:r>
    </w:p>
    <w:p>
      <w:pPr>
        <w:spacing w:after="120"/>
      </w:pPr>
      <w: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00"/>
        <w:gridCol w:w="1460"/>
      </w:tblGrid>
      <w:tr>
        <w:trPr>
          <w:tblHeader/>
        </w:trPr>
        <w:tc>
          <w:tcPr>
            <w:tcW w:type="dxa" w:w="24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Input</w:t>
            </w:r>
          </w:p>
        </w:tc>
        <w:tc>
          <w:tcPr>
            <w:tcW w:type="dxa" w:w="55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Source</w:t>
            </w:r>
          </w:p>
        </w:tc>
        <w:tc>
          <w:tcPr>
            <w:tcW w:type="dxa" w:w="14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Range (good direction)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Prompt-injection detector score (pi)</w:t>
            </w:r>
          </w:p>
        </w:tc>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Explain-Back agent's adversarial probe outcome on the proposed plan</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0..1 (good = 1, no injection)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Tool-provenance score (tp)</w:t>
            </w:r>
          </w:p>
        </w:tc>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Fraction of called tools whose registry signatures verify and whose 90-day deviation is ≤ baseline</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0..1 (good = 1)</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Memory-source trust (ms)</w:t>
            </w:r>
          </w:p>
        </w:tc>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Fraction of retrieval-corpus chunks with valid provenance and no recent ingestion anomaly</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0..1 (good = 1)</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Model attestation freshness (ma)</w:t>
            </w:r>
          </w:p>
        </w:tc>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Hours since last MBOM verification</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0..168 (good = 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identity fingerprint deviation (af)</w:t>
            </w:r>
          </w:p>
        </w:tc>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Behavioural drift of the calling agent vs its 90-day baseline (DNS, syscall, latency, peer set)</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0..1 (good = 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Drift Sentinel proximity (ds)</w:t>
            </w:r>
          </w:p>
        </w:tc>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Distance of the action's policy context from doctrine baseline; 0 = aligned, 1 = drifted</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0..1 (good = 0)</w:t>
            </w:r>
          </w:p>
        </w:tc>
      </w:tr>
    </w:tbl>
    <w:p>
      <w:pPr>
        <w:spacing w:after="120"/>
      </w:pPr>
      <w:r>
        <w:t xml:space="preserve">Computation.</w:t>
      </w:r>
    </w:p>
    <w:p>
      <w:pPr>
        <w:spacing w:after="100" w:before="100"/>
        <w:ind w:left="720" w:right="720"/>
      </w:pPr>
      <w:r>
        <w:rPr>
          <w:i/>
          <w:iCs/>
          <w:color w:val="1F3A5F"/>
        </w:rPr>
        <w:t xml:space="preserve">ACE_raw = 5·(1−pi) + 4·(1−tp) + 4·(1−ms) + 4·F(ma) + 4·af + 4·ds</w:t>
      </w:r>
    </w:p>
    <w:p>
      <w:pPr>
        <w:spacing w:after="100" w:before="100"/>
        <w:ind w:left="720" w:right="720"/>
      </w:pPr>
      <w:r>
        <w:rPr>
          <w:i/>
          <w:iCs/>
          <w:color w:val="1F3A5F"/>
        </w:rPr>
        <w:t xml:space="preserve">F(ma) = min(1, ma / 24)        # attestation older than 24 h costs the full 4 points</w:t>
      </w:r>
    </w:p>
    <w:p>
      <w:pPr>
        <w:spacing w:after="100" w:before="100"/>
        <w:ind w:left="720" w:right="720"/>
      </w:pPr>
      <w:r>
        <w:rPr>
          <w:i/>
          <w:iCs/>
          <w:color w:val="1F3A5F"/>
        </w:rPr>
        <w:t xml:space="preserve">ACE = clamp(ACE_raw, 0, 25)</w:t>
      </w:r>
    </w:p>
    <w:p>
      <w:pPr>
        <w:spacing w:after="120"/>
      </w:pPr>
      <w:r>
        <w:t xml:space="preserve">Worked ACE values.</w:t>
      </w:r>
    </w:p>
    <w:p>
      <w:pPr>
        <w:pStyle w:val="ListParagraph"/>
        <w:numPr>
          <w:ilvl w:val="0"/>
          <w:numId w:val="2"/>
        </w:numPr>
      </w:pPr>
      <w:r>
        <w:t xml:space="preserve">(a) Clean posture: pi = 0; tp = 1; ms = 1; ma = 2 hours → F = 0.083; af = 0; ds = 0.2. ACE_raw = 5·1 + 0 + 0 + 4·0.083 + 0 + 4·0.2 = 5 + 0.33 + 0.8 = 6.13 → ACE = 6.</w:t>
      </w:r>
    </w:p>
    <w:p>
      <w:pPr>
        <w:pStyle w:val="ListParagraph"/>
        <w:numPr>
          <w:ilvl w:val="0"/>
          <w:numId w:val="2"/>
        </w:numPr>
      </w:pPr>
      <w:r>
        <w:t xml:space="preserve">(b) Pathological posture: pi = 1 (injection detected); tp = 0.4; ms = 0.5; ma = 200; af = 0.7; ds = 0.6. ACE_raw = 5·0 + 4·0.6 + 4·0.5 + 4·1 + 4·0.7 + 4·0.6 = 0 + 2.4 + 2 + 4 + 2.8 + 2.4 = 13.6 → ACE = 14.</w:t>
      </w:r>
    </w:p>
    <w:p>
      <w:pPr>
        <w:pStyle w:val="Heading2"/>
      </w:pPr>
      <w:r>
        <w:t xml:space="preserve">5.2  Sovereignty Action Score (Priority: Very High, Weight: 4.0)</w:t>
      </w:r>
    </w:p>
    <w:p>
      <w:pPr>
        <w:spacing w:after="120"/>
      </w:pPr>
      <w:r>
        <w:t xml:space="preserve">Frameworks: SEAL (EU Cloud Sovereignty Framework) + Eurotechguide Sovereignty Index.</w:t>
      </w:r>
    </w:p>
    <w:p>
      <w:pPr>
        <w:spacing w:after="120"/>
      </w:pPr>
      <w:r>
        <w:t xml:space="preserve">Eight SEAL objectives (SOV-1 through SOV-8) scored 0–4, converted to 0–100, weighted, inverted for risk scale. Critical violation floor at 60 for fundamental objectives at SEAL ≤ 1. Contribution to composite: 16.67% (equal to Financial Exposure).</w:t>
      </w:r>
    </w:p>
    <w:p>
      <w:pPr>
        <w:pStyle w:val="Heading2"/>
      </w:pPr>
      <w:r>
        <w:t xml:space="preserve">5.3  Financial Exposure Score (Priority: Very High, Weight: 4.0)</w:t>
      </w:r>
    </w:p>
    <w:p>
      <w:pPr>
        <w:spacing w:after="120"/>
      </w:pPr>
      <w:r>
        <w:t xml:space="preserve">Frameworks: FAIR (Factor Analysis of Information Risk) + COSO ERM.</w:t>
      </w:r>
    </w:p>
    <w:p>
      <w:pPr>
        <w:spacing w:after="120"/>
      </w:pPr>
      <w:r>
        <w:t xml:space="preserve">Sub-components: A — Action Monetary Value (0–30); B — Cumulative Budget Exposure (0–25); C — Loss Magnitude Estimate (0–25); D — Cascading Financial Risk (0–20). Contribution to composite: 16.67%.</w:t>
      </w:r>
    </w:p>
    <w:p>
      <w:pPr>
        <w:pStyle w:val="Heading2"/>
      </w:pPr>
      <w:r>
        <w:t xml:space="preserve">5.4  Regulatory Impact Score (Priority: High, Weight: 3.0)</w:t>
      </w:r>
    </w:p>
    <w:p>
      <w:pPr>
        <w:spacing w:after="120"/>
      </w:pPr>
      <w:r>
        <w:t xml:space="preserve">Frameworks: EU AI Act + GRC Compliance Scoring (extended in v3.4 with DORA RTS, NIS2, CMMC 2.0, ISO/IEC 42001 alignment captured in the controls-to-obligations crosswalk).</w:t>
      </w:r>
    </w:p>
    <w:p>
      <w:pPr>
        <w:spacing w:after="120"/>
      </w:pPr>
      <w:r>
        <w:t xml:space="preserve">Sub-components: A — AI Act Risk Classification (0–40); B — Jurisdictional Compliance Gap (0–25); C — Fundamental Rights Impact (0–20); D — Documentation Completeness (0–10); E — Cross-Border Complexity (0–5). Contribution: 12.50%.</w:t>
      </w:r>
    </w:p>
    <w:p>
      <w:pPr>
        <w:pStyle w:val="Heading2"/>
      </w:pPr>
      <w:r>
        <w:t xml:space="preserve">5.5  Reputational Risk Score (Priority: High, Weight: 3.0)</w:t>
      </w:r>
    </w:p>
    <w:p>
      <w:pPr>
        <w:spacing w:after="120"/>
      </w:pPr>
      <w:r>
        <w:t xml:space="preserve">Frameworks: RepRisk RRI + RepTrak ESG.</w:t>
      </w:r>
    </w:p>
    <w:p>
      <w:pPr>
        <w:spacing w:after="120"/>
      </w:pPr>
      <w:r>
        <w:t xml:space="preserve">Sub-components: A — ESG Category Exposure (0–30); B — Source Reach &amp; Amplification (0–25); C — Stakeholder Concern Level (0–25); D — Precedent &amp; Novelty (0–20). Contribution: 12.50%.</w:t>
      </w:r>
    </w:p>
    <w:p>
      <w:pPr>
        <w:pStyle w:val="Heading2"/>
      </w:pPr>
      <w:r>
        <w:t xml:space="preserve">5.6  Rights Certainty Score (Priority: High, Weight: 3.0)</w:t>
      </w:r>
    </w:p>
    <w:p>
      <w:pPr>
        <w:spacing w:after="120"/>
      </w:pPr>
      <w:r>
        <w:t xml:space="preserve">Frameworks: ISO 31000 + NIST AI RMF + WIPO + Creative Commons.</w:t>
      </w:r>
    </w:p>
    <w:p>
      <w:pPr>
        <w:spacing w:after="120"/>
      </w:pPr>
      <w:r>
        <w:t xml:space="preserve">Sub-components: A — Authorisation Chain Verification (0–30); B — Ownership &amp; IP Verification (0–30); C — Entitlement Trustworthiness (0–20); D — Conflict &amp; Ambiguity Assessment (0–20). Contribution: 12.50%.</w:t>
      </w:r>
    </w:p>
    <w:p>
      <w:pPr>
        <w:pStyle w:val="Heading2"/>
      </w:pPr>
      <w:r>
        <w:t xml:space="preserve">5.7  Doctrinal Alignment Score (Priority: Medium, Weight: 2.0)</w:t>
      </w:r>
    </w:p>
    <w:p>
      <w:pPr>
        <w:spacing w:after="120"/>
      </w:pPr>
      <w:r>
        <w:t xml:space="preserve">Frameworks: COSO ERM Governance + ADAM CORE Engine.</w:t>
      </w:r>
    </w:p>
    <w:p>
      <w:pPr>
        <w:spacing w:after="120"/>
      </w:pPr>
      <w:r>
        <w:t xml:space="preserve">Sub-components: A — Culture Alignment (0–25); B — Objective Alignment (0–25); C — Rules Compliance (0–30); D — Expectations Conformity (0–20). Contribution: 8.33%. Sole Medium dimension; lowest individual influence.</w:t>
      </w:r>
    </w:p>
    <w:p>
      <w:r>
        <w:br w:type="page"/>
      </w:r>
    </w:p>
    <w:p>
      <w:pPr>
        <w:pStyle w:val="Heading1"/>
      </w:pPr>
      <w:r>
        <w:t xml:space="preserve">6.  Worked Example: NetStreamX Content Licensing</w:t>
      </w:r>
    </w:p>
    <w:p>
      <w:pPr>
        <w:spacing w:after="120"/>
      </w:pPr>
      <w:r>
        <w:t xml:space="preserve">Canonical scenario carried forward unchanged from v3.2: NetStreamX Content Acquisition agent proposes a $250,000 payment for exclusive EU streaming rights. Dimension scores are the v3.2 anchor values; the composite calculation uses the v3.2 Priority Tier weights. v3.4 replays the example with QE and ACE feeding Dimension 1.</w:t>
      </w:r>
    </w:p>
    <w:p>
      <w:pPr>
        <w:pStyle w:val="Heading2"/>
      </w:pPr>
      <w:r>
        <w:t xml:space="preserve">6.1  Dimension Scores (v3.2 anchor;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000"/>
        <w:gridCol w:w="1500"/>
        <w:gridCol w:w="2760"/>
      </w:tblGrid>
      <w:tr>
        <w:trPr>
          <w:tblHeader/>
        </w:trPr>
        <w:tc>
          <w:tcPr>
            <w:tcW w:type="dxa" w:w="24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Dimension</w:t>
            </w:r>
          </w:p>
        </w:tc>
        <w:tc>
          <w:tcPr>
            <w:tcW w:type="dxa" w:w="17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Priority Tier</w:t>
            </w:r>
          </w:p>
        </w:tc>
        <w:tc>
          <w:tcPr>
            <w:tcW w:type="dxa" w:w="10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Weight</w:t>
            </w:r>
          </w:p>
        </w:tc>
        <w:tc>
          <w:tcPr>
            <w:tcW w:type="dxa" w:w="15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Raw Score</w:t>
            </w:r>
          </w:p>
        </w:tc>
        <w:tc>
          <w:tcPr>
            <w:tcW w:type="dxa" w:w="27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Weighted Contribution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Impact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Top</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12</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12 × 5.0 = 60.0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Action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22</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22 × 4.0 = 88.0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Financial Exposure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47.1</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47.1 × 4.0 = 188.4</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Regulatory Impact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18</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18 × 3.0 = 54.0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Reputational Risk</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8</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8 × 3.0 = 24.0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Rights Certainty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15</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15 × 3.0 = 45.0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Doctrinal Alignment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 × 2.0 = 10.0</w:t>
            </w:r>
          </w:p>
        </w:tc>
      </w:tr>
    </w:tbl>
    <w:p>
      <w:pPr>
        <w:pStyle w:val="Heading2"/>
      </w:pPr>
      <w:r>
        <w:t xml:space="preserve">6.2  Composite Calculation (v3.2 anchor preserved)</w:t>
      </w:r>
    </w:p>
    <w:p>
      <w:pPr>
        <w:spacing w:after="100" w:before="100"/>
        <w:ind w:left="720" w:right="720"/>
      </w:pPr>
      <w:r>
        <w:rPr>
          <w:i/>
          <w:iCs/>
          <w:color w:val="1F3A5F"/>
        </w:rPr>
        <w:t xml:space="preserve">Weighted Sum = 60.0 + 88.0 + 188.4 + 54.0 + 24.0 + 45.0 + 10.0 = 469.4</w:t>
      </w:r>
    </w:p>
    <w:p>
      <w:pPr>
        <w:spacing w:after="100" w:before="100"/>
        <w:ind w:left="720" w:right="720"/>
      </w:pPr>
      <w:r>
        <w:rPr>
          <w:i/>
          <w:iCs/>
          <w:color w:val="1F3A5F"/>
        </w:rPr>
        <w:t xml:space="preserve">Composite = 469.4 / 24.0 = 19.56</w:t>
      </w:r>
    </w:p>
    <w:p>
      <w:pPr>
        <w:spacing w:after="120"/>
      </w:pPr>
      <w:r>
        <w:t xml:space="preserve">Critical Dimension Override: max(Score_d) = 47.1 (Financial Exposure) &lt; 75 → No override.</w:t>
      </w:r>
    </w:p>
    <w:p>
      <w:pPr>
        <w:spacing w:after="120"/>
      </w:pPr>
      <w:r>
        <w:t xml:space="preserve">Non-Idempotent Penalty: financial transaction is non-idempotent → +15.</w:t>
      </w:r>
    </w:p>
    <w:p>
      <w:pPr>
        <w:spacing w:after="100" w:before="100"/>
        <w:ind w:left="720" w:right="720"/>
      </w:pPr>
      <w:r>
        <w:rPr>
          <w:i/>
          <w:iCs/>
          <w:color w:val="1F3A5F"/>
        </w:rPr>
        <w:t xml:space="preserve">Final Composite = 19.56 + 15 = 34.56 → ELEVATED tier</w:t>
      </w:r>
    </w:p>
    <w:p>
      <w:pPr>
        <w:spacing w:after="120"/>
      </w:pPr>
      <w:r>
        <w:t xml:space="preserve">Result: exception packet generated. Finance Governor and CFO review. The Non-Idempotent Penalty pushed this from MODERATE (19.56) to ELEVATED (34.56) — exactly the kind of escalation that prevents a $250K irreversible commitment from proceeding without human review.</w:t>
      </w:r>
    </w:p>
    <w:p>
      <w:pPr>
        <w:pStyle w:val="Heading2"/>
      </w:pPr>
      <w:r>
        <w:t xml:space="preserve">6.3  v3.4 replay with QE and ACE feed</w:t>
      </w:r>
    </w:p>
    <w:p>
      <w:pPr>
        <w:spacing w:after="120"/>
      </w:pPr>
      <w:r>
        <w:t xml:space="preserve">Inputs for the same NetStreamX action under v3.4 with the canonical adam-suite-2026.04 defaults:</w:t>
      </w:r>
    </w:p>
    <w:p>
      <w:pPr>
        <w:pStyle w:val="ListParagraph"/>
        <w:numPr>
          <w:ilvl w:val="0"/>
          <w:numId w:val="2"/>
        </w:numPr>
      </w:pPr>
      <w:r>
        <w:rPr>
          <w:b/>
          <w:bCs/>
        </w:rPr>
        <w:t xml:space="preserve">S_sec_classical = </w:t>
      </w:r>
      <w:r>
        <w:t xml:space="preserve">12 (the v3.2 Dimension 1 raw score)</w:t>
      </w:r>
    </w:p>
    <w:p>
      <w:pPr>
        <w:pStyle w:val="ListParagraph"/>
        <w:numPr>
          <w:ilvl w:val="0"/>
          <w:numId w:val="2"/>
        </w:numPr>
      </w:pPr>
      <w:r>
        <w:rPr>
          <w:b/>
          <w:bCs/>
        </w:rPr>
        <w:t xml:space="preserve">QE inputs: </w:t>
      </w:r>
      <w:r>
        <w:t xml:space="preserve">alg_class = hybrid, retention_yrs = 7, hndl = 0, key_tier = T2 → QE = 4 + 5 + 0 + 4 = 13</w:t>
      </w:r>
    </w:p>
    <w:p>
      <w:pPr>
        <w:pStyle w:val="ListParagraph"/>
        <w:numPr>
          <w:ilvl w:val="0"/>
          <w:numId w:val="2"/>
        </w:numPr>
      </w:pPr>
      <w:r>
        <w:rPr>
          <w:b/>
          <w:bCs/>
        </w:rPr>
        <w:t xml:space="preserve">ACE inputs: </w:t>
      </w:r>
      <w:r>
        <w:t xml:space="preserve">pi = 0, tp = 1, ms = 1, ma = 2 hours, af = 0, ds = 0.2 → ACE = 6</w:t>
      </w:r>
    </w:p>
    <w:p>
      <w:pPr>
        <w:pStyle w:val="ListParagraph"/>
        <w:numPr>
          <w:ilvl w:val="0"/>
          <w:numId w:val="2"/>
        </w:numPr>
      </w:pPr>
      <w:r>
        <w:rPr>
          <w:b/>
          <w:bCs/>
        </w:rPr>
        <w:t xml:space="preserve">S_sec (v3.4) = </w:t>
      </w:r>
      <w:r>
        <w:t xml:space="preserve">clamp(12 + 13 + 6, 0, 100) = 31</w:t>
      </w:r>
    </w:p>
    <w:p>
      <w:pPr>
        <w:spacing w:after="120"/>
      </w:pPr>
      <w:r>
        <w:t xml:space="preserve">Other dimensions unchanged (Sov 22, Fin 47.1, Reg 18, Rep 8, Rights 15, Doc 5).</w:t>
      </w:r>
    </w:p>
    <w:p>
      <w:pPr>
        <w:spacing w:after="120"/>
      </w:pPr>
      <w:r>
        <w:t xml:space="preserve">Weighted Sum = 31×5 + 22×4 + 47.1×4 + 18×3 + 8×3 + 15×3 + 5×2 = 155 + 88 + 188.4 + 54 + 24 + 45 + 10 = 564.4.</w:t>
      </w:r>
    </w:p>
    <w:p>
      <w:pPr>
        <w:spacing w:after="120"/>
      </w:pPr>
      <w:r>
        <w:t xml:space="preserve">Composite = 564.4 / 24.0 = 23.52.</w:t>
      </w:r>
    </w:p>
    <w:p>
      <w:pPr>
        <w:spacing w:after="120"/>
      </w:pPr>
      <w:r>
        <w:t xml:space="preserve">Critical Dimension Override: max(Score_d) = 47.1 &lt; 75 → No override.</w:t>
      </w:r>
    </w:p>
    <w:p>
      <w:pPr>
        <w:spacing w:after="120"/>
      </w:pPr>
      <w:r>
        <w:t xml:space="preserve">Non-Idempotent Penalty: +15.</w:t>
      </w:r>
    </w:p>
    <w:p>
      <w:pPr>
        <w:spacing w:after="100" w:before="100"/>
        <w:ind w:left="720" w:right="720"/>
      </w:pPr>
      <w:r>
        <w:rPr>
          <w:i/>
          <w:iCs/>
          <w:color w:val="1F3A5F"/>
        </w:rPr>
        <w:t xml:space="preserve">Final Composite (v3.4 with crypto-agile + clean posture) = 23.52 + 15 = 38.52 → ELEVATED tier</w:t>
      </w:r>
    </w:p>
    <w:p>
      <w:pPr>
        <w:spacing w:after="120"/>
      </w:pPr>
      <w:r>
        <w:t xml:space="preserve">v3.4 raises the example from 34.56 (v3.2) to 38.52 (v3.4 with crypto-agile + clean ACE). Both fall in the ELEVATED band. The increase reflects that even a clean crypto and AI-control posture carries a non-zero residual exposure at 7-year retention with a Director-tier key — exactly the kind of escalation pressure ADAM intends QE and ACE to apply.</w:t>
      </w:r>
    </w:p>
    <w:p>
      <w:pPr>
        <w:pStyle w:val="Heading2"/>
      </w:pPr>
      <w:r>
        <w:t xml:space="preserve">6.4  Degraded-posture replay</w:t>
      </w:r>
    </w:p>
    <w:p>
      <w:pPr>
        <w:spacing w:after="120"/>
      </w:pPr>
      <w:r>
        <w:t xml:space="preserve">Same scenario, classical-only signatures, hndl = 1, stale model attestation (ma = 200), pi = 0.6, tp = 0.5, ms = 0.6, af = 0.4, ds = 0.6:</w:t>
      </w:r>
    </w:p>
    <w:p>
      <w:pPr>
        <w:spacing w:after="120"/>
      </w:pPr>
      <w:r>
        <w:t xml:space="preserve">QE = clamp(12 + 5 + 5 + 4, 0, 25) = 25.</w:t>
      </w:r>
    </w:p>
    <w:p>
      <w:pPr>
        <w:spacing w:after="120"/>
      </w:pPr>
      <w:r>
        <w:t xml:space="preserve">ACE_raw = 5·0.4 + 4·0.5 + 4·0.4 + 4·1 + 4·0.7 + 4·0.6 = 2 + 2 + 1.6 + 4 + 2.8 + 2.4 = 14.8 → ACE = 15.</w:t>
      </w:r>
    </w:p>
    <w:p>
      <w:pPr>
        <w:spacing w:after="120"/>
      </w:pPr>
      <w:r>
        <w:t xml:space="preserve">S_sec = clamp(12 + 25 + 15, 0, 100) = 52.</w:t>
      </w:r>
    </w:p>
    <w:p>
      <w:pPr>
        <w:spacing w:after="120"/>
      </w:pPr>
      <w:r>
        <w:t xml:space="preserve">Weighted Sum = 52×5 + 22×4 + 47.1×4 + 18×3 + 8×3 + 15×3 + 5×2 = 260 + 88 + 188.4 + 54 + 24 + 45 + 10 = 669.4.</w:t>
      </w:r>
    </w:p>
    <w:p>
      <w:pPr>
        <w:spacing w:after="120"/>
      </w:pPr>
      <w:r>
        <w:t xml:space="preserve">Composite = 669.4 / 24.0 = 27.89; Non-Idempotent +15 → 42.89 → ELEVATED but materially closer to HIGH.</w:t>
      </w:r>
    </w:p>
    <w:p>
      <w:pPr>
        <w:spacing w:after="120"/>
      </w:pPr>
      <w:r>
        <w:t xml:space="preserve">Combine with non-idempotent and any further classical Dimension 1 contribution above 23 and the action crosses 51 into HIGH (Director Review Required) — the intended escalation behaviour.</w:t>
      </w:r>
    </w:p>
    <w:p>
      <w:r>
        <w:br w:type="page"/>
      </w:r>
    </w:p>
    <w:p>
      <w:pPr>
        <w:pStyle w:val="Heading1"/>
      </w:pPr>
      <w:r>
        <w:t xml:space="preserve">7.  Telemetry Contract — BOSS Engine v3.4 Inputs</w:t>
      </w:r>
    </w:p>
    <w:p>
      <w:pPr>
        <w:spacing w:after="120"/>
      </w:pPr>
      <w:r>
        <w:t xml:space="preserve">BOSS Engine v3.4 expects the following additional fields in every Intent Object scoring request to compute QE and ACE. Fields are optional; if absent, defaults are used (alg_class = hybrid, retention_yrs = 7, hndl = 0, key_tier = T4, pi = 0, tp = 1, ms = 1, ma = 0, af = 0, ds = 0). Under defaults, an Intent Object scores within ±0.5 absolute composite of v3.2/v3.3.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3000"/>
        <w:gridCol w:w="1460"/>
      </w:tblGrid>
      <w:tr>
        <w:trPr>
          <w:tblHeader/>
        </w:trPr>
        <w:tc>
          <w:tcPr>
            <w:tcW w:type="dxa" w:w="30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Field</w:t>
            </w:r>
          </w:p>
        </w:tc>
        <w:tc>
          <w:tcPr>
            <w:tcW w:type="dxa" w:w="19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Type</w:t>
            </w:r>
          </w:p>
        </w:tc>
        <w:tc>
          <w:tcPr>
            <w:tcW w:type="dxa" w:w="30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Source</w:t>
            </w:r>
          </w:p>
        </w:tc>
        <w:tc>
          <w:tcPr>
            <w:tcW w:type="dxa" w:w="14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Default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intent.crypto.alg_class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enum classical|hybrid|pure-pqc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Crypto-agility envelope</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hybrid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intent.crypto.retention_yrs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integer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Data classification × Flight Recorder retention</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7</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intent.crypto.hndl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0..1 float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Network plane (egress flag, peer trust)</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intent.crypto.key_tier</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T0..T6</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CAV resolution</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T4</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intent.ai.pi</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0..1 float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Explain-Back probe</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intent.ai.tp</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0..1 float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Signed MCP registry verification</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intent.ai.ms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0..1 float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Memory provenance check</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intent.ai.ma</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integer hours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MBOM verification freshness</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intent.ai.af</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0..1 float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fingerprint deviation</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intent.ai.ds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0..1 float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Drift Sentinel proximity</w:t>
            </w:r>
          </w:p>
        </w:tc>
        <w:tc>
          <w:tcPr>
            <w:tcW w:type="dxa" w:w="1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w:t>
            </w:r>
          </w:p>
        </w:tc>
      </w:tr>
    </w:tbl>
    <w:p>
      <w:pPr>
        <w:pStyle w:val="Heading1"/>
      </w:pPr>
      <w:r>
        <w:t xml:space="preserve">8.  Reference Rego Pseudo-code</w:t>
      </w:r>
    </w:p>
    <w:p>
      <w:pPr>
        <w:spacing w:after="120"/>
      </w:pPr>
      <w:r>
        <w:t xml:space="preserve">Indicative; the full Rego module ships in the BOSS Engine package and is preflight-validated per OPA Rego Authoring Standards (import rego.v1; --v1-compatible).</w:t>
      </w:r>
    </w:p>
    <w:p>
      <w:pPr>
        <w:spacing w:after="120"/>
      </w:pPr>
      <w:r>
        <w:t xml:space="preserve">package boss.dimensions.security</w:t>
      </w:r>
    </w:p>
    <w:p>
      <w:pPr>
        <w:spacing w:after="120"/>
      </w:pPr>
      <w:r>
        <w:t xml:space="preserve">import rego.v1</w:t>
      </w:r>
    </w:p>
    <w:p>
      <w:pPr>
        <w:spacing w:after="120"/>
      </w:pPr>
      <w:r>
        <w:t xml:space="preserve">alg_score := 12 if input.intent.crypto.alg_class == "classical"</w:t>
      </w:r>
    </w:p>
    <w:p>
      <w:pPr>
        <w:spacing w:after="120"/>
      </w:pPr>
      <w:r>
        <w:t xml:space="preserve">alg_score := 4  if input.intent.crypto.alg_class == "hybrid"</w:t>
      </w:r>
    </w:p>
    <w:p>
      <w:pPr>
        <w:spacing w:after="120"/>
      </w:pPr>
      <w:r>
        <w:t xml:space="preserve">alg_score := 1  if input.intent.crypto.alg_class == "pure-pqc"</w:t>
      </w:r>
    </w:p>
    <w:p>
      <w:pPr>
        <w:spacing w:after="120"/>
      </w:pPr>
      <w:r>
        <w:t xml:space="preserve">ret_score := 0 if input.intent.crypto.retention_yrs == 0</w:t>
      </w:r>
    </w:p>
    <w:p>
      <w:pPr>
        <w:spacing w:after="120"/>
      </w:pPr>
      <w:r>
        <w:t xml:space="preserve">ret_score := 2 if input.intent.crypto.retention_yrs == 1</w:t>
      </w:r>
    </w:p>
    <w:p>
      <w:pPr>
        <w:spacing w:after="120"/>
      </w:pPr>
      <w:r>
        <w:t xml:space="preserve">ret_score := 5 if input.intent.crypto.retention_yrs == 7</w:t>
      </w:r>
    </w:p>
    <w:p>
      <w:pPr>
        <w:spacing w:after="120"/>
      </w:pPr>
      <w:r>
        <w:t xml:space="preserve">ret_score := 8 if input.intent.crypto.retention_yrs &gt; 7</w:t>
      </w:r>
    </w:p>
    <w:p>
      <w:pPr>
        <w:spacing w:after="120"/>
      </w:pPr>
      <w:r>
        <w:t xml:space="preserve">hndl_score := input.intent.crypto.hndl * 5</w:t>
      </w:r>
    </w:p>
    <w:p>
      <w:pPr>
        <w:spacing w:after="120"/>
      </w:pPr>
      <w:r>
        <w:t xml:space="preserve">key_score := key_table[input.intent.crypto.key_tier]</w:t>
      </w:r>
    </w:p>
    <w:p>
      <w:pPr>
        <w:spacing w:after="120"/>
      </w:pPr>
      <w:r>
        <w:t xml:space="preserve">qe := min([(alg_score + ret_score + hndl_score + key_score), 25])</w:t>
      </w:r>
    </w:p>
    <w:p>
      <w:pPr>
        <w:spacing w:after="120"/>
      </w:pPr>
      <w:r>
        <w:t xml:space="preserve">ma_factor := min([input.intent.ai.ma / 24, 1])</w:t>
      </w:r>
    </w:p>
    <w:p>
      <w:pPr>
        <w:spacing w:after="120"/>
      </w:pPr>
      <w:r>
        <w:t xml:space="preserve">ace_raw := 5*(1-input.intent.ai.pi) + 4*(1-input.intent.ai.tp) + 4*(1-input.intent.ai.ms) + 4*ma_factor + 4*input.intent.ai.af + 4*input.intent.ai.ds</w:t>
      </w:r>
    </w:p>
    <w:p>
      <w:pPr>
        <w:spacing w:after="120"/>
      </w:pPr>
      <w:r>
        <w:t xml:space="preserve">ace := min([ace_raw, 25])</w:t>
      </w:r>
    </w:p>
    <w:p>
      <w:pPr>
        <w:spacing w:after="120"/>
      </w:pPr>
      <w:r>
        <w:t xml:space="preserve">dim1 := min([(input.dim1_classical + qe + ace), 100])</w:t>
      </w:r>
    </w:p>
    <w:p>
      <w:pPr>
        <w:pStyle w:val="Heading1"/>
      </w:pPr>
      <w:r>
        <w:t xml:space="preserve">9.  Migration from v3.1 / v3.2 / v3.3 to v3.4</w:t>
      </w:r>
    </w:p>
    <w:p>
      <w:pPr>
        <w:pStyle w:val="Heading2"/>
      </w:pPr>
      <w:r>
        <w:t xml:space="preserve">9.1  From v3.1 numeric weights</w:t>
      </w:r>
    </w:p>
    <w:p>
      <w:pPr>
        <w:spacing w:after="120"/>
      </w:pPr>
      <w:r>
        <w:t xml:space="preserve">Organisations upgrading from v3.1 should map their existing numeric weights to the nearest Priority Tier. The Priority Tier translation captured in v3.2 is unchanged in v3.4.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900"/>
        <w:gridCol w:w="2060"/>
      </w:tblGrid>
      <w:tr>
        <w:trPr>
          <w:tblHeader/>
        </w:trPr>
        <w:tc>
          <w:tcPr>
            <w:tcW w:type="dxa" w:w="2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Dimension</w:t>
            </w:r>
          </w:p>
        </w:tc>
        <w:tc>
          <w:tcPr>
            <w:tcW w:type="dxa" w:w="15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v3.1 weight</w:t>
            </w:r>
          </w:p>
        </w:tc>
        <w:tc>
          <w:tcPr>
            <w:tcW w:type="dxa" w:w="17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v3.2 / v3.4 tier</w:t>
            </w:r>
          </w:p>
        </w:tc>
        <w:tc>
          <w:tcPr>
            <w:tcW w:type="dxa" w:w="19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v3.2 / v3.4 weight</w:t>
            </w:r>
          </w:p>
        </w:tc>
        <w:tc>
          <w:tcPr>
            <w:tcW w:type="dxa" w:w="20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Change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Impact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4.6</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Top</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5.0</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+0.4 (promoted to Top)</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Action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No change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Financial Exposure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3.6</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+0.4 (equalised with Sovereignty)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Regulatory Impact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3.5</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−0.5 (grouped with peer risks)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Reputational Risk</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3.3</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−0.3 (equalised)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Rights Certainty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3.2</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−0.2 (equalised)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Doctrinal Alignment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−1.0 (distinct from High group)</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Σ TOTAL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25.2</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24.0</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−1.2</w:t>
            </w:r>
          </w:p>
        </w:tc>
      </w:tr>
    </w:tbl>
    <w:p>
      <w:pPr>
        <w:pStyle w:val="Heading2"/>
      </w:pPr>
      <w:r>
        <w:t xml:space="preserve">9.2  From v3.2 / v3.3 to v3.4</w:t>
      </w:r>
    </w:p>
    <w:p>
      <w:pPr>
        <w:pStyle w:val="ListParagraph"/>
        <w:numPr>
          <w:ilvl w:val="0"/>
          <w:numId w:val="2"/>
        </w:numPr>
      </w:pPr>
      <w:r>
        <w:rPr>
          <w:b/>
          <w:bCs/>
        </w:rPr>
        <w:t xml:space="preserve">Backward compatibility. </w:t>
      </w:r>
      <w:r>
        <w:t xml:space="preserve">Intent Objects that omit QE/ACE inputs score within ±0.5 of v3.2 / v3.3 results under canonical hybrid defaults. The v3.2 NetStreamX 34.56 anchor reproduces unchanged when no v3.4 inputs are populated.</w:t>
      </w:r>
    </w:p>
    <w:p>
      <w:pPr>
        <w:pStyle w:val="ListParagraph"/>
        <w:numPr>
          <w:ilvl w:val="0"/>
          <w:numId w:val="2"/>
        </w:numPr>
      </w:pPr>
      <w:r>
        <w:rPr>
          <w:b/>
          <w:bCs/>
        </w:rPr>
        <w:t xml:space="preserve">Versioning across surfaces. </w:t>
      </w:r>
      <w:r>
        <w:t xml:space="preserve">boss-engine package bumps to 3.4.0; reference rego module bumps in lockstep; AGT Light v1.2 and Full AGT Plugin v1.2 ship a v3.4 policy template option (v3.3 template remains valid; v3.4 is opt-in until the next plugin minor release); the DNA Deployment Tool emits v3.4-compatible Intent Objects when crypto-aware scoring is enabled.</w:t>
      </w:r>
    </w:p>
    <w:p>
      <w:pPr>
        <w:pStyle w:val="ListParagraph"/>
        <w:numPr>
          <w:ilvl w:val="0"/>
          <w:numId w:val="2"/>
        </w:numPr>
      </w:pPr>
      <w:r>
        <w:rPr>
          <w:b/>
          <w:bCs/>
        </w:rPr>
        <w:t xml:space="preserve">Doctrine. </w:t>
      </w:r>
      <w:r>
        <w:t xml:space="preserve">DNA Questionnaire §6 (Risk Posture) captures default values of pi/tp/ms/ma/af/ds tolerances; default profile updated in the NetStreamX example.</w:t>
      </w:r>
    </w:p>
    <w:p>
      <w:pPr>
        <w:pStyle w:val="ListParagraph"/>
        <w:numPr>
          <w:ilvl w:val="0"/>
          <w:numId w:val="2"/>
        </w:numPr>
      </w:pPr>
      <w:r>
        <w:rPr>
          <w:b/>
          <w:bCs/>
        </w:rPr>
        <w:t xml:space="preserve">Testing. </w:t>
      </w:r>
      <w:r>
        <w:t xml:space="preserve">BOSS Engine v3.4 ships with a v3.3-replay suite asserting that every published v3.3 example reproduces within ±0.5 absolute composite difference under canonical hybrid defaults.</w:t>
      </w:r>
    </w:p>
    <w:p>
      <w:r>
        <w:br w:type="page"/>
      </w:r>
    </w:p>
    <w:p>
      <w:pPr>
        <w:pStyle w:val="Heading1"/>
      </w:pPr>
      <w:r>
        <w:t xml:space="preserve">Appendix A — Framework Attribution Summary</w:t>
      </w:r>
    </w:p>
    <w:p>
      <w:pPr>
        <w:spacing w:after="120"/>
      </w:pPr>
      <w:r>
        <w:t xml:space="preserve">Each BOSS dimension draws from internationally recognised, publicly documented frameworks.</w:t>
      </w:r>
    </w:p>
    <w:p>
      <w:pPr>
        <w:pStyle w:val="ListParagraph"/>
        <w:numPr>
          <w:ilvl w:val="0"/>
          <w:numId w:val="2"/>
        </w:numPr>
      </w:pPr>
      <w:r>
        <w:t xml:space="preserve">Security: NIST CSF 2.0 + CVSS v4.0 + MITRE ATT&amp;CK + OWASP AA01–AA10 + NIST FIPS 203/204/205 + CNSA 2.0</w:t>
      </w:r>
    </w:p>
    <w:p>
      <w:pPr>
        <w:pStyle w:val="ListParagraph"/>
        <w:numPr>
          <w:ilvl w:val="0"/>
          <w:numId w:val="2"/>
        </w:numPr>
      </w:pPr>
      <w:r>
        <w:t xml:space="preserve">Sovereignty: SEAL (EU Cloud Sovereignty Framework) + Eurotechguide Sovereignty Index</w:t>
      </w:r>
    </w:p>
    <w:p>
      <w:pPr>
        <w:pStyle w:val="ListParagraph"/>
        <w:numPr>
          <w:ilvl w:val="0"/>
          <w:numId w:val="2"/>
        </w:numPr>
      </w:pPr>
      <w:r>
        <w:t xml:space="preserve">Financial: FAIR (Factor Analysis of Information Risk) + COSO ERM</w:t>
      </w:r>
    </w:p>
    <w:p>
      <w:pPr>
        <w:pStyle w:val="ListParagraph"/>
        <w:numPr>
          <w:ilvl w:val="0"/>
          <w:numId w:val="2"/>
        </w:numPr>
      </w:pPr>
      <w:r>
        <w:t xml:space="preserve">Regulatory: EU AI Act + GRC Compliance Scoring (DORA, NIS2, CMMC 2.0, ISO/IEC 42001 captured in the controls-to-obligations crosswalk)</w:t>
      </w:r>
    </w:p>
    <w:p>
      <w:pPr>
        <w:pStyle w:val="ListParagraph"/>
        <w:numPr>
          <w:ilvl w:val="0"/>
          <w:numId w:val="2"/>
        </w:numPr>
      </w:pPr>
      <w:r>
        <w:t xml:space="preserve">Reputational: RepRisk RRI + RepTrak ESG + SASB Materiality</w:t>
      </w:r>
    </w:p>
    <w:p>
      <w:pPr>
        <w:pStyle w:val="ListParagraph"/>
        <w:numPr>
          <w:ilvl w:val="0"/>
          <w:numId w:val="2"/>
        </w:numPr>
      </w:pPr>
      <w:r>
        <w:t xml:space="preserve">Rights: ISO 31000 + NIST AI Risk Management Framework + WIPO + Creative Commons</w:t>
      </w:r>
    </w:p>
    <w:p>
      <w:pPr>
        <w:pStyle w:val="ListParagraph"/>
        <w:numPr>
          <w:ilvl w:val="0"/>
          <w:numId w:val="2"/>
        </w:numPr>
      </w:pPr>
      <w:r>
        <w:t xml:space="preserve">Doctrinal: COSO ERM Governance + ADAM CORE Engine</w:t>
      </w:r>
    </w:p>
    <w:p>
      <w:pPr>
        <w:pStyle w:val="Heading1"/>
      </w:pPr>
      <w:r>
        <w:t xml:space="preserve">Appendix B —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Version</w:t>
            </w:r>
          </w:p>
        </w:tc>
        <w:tc>
          <w:tcPr>
            <w:tcW w:type="dxa" w:w="15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Date</w:t>
            </w:r>
          </w:p>
        </w:tc>
        <w:tc>
          <w:tcPr>
            <w:tcW w:type="dxa" w:w="54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Changes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Earlier 2026</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Comprehensive architecture with 7 dimensions, worked examples, and NetStreamX scenarios.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v3.1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Early 2026</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Merged edition adding detailed sub-component formulas, threshold tables, and penalty rules.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v3.2 (file v0.2)</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April 2026</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Priority Tier Edition. Replaces numeric weights with human-readable tier scale. Equalises contribution percentages within tiers. Top constraint introduced. Composite formula denominator updated from 25.2 to 24.0. All sub-component formulas unchanged.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v3.3 (book v1.7 release)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April 2026</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Engine reference manual + OPA Rego authoring discipline (post-NetStreamX deployment audit). No formula change.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v3.4 (file v0.3)</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April 2026</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Quantum Exposure (QE) and AI-Control Attack Exposure (ACE) sub-scores added in Dimension 1. Backward-compatible. Canonical NetStreamX 34.56 anchor preserved at default inputs; replays at 38.52 with crypto-agile defaults; both ELEVATED tier.</w:t>
            </w:r>
          </w:p>
        </w:tc>
      </w:tr>
    </w:tbl>
    <w:p>
      <w:pPr>
        <w:pStyle w:val="Heading1"/>
      </w:pPr>
      <w:r>
        <w:t xml:space="preserve">Appendix C — Sub-Component Formula Status</w:t>
      </w:r>
    </w:p>
    <w:p>
      <w:pPr>
        <w:spacing w:after="120"/>
      </w:pPr>
      <w:r>
        <w:t xml:space="preserve">Each dimension carries a sub-component decomposition with individual score ranges summing to 100, threshold tables defining score breakpoints, penalty rules for boundary conditions, and at least one worked NetStreamX example. The Priority Tier weighting in v3.2 is the framework; sub-components slot under it. Each sub-component contributes to its parent dimension's 0–100 raw score, which is then weighted by the tier-assigned weight in the composite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BOSS dimension</w:t>
            </w:r>
          </w:p>
        </w:tc>
        <w:tc>
          <w:tcPr>
            <w:tcW w:type="dxa" w:w="43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Sub-components</w:t>
            </w:r>
          </w:p>
        </w:tc>
        <w:tc>
          <w:tcPr>
            <w:tcW w:type="dxa" w:w="28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Status in v3.4</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Impact</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Attack Surface (CVSS) · Control Maturity (NIST CSF) · Threat Intelligence (ATT&amp;CK) · AI-Specific Security (OWASP) · QE · ACE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Composite present; v3.4 adds QE and ACE; threshold tables and worked examples in §5.1.1, §5.1.2, §6.3, §6.4.</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Financial Exposure</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Monetary Value (0–30) · Cumulative Budget Consumption (0–25) · Loss Magnitude (0–25) · Cascading Risk (0–20)</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Composite present; threshold tables and NetStreamX example in §6.</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Regulatory Impact</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AI Act Risk Class · Jurisdictional Compliance Gap · Fundamental Rights Impact · Documentation · Cross-Border Complexity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Composite present; framework crosswalk in companion regulatory document.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Action</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Data Residency · Vendor Lock-In · Jurisdictional Control · Reversibility (8 SEAL objectives)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Composite present.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Reputational Risk</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ESG Category Exposure · Source Reach · Stakeholder Concern · Precedent &amp; Novelty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Composite present.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Rights Certainty</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Authorisation Chain · Ownership &amp; IP · Entitlement Trustworthiness · Conflict &amp; Ambiguity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Composite present.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Doctrinal Alignment</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Culture · Objective · Rules Compliance · Expectations Conformity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Composite present.</w:t>
            </w:r>
          </w:p>
        </w:tc>
      </w:tr>
    </w:tbl>
    <w:p>
      <w:pPr>
        <w:pStyle w:val="Heading1"/>
      </w:pPr>
      <w:r>
        <w:t xml:space="preserve">Appendix D — Companion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Companion document</w:t>
            </w:r>
          </w:p>
        </w:tc>
        <w:tc>
          <w:tcPr>
            <w:tcW w:type="dxa" w:w="58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r>
              <w:rPr>
                <w:b/>
                <w:bCs/>
                <w:color w:val="FFFFFF"/>
              </w:rPr>
              <w:t xml:space="preserve">Role</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Autonomy Doctrine &amp; Architecture Model</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Manuscript: 11 Pillars, 5/6/7-Director Constitution, Intent Object pipeline, Flight Recorder.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Quantum and Cryptographic Security at Scale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Defines crypto-agility, the ADAM Cryptographic Substrate (ACS), the seven-layer defense stack, and the regulatory crosswalk that anchors QE and ACE.</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Hardware-Free Cryptographic Substrate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Specifies the ACS substrate that implements the CAV without a hardware HSM at small scale.</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OPA Rego Authoring Standards</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Hard preflight gate for every .rego module; canonical for all BOSS-related policy bundles.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Keyword Glossary and Complex Definitions</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Definitive reference for all ADAM terminology including QE, ACE, ACS, hybrid, crypto-agility envelope, and seven-layer stack.</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Intent Object Definition</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JSON schema and 6-stage execution pipeline that supplies BOSS Engine inputs.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Governance Charter and Human Directorship</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5/6/7-Director Constitution; OHSHAT runbook context.</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Legal and Arbitration Sections</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Legal Personality Boundary, Doctrine Conflict Arbitration, Controls-to-Obligations.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Copyright and Use Agreement</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Hybrid commercial/Apache 2.0 license; Excluded Uses (defense, weaponry/drone, unconsented human surveillance).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2025–2026 Michael Lamb · ADAM BOSS Score Formulas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ADAM — BOSS Score Formulas (file v0.3 · methodology v3.4)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 - BOSS Score Formulas v0.3 (methodology v3.4)</dc:title>
  <dc:creator>Michael Lamb</dc:creator>
  <dc:description>BOSS Score Formulas — Quantum Exposure and AI-Control Attack Exposure Edition. File version v0.3; methodology version v3.4.</dc:description>
  <cp:lastModifiedBy>Un-named</cp:lastModifiedBy>
  <cp:revision>1</cp:revision>
  <dcterms:created xsi:type="dcterms:W3CDTF">2026-04-30T15:37:30.569Z</dcterms:created>
  <dcterms:modified xsi:type="dcterms:W3CDTF">2026-04-30T15:37:30.569Z</dcterms:modified>
</cp:coreProperties>
</file>

<file path=docProps/custom.xml><?xml version="1.0" encoding="utf-8"?>
<Properties xmlns="http://schemas.openxmlformats.org/officeDocument/2006/custom-properties" xmlns:vt="http://schemas.openxmlformats.org/officeDocument/2006/docPropsVTypes"/>
</file>