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ADAM</w:t>
      </w:r>
    </w:p>
    <w:p>
      <w:pPr>
        <w:spacing w:after="320"/>
        <w:jc w:val="center"/>
      </w:pPr>
      <w:r>
        <w:rPr>
          <w:i/>
          <w:iCs/>
          <w:sz w:val="24"/>
          <w:szCs w:val="24"/>
        </w:rPr>
        <w:t xml:space="preserve">Autonomy Doctrine &amp; Architecture Model</w:t>
      </w:r>
    </w:p>
    <w:p>
      <w:pPr>
        <w:spacing w:after="480"/>
        <w:jc w:val="center"/>
      </w:pPr>
      <w:r>
        <w:rPr>
          <w:sz w:val="22"/>
          <w:szCs w:val="22"/>
        </w:rPr>
        <w:t xml:space="preserve">— Support Document —</w:t>
      </w:r>
    </w:p>
    <w:p>
      <w:pPr>
        <w:spacing w:after="80"/>
        <w:jc w:val="center"/>
      </w:pPr>
      <w:r>
        <w:rPr>
          <w:b/>
          <w:bCs/>
          <w:sz w:val="44"/>
          <w:szCs w:val="44"/>
        </w:rPr>
        <w:t xml:space="preserve">Doctrine Amendment Process</w:t>
      </w:r>
    </w:p>
    <w:p>
      <w:pPr>
        <w:spacing w:after="360"/>
        <w:jc w:val="center"/>
      </w:pPr>
      <w:r>
        <w:rPr>
          <w:i/>
          <w:iCs/>
          <w:sz w:val="22"/>
          <w:szCs w:val="22"/>
        </w:rPr>
        <w:t xml:space="preserve">Human-Authored Change to Authoritative Intent — Versioned Migrations, Replayable Backfills, and Signed-Off Impact Assessments under the Exception Economy</w:t>
      </w:r>
    </w:p>
    <w:p>
      <w:pPr>
        <w:spacing w:after="120"/>
        <w:jc w:val="center"/>
      </w:pPr>
      <w:r>
        <w:rPr>
          <w:sz w:val="22"/>
          <w:szCs w:val="22"/>
        </w:rPr>
        <w:t xml:space="preserve">Publication Edition</w:t>
      </w:r>
    </w:p>
    <w:p>
      <w:pPr>
        <w:spacing w:after="80"/>
        <w:jc w:val="center"/>
      </w:pPr>
      <w:r>
        <w:rPr>
          <w:sz w:val="22"/>
          <w:szCs w:val="22"/>
        </w:rPr>
        <w:t xml:space="preserve">May 2026</w:t>
      </w:r>
    </w:p>
    <w:p>
      <w:pPr>
        <w:spacing w:after="480"/>
        <w:jc w:val="center"/>
      </w:pPr>
      <w:r>
        <w:rPr>
          <w:sz w:val="22"/>
          <w:szCs w:val="22"/>
        </w:rPr>
        <w:t xml:space="preserve">Author: Michael Lamb</w:t>
      </w:r>
    </w:p>
    <w:p>
      <w:pPr>
        <w:spacing w:after="200"/>
        <w:jc w:val="center"/>
      </w:pPr>
      <w:r>
        <w:rPr>
          <w:i/>
          <w:iCs/>
          <w:sz w:val="22"/>
          <w:szCs w:val="22"/>
        </w:rPr>
        <w:t xml:space="preserve">Humans Define Intent. Machines Execute. Evidence Proves Everything. Doctrine Changes Through Authored Governance, Never Through Optimisation Pressure.</w:t>
      </w:r>
    </w:p>
    <w:p>
      <w:r>
        <w:br w:type="page"/>
      </w:r>
    </w:p>
    <w:p>
      <w:pPr>
        <w:pStyle w:val="Heading1"/>
        <w:pageBreakBefore/>
        <w:spacing w:after="200" w:before="320"/>
      </w:pPr>
      <w:r>
        <w:rPr>
          <w:b/>
          <w:bCs/>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Attribute</w:t>
            </w:r>
          </w:p>
        </w:tc>
        <w:tc>
          <w:tcPr>
            <w:tcW w:type="dxa" w:w="63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Value</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Title</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Doctrine Amendment Process</w:t>
            </w:r>
          </w:p>
        </w:tc>
      </w:tr>
      <w:tr>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Document class</w:t>
            </w:r>
          </w:p>
        </w:tc>
        <w:tc>
          <w:tcPr>
            <w:tcW w:type="dxa" w:w="6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Support Document — major specification (companion to the Autonomy Doctrine &amp; Architecture Model)</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Edition</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Publication Edition</w:t>
            </w:r>
          </w:p>
        </w:tc>
      </w:tr>
      <w:tr>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Date</w:t>
            </w:r>
          </w:p>
        </w:tc>
        <w:tc>
          <w:tcPr>
            <w:tcW w:type="dxa" w:w="6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May 2026</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Author</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Michael Lamb</w:t>
            </w:r>
          </w:p>
        </w:tc>
      </w:tr>
      <w:tr>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Audience</w:t>
            </w:r>
          </w:p>
        </w:tc>
        <w:tc>
          <w:tcPr>
            <w:tcW w:type="dxa" w:w="6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Directors &amp; Boards · Regulators &amp; External Auditors · Architects, Platform &amp; Security Leads · AI Build Teams · Legal &amp; Compliance</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Parent manuscript</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Autonomy Doctrine &amp; Architecture Model</w:t>
            </w:r>
          </w:p>
        </w:tc>
      </w:tr>
      <w:tr>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Companion specifications</w:t>
            </w:r>
          </w:p>
        </w:tc>
        <w:tc>
          <w:tcPr>
            <w:tcW w:type="dxa" w:w="6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Governance Charter and Human Directorship · ADAM — Legal and Arbitration Sections (§II Doctrine Conflict Arbitration Model) · ADAM — BOSS Score Formulas · ADAM — Intent Object Definition · ADAM — OPA Rego Authoring Standards · ADAM — Quantum and Cryptographic Security at Scale · ADAM — Hardware-Free Cryptographic Substrate · ADAM — Keyword Glossary and Complex Definitions · ADAM — Copyright and Use Agreement</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Sub-documents</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Appendix A — Glossary additions · Appendix B — Document cross-references · Appendix C — Worked example: EU AI Act Article 9 risk-management uplift · Appendix D — Worked example: DORA RTS reissue · Appendix E — Reference Rego predicate set</w:t>
            </w:r>
          </w:p>
        </w:tc>
      </w:tr>
      <w:tr>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Repository</w:t>
            </w:r>
          </w:p>
        </w:tc>
        <w:tc>
          <w:tcPr>
            <w:tcW w:type="dxa" w:w="6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GitHub (Apache 2.0; subject to Excluded Uses in Copyright and Use Agreement §12)</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Governing law</w:t>
            </w:r>
          </w:p>
        </w:tc>
        <w:tc>
          <w:tcPr>
            <w:tcW w:type="dxa" w:w="6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Netherlands</w:t>
            </w:r>
          </w:p>
        </w:tc>
      </w:tr>
    </w:tbl>
    <w:p>
      <w:pPr>
        <w:pStyle w:val="Heading1"/>
        <w:pageBreakBefore/>
        <w:spacing w:after="200" w:before="32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20"/>
      </w:pPr>
      <w:r>
        <w:rPr>
          <w:b/>
          <w:bCs/>
        </w:rPr>
        <w:t xml:space="preserve">Part I — Executive Summary and Positioning</w:t>
      </w:r>
    </w:p>
    <w:p>
      <w:pPr>
        <w:pStyle w:val="Heading2"/>
        <w:spacing w:after="140" w:before="240"/>
      </w:pPr>
      <w:r>
        <w:rPr>
          <w:b/>
          <w:bCs/>
        </w:rPr>
        <w:t xml:space="preserve">1.1 Why this document exists</w:t>
      </w:r>
    </w:p>
    <w:p>
      <w:pPr>
        <w:spacing w:after="120" w:line="300"/>
      </w:pPr>
      <w:r>
        <w:t xml:space="preserve">ADAM is a constitutional operating model for governed autonomy. The core manuscript states the architectural axiom that doctrine never self-amends: the system may detect misalignment, simulate alternatives, and propose changes, but it may not redefine intent. The authority to redefine intent remains human by design, because intent is governance, risk appetite, and value choice — not technical configuration. This document specifies the human path that makes that axiom operational. It defines how a Director, the Director Constitution, an external regulator, or a court order amends doctrine in flight, how the Flight Recorder and CORE Graph state is migrated when they do, and how every prior decision can still be replayed under the doctrine that authorised it.</w:t>
      </w:r>
    </w:p>
    <w:p>
      <w:pPr>
        <w:spacing w:after="120" w:line="300"/>
      </w:pPr>
      <w:r>
        <w:t xml:space="preserve">Two structural realities make a stand-alone amendment specification necessary. First, doctrine in a multi-jurisdiction enterprise is not static: the EU AI Act will be amended through delegated acts and harmonised standards, DORA Regulatory Technical Standards will be reissued by the European Supervisory Authorities, NIS2 Member-State transpositions diverge, and sectoral regulators (NY DFS, MAS, FCA, FFIEC, OFR, FSB) require posture changes inside fixed windows. Without a first-class amendment lifecycle, every regulatory shift becomes either a one-off manual exception or a silent normalisation of stale rules — both of which are governance failures.</w:t>
      </w:r>
    </w:p>
    <w:p>
      <w:pPr>
        <w:spacing w:after="120" w:line="300"/>
      </w:pPr>
      <w:r>
        <w:t xml:space="preserve">Second, doctrine amendment is the highest-blast-radius operation in the system. A change to a CORE Graph priority, a BOSS dimension weight, a Priority Tier boundary, or a Reserved Decision can, in one stroke, reclassify millions of subsequent actions. This document binds that operation to the same control surfaces that govern any other high-impact action in ADAM: the Intent Object pipeline, the Trust Gateway, the Exception Economy, the Director Decision Receipt, and the Flight Recorder. It makes amendment ordinary by making it observable, attributable, and replayable, while preserving the architectural invariant that the system itself never authors an amendment.</w:t>
      </w:r>
    </w:p>
    <w:p>
      <w:pPr>
        <w:pStyle w:val="Heading2"/>
        <w:spacing w:after="140" w:before="240"/>
      </w:pPr>
      <w:r>
        <w:rPr>
          <w:b/>
          <w:bCs/>
        </w:rPr>
        <w:t xml:space="preserve">1.2 Position relative to the ADAM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core anchor</w:t>
            </w:r>
          </w:p>
        </w:tc>
        <w:tc>
          <w:tcPr>
            <w:tcW w:type="dxa" w:w="624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How this document extends it</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non-self-amendment axiom</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Provides the bounded human path through which doctrine is amended, with cryptographic attestation that no machine actor authored the change.</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CORE Engine and CORE Graph</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Defines the schema, lineage, and replay properties that an amendment must produce so that pre-amendment and post-amendment graph states are both verifiable.</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Intent Object pipeline (six stages)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Routes an amendment as a Class-A Constitutional Intent Object through Stages 1–6, with stage gates extended for Director-quorum thresholds and impact assessment.</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Exception Economy (SOAP→OHSHAT spectrum)</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Doctrine amendment is treated as an inherently HIGH-tier operation by default and OHSHAT-tier under emergency conditions; routing follows the standard Exception Economy escalation paths.</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Trust Gateway / Human Trust Gateway Agent (hi-gateway)</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Sole legitimate consent surface for an amendment; idempotency, SLA timers, defer/modify/reject verbs, and proxy acting events apply unchanged.</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BOSS scoring engine</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Every amendment carries a BOSS score for the amendment itself (the act of changing doctrine); the new doctrine version is then re-scored against historical traffic in the digital twin.</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Decision Receipts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An amendment is not in force until a hybrid-signed Director Decision Receipt — meeting the constitutional quorum cryptographically — is written to the Flight Recorder.</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Flight Recorder (Pillar 7)</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Carries the amendment package, the migration plan, the rebuild jobs, the per-version signature chain, and the replay receipts; everything is hash-chained and externally anchored.</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Cryptographic Authorization Vault (Pillar 10)</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Provides the T1 Doctrine Signing Key and ACS-C threshold ring that bind the amendment to the constitutional quorum as a literal cryptographic property.</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Doctrine Conflict Arbitration Model (Legal &amp; Arbitration §II)</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An arbitrated conflict resolution may be the trigger for an amendment; this document specifies the lifecycle that follows once a Director directs amendment as the resolution.</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Doctrinal Drift Sentinel (meta-integrity)</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Detects drift and proposes a realignment delta; that delta enters this lifecycle as a candidate Amendment Request — never as an executed change.</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Quantum and Cryptographic Security at Scale</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Provides the cipher suites, the ACS substrate, the hybrid-PQC envelope, and the WORM anchors that this lifecycle reuses without modification.</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OPA Rego Authoring Standards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Every policy-bundle change produced by an amendment passes the preflight Rego validator before deployment; deployment requires dual control.</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Copyright and Use Agreement §12 Excluded Uses</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An amendment can never override the Excluded Uses (defense, weaponry/drone, unconsented human surveillance); attempts are rejected at intake as out-of-scope.</w:t>
            </w:r>
          </w:p>
        </w:tc>
      </w:tr>
    </w:tbl>
    <w:p>
      <w:pPr>
        <w:pStyle w:val="Heading2"/>
        <w:spacing w:after="140" w:before="240"/>
      </w:pPr>
      <w:r>
        <w:rPr>
          <w:b/>
          <w:bCs/>
        </w:rPr>
        <w:t xml:space="preserve">1.3 What this document specifies</w:t>
      </w:r>
    </w:p>
    <w:p>
      <w:pPr>
        <w:pStyle w:val="ListParagraph"/>
        <w:numPr>
          <w:ilvl w:val="0"/>
          <w:numId w:val="2"/>
        </w:numPr>
        <w:spacing w:after="80" w:line="280"/>
      </w:pPr>
      <w:r>
        <w:t xml:space="preserve">Amendment as a first-class Intent Object class. A Class-A Constitutional Intent Object travels the standard six-stage pipeline with extended gates for Director-quorum thresholds, impact assessment, twin simulation, and replayable backfill.</w:t>
      </w:r>
    </w:p>
    <w:p>
      <w:pPr>
        <w:pStyle w:val="ListParagraph"/>
        <w:numPr>
          <w:ilvl w:val="0"/>
          <w:numId w:val="2"/>
        </w:numPr>
        <w:spacing w:after="80" w:line="280"/>
      </w:pPr>
      <w:r>
        <w:t xml:space="preserve">Five amendment classes, each with explicit triggers, proposers, quorum, simulation depth, notice period, and backfill obligation: regulatory-mandated, director-initiated, conflict-arbitration-resolved, drift-realignment-driven, and emergency.</w:t>
      </w:r>
    </w:p>
    <w:p>
      <w:pPr>
        <w:pStyle w:val="ListParagraph"/>
        <w:numPr>
          <w:ilvl w:val="0"/>
          <w:numId w:val="2"/>
        </w:numPr>
        <w:spacing w:after="80" w:line="280"/>
      </w:pPr>
      <w:r>
        <w:t xml:space="preserve">Five lifecycle stages — Request, Impact Assessment, Director Quorum, Cutover, Backfill &amp; Replay — each with mandatory artifacts, evidence, and rollback rights.</w:t>
      </w:r>
    </w:p>
    <w:p>
      <w:pPr>
        <w:pStyle w:val="ListParagraph"/>
        <w:numPr>
          <w:ilvl w:val="0"/>
          <w:numId w:val="2"/>
        </w:numPr>
        <w:spacing w:after="80" w:line="280"/>
      </w:pPr>
      <w:r>
        <w:t xml:space="preserve">Versioned migrations with replayable backfills. Every amendment ships a migration plan that specifies which Flight Recorder ranges, CORE Graph subgraphs, BOSS calibrations, policy bundles, OPA Rego modules, exception packets, and Director Decision Receipts must be re-scored, re-evaluated, or re-signed under the new doctrine, and which are conserved under their original doctrine for legal continuity.</w:t>
      </w:r>
    </w:p>
    <w:p>
      <w:pPr>
        <w:pStyle w:val="ListParagraph"/>
        <w:numPr>
          <w:ilvl w:val="0"/>
          <w:numId w:val="2"/>
        </w:numPr>
        <w:spacing w:after="80" w:line="280"/>
      </w:pPr>
      <w:r>
        <w:t xml:space="preserve">Signed-off Impact Assessments. Every amendment carries a structured assessment that quantifies regulatory delta, operational delta, financial delta, rights delta, sovereignty delta, ACE/QE delta, and worker / consumer impact, with confidence intervals derived from the digital twin.</w:t>
      </w:r>
    </w:p>
    <w:p>
      <w:pPr>
        <w:pStyle w:val="ListParagraph"/>
        <w:numPr>
          <w:ilvl w:val="0"/>
          <w:numId w:val="2"/>
        </w:numPr>
        <w:spacing w:after="80" w:line="280"/>
      </w:pPr>
      <w:r>
        <w:t xml:space="preserve">Notice and standstill. Every non-emergency amendment carries a published effective date with a doctrine-defined standstill period during which the prior doctrine remains the authoritative basis of execution and external commitments.</w:t>
      </w:r>
    </w:p>
    <w:p>
      <w:pPr>
        <w:pStyle w:val="ListParagraph"/>
        <w:numPr>
          <w:ilvl w:val="0"/>
          <w:numId w:val="2"/>
        </w:numPr>
        <w:spacing w:after="80" w:line="280"/>
      </w:pPr>
      <w:r>
        <w:t xml:space="preserve">Dual-author, never sole-author. No amendment can be authored, proposed, and approved by the same Director; quorum is a literal cryptographic property bound by the ACS-C threshold ring at L6.</w:t>
      </w:r>
    </w:p>
    <w:p>
      <w:pPr>
        <w:pStyle w:val="ListParagraph"/>
        <w:numPr>
          <w:ilvl w:val="0"/>
          <w:numId w:val="2"/>
        </w:numPr>
        <w:spacing w:after="80" w:line="280"/>
      </w:pPr>
      <w:r>
        <w:t xml:space="preserve">Replay equals truth. After amendment, any historical decision can still be replayed under the doctrine in force at the time of the original decision; the amendment lineage is part of the replay output.</w:t>
      </w:r>
    </w:p>
    <w:p>
      <w:pPr>
        <w:pStyle w:val="ListParagraph"/>
        <w:numPr>
          <w:ilvl w:val="0"/>
          <w:numId w:val="2"/>
        </w:numPr>
        <w:spacing w:after="80" w:line="280"/>
      </w:pPr>
      <w:r>
        <w:t xml:space="preserve">Subject at all times to the Excluded Uses in Copyright and Use Agreement §12 — an amendment cannot remove or weaken the Excluded Uses, and any proposal to do so is rejected at intake.</w:t>
      </w:r>
    </w:p>
    <w:p>
      <w:pPr>
        <w:pStyle w:val="Heading1"/>
        <w:pageBreakBefore/>
        <w:spacing w:after="200" w:before="320"/>
      </w:pPr>
      <w:r>
        <w:rPr>
          <w:b/>
          <w:bCs/>
        </w:rPr>
        <w:t xml:space="preserve">Part II — The Amendment Landscape</w:t>
      </w:r>
    </w:p>
    <w:p>
      <w:pPr>
        <w:pStyle w:val="Heading2"/>
        <w:spacing w:after="140" w:before="240"/>
      </w:pPr>
      <w:r>
        <w:rPr>
          <w:b/>
          <w:bCs/>
        </w:rPr>
        <w:t xml:space="preserve">2.1 Why doctrine moves</w:t>
      </w:r>
    </w:p>
    <w:p>
      <w:pPr>
        <w:spacing w:after="120" w:line="300"/>
      </w:pPr>
      <w:r>
        <w:t xml:space="preserve">Doctrine is the authoritative substrate that translates human intent into machine-executable behaviour: culture, objectives, rules, and expectations encoded as a structured graph rather than informal prose. It is stable by construction — the system rejects optimisation-driven self-modification — but it is not static. Six pressures move it. First, regulatory change: the EU AI Act, DORA, NIS2, ISO/IEC 42001, NIST AI RMF, NY DFS 23 NYCRR 500, MAS TRM, and FFIEC AIO are all in active evolution; harmonised standards, RTS, and circulars are reissued on multi-month cycles. Second, strategic change: the human directors update the enterprise's risk appetite, growth posture, geographic footprint, or product portfolio. Third, conflict resolution: the Doctrine Conflict Arbitration Model surfaces an irreconcilable tension that a Director resolves by amendment rather than by suspension or constraint tightening. Fourth, drift realignment: the Doctrinal Drift Sentinel surfaces a sustained gap between declared doctrine and observed behaviour that the directors choose to close by updating doctrine to match the new operational reality (after explicit deliberation, never silently). Fifth, incident response: a near-miss, a regulatory finding, or an operational failure produces a lessons-learned package that recommends doctrine change. Sixth, technology change: a NIST PQC algorithm withdrawal, a cipher-suite minimum bump, or a new attestation primitive raises the doctrine-declared minimum at L0–L4.</w:t>
      </w:r>
    </w:p>
    <w:p>
      <w:pPr>
        <w:pStyle w:val="Heading2"/>
        <w:spacing w:after="140" w:before="240"/>
      </w:pPr>
      <w:r>
        <w:rPr>
          <w:b/>
          <w:bCs/>
        </w:rPr>
        <w:t xml:space="preserve">2.2 Why doctrine cannot move silently</w:t>
      </w:r>
    </w:p>
    <w:p>
      <w:pPr>
        <w:spacing w:after="120" w:line="300"/>
      </w:pPr>
      <w:r>
        <w:t xml:space="preserve">Every governance framework that ADAM tracks — NIST AI RMF (govern/map/measure/manage), ISO/IEC 42001 (management-system clauses 6, 8, 9, 10), the EU AI Act (Articles 9, 13, 14, 15, 17, 72), DORA (Articles 5, 6, 9, 10, 11, 17, 26), NIS2 (Article 21 board-level accountability and Article 23 reporting), the OECD AI Principles, and the Council of Europe AI Convention — converges on the same architectural property: changes to the AI system's risk-management posture must be governed, documented, attributed, reviewable, and reversible. Silent doctrine change is therefore not merely a quality concern; it is a regulatory non-conformity in every framework ADAM operates under.</w:t>
      </w:r>
    </w:p>
    <w:p>
      <w:pPr>
        <w:spacing w:after="120" w:line="300"/>
      </w:pPr>
      <w:r>
        <w:t xml:space="preserve">Beyond regulation, silent doctrine change is incompatible with ADAM's evidentiary posture. Every BOSS score carries a provenance chain that pins it to a doctrine version, a policy bundle, a threshold table, and a CORE Graph snapshot. An amendment that does not produce a versioned diff and a replayable migration would invalidate that chain for every action scored after the change. Replay would then be archaeology, not playback — exactly the failure mode that ADAM is built to prevent.</w:t>
      </w:r>
    </w:p>
    <w:p>
      <w:pPr>
        <w:pStyle w:val="Heading2"/>
        <w:spacing w:after="140" w:before="240"/>
      </w:pPr>
      <w:r>
        <w:rPr>
          <w:b/>
          <w:bCs/>
        </w:rPr>
        <w:t xml:space="preserve">2.3 The five amendment classes</w:t>
      </w:r>
    </w:p>
    <w:p>
      <w:pPr>
        <w:spacing w:after="120" w:line="300"/>
      </w:pPr>
      <w:r>
        <w:t xml:space="preserve">Five canonical classes cover every observed amendment trigger across the regulatory, governance, and operational landscapes. Each class differs in trigger, proposer, simulation depth, notice period, and backfill obligation. The lifecycle stages defined in Part III are identical across classes; the differences are encoded in stage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700"/>
        <w:gridCol w:w="2360"/>
      </w:tblGrid>
      <w:tr>
        <w:trPr>
          <w:tblHeader/>
        </w:trPr>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Class</w:t>
            </w:r>
          </w:p>
        </w:tc>
        <w:tc>
          <w:tcPr>
            <w:tcW w:type="dxa" w:w="19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Trigger</w:t>
            </w:r>
          </w:p>
        </w:tc>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Default proposer</w:t>
            </w:r>
          </w:p>
        </w:tc>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Default tier</w:t>
            </w:r>
          </w:p>
        </w:tc>
        <w:tc>
          <w:tcPr>
            <w:tcW w:type="dxa" w:w="23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Notice / standstill</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 Regulatory-mandated</w:t>
            </w:r>
          </w:p>
        </w:tc>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Statute, regulation, RTS, circular, or supervisory order with binding effective date</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HIGH (Director quorum)</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Bounded by the regulator's effective date; standstill ends at the earlier of regulator deadline or director-set date</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 Director-initiated</w:t>
            </w:r>
          </w:p>
        </w:tc>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Strategic doctrine change authored by a director (risk appetite, posture, growth/margin priority, geographic expansion, product line)</w:t>
            </w:r>
          </w:p>
        </w:tc>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Originating Director</w:t>
            </w:r>
          </w:p>
        </w:tc>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HIGH (Director quorum)</w:t>
            </w:r>
          </w:p>
        </w:tc>
        <w:tc>
          <w:tcPr>
            <w:tcW w:type="dxa" w:w="2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Default 14-day standstill, configurable by DNA Questionnaire; never zero</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 Conflict-arbitration-resolved</w:t>
            </w:r>
          </w:p>
        </w:tc>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Conflict Record resolved by directing amendment as the chosen remedy</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resolving the conflict</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HIGH (Director quorum)</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Default 7-day standstill, configurable; conflict-affected decision paths remain suspended until effective date</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 Drift-realignment-driven</w:t>
            </w:r>
          </w:p>
        </w:tc>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Doctrinal Drift Sentinel surfaces sustained drift; directors choose to close the gap by updating declared doctrine</w:t>
            </w:r>
          </w:p>
        </w:tc>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Originating Director (informed by drift report)</w:t>
            </w:r>
          </w:p>
        </w:tc>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HIGH (Director quorum)</w:t>
            </w:r>
          </w:p>
        </w:tc>
        <w:tc>
          <w:tcPr>
            <w:tcW w:type="dxa" w:w="2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Default 14-day standstill; drift-affected paths remain on observation</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 Emergency (constitutional)</w:t>
            </w:r>
          </w:p>
        </w:tc>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OHSHAT-tier safe-mode activation, regulator emergency order, court order, or imminent harm requiring immediate posture change</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CEO + any seated Director</w:t>
            </w:r>
          </w:p>
        </w:tc>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OHSHAT (full Constitution)</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Effective immediately; 24-hour confirmation window with full Constitution required to avoid auto-revert</w:t>
            </w:r>
          </w:p>
        </w:tc>
      </w:tr>
    </w:tbl>
    <w:p>
      <w:pPr>
        <w:pStyle w:val="Heading2"/>
        <w:spacing w:after="140" w:before="240"/>
      </w:pPr>
      <w:r>
        <w:rPr>
          <w:b/>
          <w:bCs/>
        </w:rPr>
        <w:t xml:space="preserve">2.4 What an amendment can and cannot do</w:t>
      </w:r>
    </w:p>
    <w:p>
      <w:pPr>
        <w:spacing w:after="120" w:line="300"/>
      </w:pPr>
      <w:r>
        <w:t xml:space="preserve">An amendment can change priorities, weights, thresholds, decision tables, escalation routes, BOSS Priority Tier assignments, autonomy budgets, jurisdictional residency rules, doctrine-declared minimum cipher suites, retention windows, and any other configurable element of the CORE Graph and policy substrate. It can add new doctrine elements, deprecate existing ones, or introduce new BOSS dimensions or sub-scores within the existing dimension structure. It can re-scope a director's reserved decisions and re-route exception classes.</w:t>
      </w:r>
    </w:p>
    <w:p>
      <w:pPr>
        <w:spacing w:after="120" w:line="300"/>
      </w:pPr>
      <w:r>
        <w:t xml:space="preserve">An amendment cannot, under any circumstances, do any of the following. It cannot remove or weaken the Excluded Uses in Copyright and Use Agreement §12 — defense, weaponry/drone, and unconsented human surveillance are categorically prohibited and that prohibition is non-amendable. It cannot remove the Legal Personality Boundary (the architectural invariant that ADAM cannot contract, transfer assets, or bear liability). It cannot remove or weaken the doctrine-non-self-amendment axiom itself. It cannot grant an agent authorship of doctrine. It cannot bypass Flight Recorder evidence capture or external WORM anchoring. It cannot disable the four guardrail planes (Policy &amp; Risk, Evidence &amp; Audit, Security &amp; Trust, Stability &amp; Drift). It cannot override the constitutional quorum requirement at L6, the dual-control requirement at L4, or the threshold-cryptographic binding at the substrate. It cannot restore an algorithm that has been formally withdrawn by the cipher-suite minimum without an explicit, time-boxed regulatory exception. It cannot extend retroactively to invalidate a Director Decision Receipt that has already been written; the prior receipt remains evidence of what was authorised under prior doctrine, and the amendment governs only future decisions and the migration plan.</w:t>
      </w:r>
    </w:p>
    <w:p>
      <w:pPr>
        <w:pStyle w:val="Heading2"/>
        <w:spacing w:after="140" w:before="240"/>
      </w:pPr>
      <w:r>
        <w:rPr>
          <w:b/>
          <w:bCs/>
        </w:rPr>
        <w:t xml:space="preserve">2.5 Reserved decisions per Director — amendment authorship matrix</w:t>
      </w:r>
    </w:p>
    <w:p>
      <w:pPr>
        <w:spacing w:after="120" w:line="300"/>
      </w:pPr>
      <w:r>
        <w:t xml:space="preserve">Authorship of an amendment is bounded by reserved decisions per Director seat. Any Director may propose an amendment outside their domain, but the Director who owns the affected doctrine area must co-author or affirmatively concur for the quorum to count. Proposer-only authorship by a Director outside the affected domain is treated as a request for arbitration rather than an authored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Director seat</w:t>
            </w:r>
          </w:p>
        </w:tc>
        <w:tc>
          <w:tcPr>
            <w:tcW w:type="dxa" w:w="30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Reserved authorship areas</w:t>
            </w:r>
          </w:p>
        </w:tc>
        <w:tc>
          <w:tcPr>
            <w:tcW w:type="dxa" w:w="44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Examples of in-scope amendments</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CEO</w:t>
            </w:r>
          </w:p>
        </w:tc>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Doctrine-wide priority logic; constitutional quorum configuration; OHSHAT runbook; full-Constitution arbitration</w:t>
            </w:r>
          </w:p>
        </w:tc>
        <w:tc>
          <w:tcPr>
            <w:tcW w:type="dxa" w:w="4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Re-rank growth versus risk; reseat the Constitution from 5 to 6/7; change OHSHAT auto-revert window</w:t>
            </w:r>
          </w:p>
        </w:tc>
      </w:tr>
      <w:tr>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CFO</w:t>
            </w:r>
          </w:p>
        </w:tc>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Financial Exposure dimension; financial autonomy budgets; non-idempotent penalty configuration; financial threshold tables</w:t>
            </w:r>
          </w:p>
        </w:tc>
        <w:tc>
          <w:tcPr>
            <w:tcW w:type="dxa" w:w="4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Lower the Financial Exposure ELEVATED→HIGH boundary; add a non-idempotent penalty for cross-currency settlement; change the cumulative financial budget consumption window</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w:t>
            </w:r>
          </w:p>
        </w:tc>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Regulatory Impact dimension; doctrine-defined regulatory frameworks; jurisdictional residency rules; regulatory effective dates</w:t>
            </w:r>
          </w:p>
        </w:tc>
        <w:tc>
          <w:tcPr>
            <w:tcW w:type="dxa" w:w="4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Encode a new EU AI Act delegated act; add NY DFS §500.17 attestation routing; tighten EU↔US data-residency pairs</w:t>
            </w:r>
          </w:p>
        </w:tc>
      </w:tr>
      <w:tr>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Market Director</w:t>
            </w:r>
          </w:p>
        </w:tc>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Reputational Risk dimension; market posture; Innovation Engine governance; (in 5-Director config) Product priorities</w:t>
            </w:r>
          </w:p>
        </w:tc>
        <w:tc>
          <w:tcPr>
            <w:tcW w:type="dxa" w:w="4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Move from aggressive to conservative growth posture; add reputational sub-score for adversarial public attention; cap innovation budget</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CISO</w:t>
            </w:r>
          </w:p>
        </w:tc>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Security Impact dimension (incl. QE and ACE sub-scores); cipher-suite minimum; key tier policy; AI-control attack thresholds; sovereignty rules</w:t>
            </w:r>
          </w:p>
        </w:tc>
        <w:tc>
          <w:tcPr>
            <w:tcW w:type="dxa" w:w="4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Raise doctrine cipher-suite minimum (e.g., to ML-DSA-87 for OHSHAT-tier); lower the ACE downgrade threshold; tighten T0 quorum from 5-of-5 to 5-of-5 with rotation</w:t>
            </w:r>
          </w:p>
        </w:tc>
      </w:tr>
      <w:tr>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CPO (when seated)</w:t>
            </w:r>
          </w:p>
        </w:tc>
        <w:tc>
          <w:tcPr>
            <w:tcW w:type="dxa" w:w="30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Product strategy doctrine; rights and licensing posture; customer trust priorities</w:t>
            </w:r>
          </w:p>
        </w:tc>
        <w:tc>
          <w:tcPr>
            <w:tcW w:type="dxa" w:w="4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Promote rights certainty as a Tier-1 dimension; add product-domain doctrine subgraph</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CTO (when seated)</w:t>
            </w:r>
          </w:p>
        </w:tc>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Technology architecture doctrine; deployment-target posture; runtime conformance minimums</w:t>
            </w:r>
          </w:p>
        </w:tc>
        <w:tc>
          <w:tcPr>
            <w:tcW w:type="dxa" w:w="4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Set the minimum RGI runtime conformance; deprecate a deployment target; raise the L0 attestation minimum</w:t>
            </w:r>
          </w:p>
        </w:tc>
      </w:tr>
    </w:tbl>
    <w:p>
      <w:pPr>
        <w:pStyle w:val="Heading1"/>
        <w:pageBreakBefore/>
        <w:spacing w:after="200" w:before="320"/>
      </w:pPr>
      <w:r>
        <w:rPr>
          <w:b/>
          <w:bCs/>
        </w:rPr>
        <w:t xml:space="preserve">Part III — The Doctrine Amendment Lifecycle</w:t>
      </w:r>
    </w:p>
    <w:p>
      <w:pPr>
        <w:pStyle w:val="Heading2"/>
        <w:spacing w:after="140" w:before="240"/>
      </w:pPr>
      <w:r>
        <w:rPr>
          <w:b/>
          <w:bCs/>
        </w:rPr>
        <w:t xml:space="preserve">3.1 Lifecycle at a glance</w:t>
      </w:r>
    </w:p>
    <w:p>
      <w:pPr>
        <w:spacing w:after="120" w:line="300"/>
      </w:pPr>
      <w:r>
        <w:t xml:space="preserve">Every amendment follows the same five-stage lifecycle. Class differences are stage parameters, not stage substitutions. Each stage has mandatory artifacts that are written to the Flight Recorder, and each stage gate is enforced as an OPA Rego rule that the preflight validator refuses to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800"/>
        <w:gridCol w:w="2360"/>
      </w:tblGrid>
      <w:tr>
        <w:trPr>
          <w:tblHeader/>
        </w:trPr>
        <w:tc>
          <w:tcPr>
            <w:tcW w:type="dxa" w:w="19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Stage</w:t>
            </w:r>
          </w:p>
        </w:tc>
        <w:tc>
          <w:tcPr>
            <w:tcW w:type="dxa" w:w="23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Mandatory artifact</w:t>
            </w:r>
          </w:p>
        </w:tc>
        <w:tc>
          <w:tcPr>
            <w:tcW w:type="dxa" w:w="28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Gate condition</w:t>
            </w:r>
          </w:p>
        </w:tc>
        <w:tc>
          <w:tcPr>
            <w:tcW w:type="dxa" w:w="23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Director / agent owner</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1. Request</w:t>
            </w:r>
          </w:p>
        </w:tc>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Amendment Request (AR-#) Intent Object</w:t>
            </w:r>
          </w:p>
        </w:tc>
        <w:tc>
          <w:tcPr>
            <w:tcW w:type="dxa" w:w="28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Schema-valid; class assigned; sponsor identified; Excluded-Uses screen passed</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Originating Director (proposer); hi-gateway captures</w:t>
            </w:r>
          </w:p>
        </w:tc>
      </w:tr>
      <w:tr>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2. Impact Assessment</w:t>
            </w:r>
          </w:p>
        </w:tc>
        <w:tc>
          <w:tcPr>
            <w:tcW w:type="dxa" w:w="23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Signed Impact Assessment (IA-#)</w:t>
            </w:r>
          </w:p>
        </w:tc>
        <w:tc>
          <w:tcPr>
            <w:tcW w:type="dxa" w:w="28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Twin simulation completed; regulatory delta confirmed by Legal Director; affected subgraphs enumerated; backfill plan attached</w:t>
            </w:r>
          </w:p>
        </w:tc>
        <w:tc>
          <w:tcPr>
            <w:tcW w:type="dxa" w:w="2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Domain Governors + Digital Twins; Legal Director sign-off</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3. Director Quorum</w:t>
            </w:r>
          </w:p>
        </w:tc>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Decision Receipt (DDR-#)</w:t>
            </w:r>
          </w:p>
        </w:tc>
        <w:tc>
          <w:tcPr>
            <w:tcW w:type="dxa" w:w="28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Constitutional quorum met; ACS-C threshold proof produced; dual-author rule satisfied; standstill window declared</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Constitution via hi-gateway; CAV produces threshold proof</w:t>
            </w:r>
          </w:p>
        </w:tc>
      </w:tr>
      <w:tr>
        <w:tc>
          <w:tcPr>
            <w:tcW w:type="dxa" w:w="19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4. Cutover</w:t>
            </w:r>
          </w:p>
        </w:tc>
        <w:tc>
          <w:tcPr>
            <w:tcW w:type="dxa" w:w="23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Cutover Package (CP-#)</w:t>
            </w:r>
          </w:p>
        </w:tc>
        <w:tc>
          <w:tcPr>
            <w:tcW w:type="dxa" w:w="28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Policy bundles, OPA modules, CORE Graph deltas, BOSS calibrations, threshold tables signed by T1 Doctrine Signing Key; preflight Rego validator passed; runtime negotiation healthy on canary</w:t>
            </w:r>
          </w:p>
        </w:tc>
        <w:tc>
          <w:tcPr>
            <w:tcW w:type="dxa" w:w="23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orch-policy + orch-global; CISO co-control</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5. Backfill &amp; Replay</w:t>
            </w:r>
          </w:p>
        </w:tc>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Backfill Manifest (BFM-#) + Replay Receipt (RR-#)</w:t>
            </w:r>
          </w:p>
        </w:tc>
        <w:tc>
          <w:tcPr>
            <w:tcW w:type="dxa" w:w="28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All in-scope Flight Recorder ranges replayed under the new doctrine; conserved ranges sealed under the old doctrine; reconciliation report produced; delta variances within declared bounds</w:t>
            </w:r>
          </w:p>
        </w:tc>
        <w:tc>
          <w:tcPr>
            <w:tcW w:type="dxa" w:w="23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meta-audit (Evidence Integrity Auditor) + meta-integrity (Drift Sentinel)</w:t>
            </w:r>
          </w:p>
        </w:tc>
      </w:tr>
    </w:tbl>
    <w:p>
      <w:pPr>
        <w:pStyle w:val="Heading2"/>
        <w:spacing w:after="140" w:before="240"/>
      </w:pPr>
      <w:r>
        <w:rPr>
          <w:b/>
          <w:bCs/>
        </w:rPr>
        <w:t xml:space="preserve">3.2 Stage 1 — Request</w:t>
      </w:r>
    </w:p>
    <w:p>
      <w:pPr>
        <w:spacing w:after="120" w:line="300"/>
      </w:pPr>
      <w:r>
        <w:t xml:space="preserve">An Amendment Request is created as a Class-A Constitutional Intent Object. The schema extends the standard Intent Object schema (see ADAM — Intent Object Definition) with amendment-specific fields. The originating Director — or, in regulatory-mandated and emergency classes, the Legal Director or CEO — is the sole sponsor at this stage; the system rejects unsponsored requests and rejects requests originating from any agent identity, including meta-governance agents. Drift Sentinel realignment proposals are received as candidate requests that require a Director sponsor before they enter Stage 1.</w:t>
      </w:r>
    </w:p>
    <w:p>
      <w:pPr>
        <w:spacing w:after="120" w:line="300"/>
      </w:pPr>
      <w:r>
        <w:t xml:space="preserve">The Trust Gateway (Stage 3 of the standard six-stage Intent Object pipeline) performs five mandatory checks at intake: (a) the sponsor is a natural-person Director of Record and the request is signed by the sponsor's T2 hybrid key; (b) the request does not propose modification of the Excluded Uses, the Legal Personality Boundary, the doctrine-non-self-amendment axiom, or the four guardrail planes; (c) the affected doctrine area maps to a reserved authorship area (Part II §2.5) — if the sponsor's seat is outside the area, the request is converted to a co-authorship invitation to the owning seat; (d) the request specifies a class, a desired effective date, and a stated reason; (e) the request reference includes any precipitating Doctrine Conflict Record, drift report, or regulatory citation.</w:t>
      </w:r>
    </w:p>
    <w:p>
      <w:pPr>
        <w:pStyle w:val="Heading3"/>
        <w:spacing w:after="120" w:before="200"/>
      </w:pPr>
      <w:r>
        <w:rPr>
          <w:b/>
          <w:bCs/>
        </w:rPr>
        <w:t xml:space="preserve">3.2.1 Amendment Request schema</w:t>
      </w:r>
    </w:p>
    <w:p>
      <w:pPr>
        <w:shd w:fill="F4F4F4" w:color="auto" w:val="clear"/>
        <w:spacing w:after="160" w:before="120" w:line="260"/>
        <w:ind w:left="240" w:right="240"/>
      </w:pPr>
      <w:r>
        <w:rPr>
          <w:rFonts w:ascii="Consolas" w:cs="Consolas" w:eastAsia="Consolas" w:hAnsi="Consolas"/>
          <w:sz w:val="18"/>
          <w:szCs w:val="18"/>
        </w:rPr>
        <w:t xml:space="preserve">{</w:t>
      </w:r>
      <w:r>
        <w:br/>
      </w:r>
      <w:r>
        <w:rPr>
          <w:rFonts w:ascii="Consolas" w:cs="Consolas" w:eastAsia="Consolas" w:hAnsi="Consolas"/>
          <w:sz w:val="18"/>
          <w:szCs w:val="18"/>
        </w:rPr>
        <w:t xml:space="preserve">  "ar_id": "AR-2026-05-08-0001",</w:t>
      </w:r>
      <w:r>
        <w:br/>
      </w:r>
      <w:r>
        <w:rPr>
          <w:rFonts w:ascii="Consolas" w:cs="Consolas" w:eastAsia="Consolas" w:hAnsi="Consolas"/>
          <w:sz w:val="18"/>
          <w:szCs w:val="18"/>
        </w:rPr>
        <w:t xml:space="preserve">  "amendment_class": "regulatory_mandated",</w:t>
      </w:r>
      <w:r>
        <w:br/>
      </w:r>
      <w:r>
        <w:rPr>
          <w:rFonts w:ascii="Consolas" w:cs="Consolas" w:eastAsia="Consolas" w:hAnsi="Consolas"/>
          <w:sz w:val="18"/>
          <w:szCs w:val="18"/>
        </w:rPr>
        <w:t xml:space="preserve">  "sponsor": {</w:t>
      </w:r>
      <w:r>
        <w:br/>
      </w:r>
      <w:r>
        <w:rPr>
          <w:rFonts w:ascii="Consolas" w:cs="Consolas" w:eastAsia="Consolas" w:hAnsi="Consolas"/>
          <w:sz w:val="18"/>
          <w:szCs w:val="18"/>
        </w:rPr>
        <w:t xml:space="preserve">    "director_seat": "legal_director",</w:t>
      </w:r>
      <w:r>
        <w:br/>
      </w:r>
      <w:r>
        <w:rPr>
          <w:rFonts w:ascii="Consolas" w:cs="Consolas" w:eastAsia="Consolas" w:hAnsi="Consolas"/>
          <w:sz w:val="18"/>
          <w:szCs w:val="18"/>
        </w:rPr>
        <w:t xml:space="preserve">    "did": "did:adam:director:legal#&lt;hybrid_thumbprint&gt;",</w:t>
      </w:r>
      <w:r>
        <w:br/>
      </w:r>
      <w:r>
        <w:rPr>
          <w:rFonts w:ascii="Consolas" w:cs="Consolas" w:eastAsia="Consolas" w:hAnsi="Consolas"/>
          <w:sz w:val="18"/>
          <w:szCs w:val="18"/>
        </w:rPr>
        <w:t xml:space="preserve">    "signature_envelope": "&lt;crypto_agility_envelope ref §3.2 Quantum Sec&gt;"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"co_sponsor_required": false,</w:t>
      </w:r>
      <w:r>
        <w:br/>
      </w:r>
      <w:r>
        <w:rPr>
          <w:rFonts w:ascii="Consolas" w:cs="Consolas" w:eastAsia="Consolas" w:hAnsi="Consolas"/>
          <w:sz w:val="18"/>
          <w:szCs w:val="18"/>
        </w:rPr>
        <w:t xml:space="preserve">  "affected_areas": [</w:t>
      </w:r>
      <w:r>
        <w:br/>
      </w:r>
      <w:r>
        <w:rPr>
          <w:rFonts w:ascii="Consolas" w:cs="Consolas" w:eastAsia="Consolas" w:hAnsi="Consolas"/>
          <w:sz w:val="18"/>
          <w:szCs w:val="18"/>
        </w:rPr>
        <w:t xml:space="preserve">    "core_graph.regulatory.eu_ai_act.article_9",</w:t>
      </w:r>
      <w:r>
        <w:br/>
      </w:r>
      <w:r>
        <w:rPr>
          <w:rFonts w:ascii="Consolas" w:cs="Consolas" w:eastAsia="Consolas" w:hAnsi="Consolas"/>
          <w:sz w:val="18"/>
          <w:szCs w:val="18"/>
        </w:rPr>
        <w:t xml:space="preserve">    "boss.dimension.regulatory.thresholds",</w:t>
      </w:r>
      <w:r>
        <w:br/>
      </w:r>
      <w:r>
        <w:rPr>
          <w:rFonts w:ascii="Consolas" w:cs="Consolas" w:eastAsia="Consolas" w:hAnsi="Consolas"/>
          <w:sz w:val="18"/>
          <w:szCs w:val="18"/>
        </w:rPr>
        <w:t xml:space="preserve">    "policy_bundle.eu_ai_act_high_risk"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"trigger_reference": {</w:t>
      </w:r>
      <w:r>
        <w:br/>
      </w:r>
      <w:r>
        <w:rPr>
          <w:rFonts w:ascii="Consolas" w:cs="Consolas" w:eastAsia="Consolas" w:hAnsi="Consolas"/>
          <w:sz w:val="18"/>
          <w:szCs w:val="18"/>
        </w:rPr>
        <w:t xml:space="preserve">    "type": "regulator_publication",</w:t>
      </w:r>
      <w:r>
        <w:br/>
      </w:r>
      <w:r>
        <w:rPr>
          <w:rFonts w:ascii="Consolas" w:cs="Consolas" w:eastAsia="Consolas" w:hAnsi="Consolas"/>
          <w:sz w:val="18"/>
          <w:szCs w:val="18"/>
        </w:rPr>
        <w:t xml:space="preserve">    "citation": "EU AI Act delegated act XX/2026 of &lt;date&gt;",</w:t>
      </w:r>
      <w:r>
        <w:br/>
      </w:r>
      <w:r>
        <w:rPr>
          <w:rFonts w:ascii="Consolas" w:cs="Consolas" w:eastAsia="Consolas" w:hAnsi="Consolas"/>
          <w:sz w:val="18"/>
          <w:szCs w:val="18"/>
        </w:rPr>
        <w:t xml:space="preserve">    "binding_effective_date": "&lt;ISO-8601&gt;"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"desired_effective_date": "&lt;ISO-8601&gt;",</w:t>
      </w:r>
      <w:r>
        <w:br/>
      </w:r>
      <w:r>
        <w:rPr>
          <w:rFonts w:ascii="Consolas" w:cs="Consolas" w:eastAsia="Consolas" w:hAnsi="Consolas"/>
          <w:sz w:val="18"/>
          <w:szCs w:val="18"/>
        </w:rPr>
        <w:t xml:space="preserve">  "stated_reason": "Implement the EU AI Act delegated act on risk-management documentation requirements applicable to high-risk AI systems.",</w:t>
      </w:r>
      <w:r>
        <w:br/>
      </w:r>
      <w:r>
        <w:rPr>
          <w:rFonts w:ascii="Consolas" w:cs="Consolas" w:eastAsia="Consolas" w:hAnsi="Consolas"/>
          <w:sz w:val="18"/>
          <w:szCs w:val="18"/>
        </w:rPr>
        <w:t xml:space="preserve">  "excluded_uses_screen": "passed",</w:t>
      </w:r>
      <w:r>
        <w:br/>
      </w:r>
      <w:r>
        <w:rPr>
          <w:rFonts w:ascii="Consolas" w:cs="Consolas" w:eastAsia="Consolas" w:hAnsi="Consolas"/>
          <w:sz w:val="18"/>
          <w:szCs w:val="18"/>
        </w:rPr>
        <w:t xml:space="preserve">  "legal_personality_screen": "passed",</w:t>
      </w:r>
      <w:r>
        <w:br/>
      </w:r>
      <w:r>
        <w:rPr>
          <w:rFonts w:ascii="Consolas" w:cs="Consolas" w:eastAsia="Consolas" w:hAnsi="Consolas"/>
          <w:sz w:val="18"/>
          <w:szCs w:val="18"/>
        </w:rPr>
        <w:t xml:space="preserve">  "non_self_amend_screen": "passed",</w:t>
      </w:r>
      <w:r>
        <w:br/>
      </w:r>
      <w:r>
        <w:rPr>
          <w:rFonts w:ascii="Consolas" w:cs="Consolas" w:eastAsia="Consolas" w:hAnsi="Consolas"/>
          <w:sz w:val="18"/>
          <w:szCs w:val="18"/>
        </w:rPr>
        <w:t xml:space="preserve">  "guardrail_plane_integrity_screen": "passed",</w:t>
      </w:r>
      <w:r>
        <w:br/>
      </w:r>
      <w:r>
        <w:rPr>
          <w:rFonts w:ascii="Consolas" w:cs="Consolas" w:eastAsia="Consolas" w:hAnsi="Consolas"/>
          <w:sz w:val="18"/>
          <w:szCs w:val="18"/>
        </w:rPr>
        <w:t xml:space="preserve">  "intent_object_envelope": "&lt;see Intent Object Definition §schema&gt;"</w:t>
      </w:r>
      <w:r>
        <w:br/>
      </w:r>
      <w:r>
        <w:rPr>
          <w:rFonts w:ascii="Consolas" w:cs="Consolas" w:eastAsia="Consolas" w:hAnsi="Consolas"/>
          <w:sz w:val="18"/>
          <w:szCs w:val="18"/>
        </w:rPr>
        <w:t xml:space="preserve">}</w:t>
      </w:r>
    </w:p>
    <w:p>
      <w:pPr>
        <w:pStyle w:val="Heading2"/>
        <w:spacing w:after="140" w:before="240"/>
      </w:pPr>
      <w:r>
        <w:rPr>
          <w:b/>
          <w:bCs/>
        </w:rPr>
        <w:t xml:space="preserve">3.3 Stage 2 — Impact Assessment</w:t>
      </w:r>
    </w:p>
    <w:p>
      <w:pPr>
        <w:spacing w:after="120" w:line="300"/>
      </w:pPr>
      <w:r>
        <w:t xml:space="preserve">The Impact Assessment is the most consequential stage. It is the structured analytical artifact that lets a Director vote on evidence rather than belief. It is produced jointly by the Domain Governor agents and the Digital Twins; it is signed by the Legal Director (regulatory delta), the CFO (financial delta), the Market Director (reputational delta), the CISO (security and sovereignty delta, including QE and ACE), and the CEO (composite). Where seated, the CPO co-signs rights/product delta and the CTO co-signs technology delta.</w:t>
      </w:r>
    </w:p>
    <w:p>
      <w:pPr>
        <w:spacing w:after="120" w:line="300"/>
      </w:pPr>
      <w:r>
        <w:t xml:space="preserve">The assessment is required to address eleven analytical surfaces. Any surface that is not relevant to a particular amendment must still be explicitly marked 'not applicable' with a justification; silent omission is rejected by the preflight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Surface</w:t>
            </w:r>
          </w:p>
        </w:tc>
        <w:tc>
          <w:tcPr>
            <w:tcW w:type="dxa" w:w="46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What it must contain</w:t>
            </w:r>
          </w:p>
        </w:tc>
        <w:tc>
          <w:tcPr>
            <w:tcW w:type="dxa" w:w="25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Author</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S1. Doctrine delta</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Field-level diff against the current doctrine: which CORE Graph nodes/edges, BOSS dimensions, weights, thresholds, Priority Tier assignments, autonomy budgets, residency rules, and policy bundles are added, modified, or deprecated</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CORE Engine + meta-integrity</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S2. Regulatory delta</w:t>
            </w:r>
          </w:p>
        </w:tc>
        <w:tc>
          <w:tcPr>
            <w:tcW w:type="dxa" w:w="46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Crosswalk against every framework ADAM tracks (NIST CSF, NIST AI RMF, EU AI Act, DORA, NIS2, ISO/IEC 42001, NIST FIPS 203/204/205, CMMC, PCI DSS, SWIFT CSP, FFIEC AIO+CAT, NY DFS, MAS TRM+FEAT, FedRAMP/OSCAL, Council of Europe AI Convention) showing which obligations are tightened, loosened, newly satisfied, or newly at risk</w:t>
            </w:r>
          </w:p>
        </w:tc>
        <w:tc>
          <w:tcPr>
            <w:tcW w:type="dxa" w:w="2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Legal Director + Regulatory Interface Agent</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S3. Operational delta</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Replay of the prior 90-day decision set under the proposed doctrine: how many actions change tier, how many new escalations are produced, which director queues grow, expected SLA impact on hi-gateway</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Operational Twin</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S4. Financial delta</w:t>
            </w:r>
          </w:p>
        </w:tc>
        <w:tc>
          <w:tcPr>
            <w:tcW w:type="dxa" w:w="46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Re-scoring of the prior 90-day financial autonomy budget consumption; expected change to budget exhaustion frequency; impact on CFO escalation queue</w:t>
            </w:r>
          </w:p>
        </w:tc>
        <w:tc>
          <w:tcPr>
            <w:tcW w:type="dxa" w:w="2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Economic Twin + CFO</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S5. Rights delta</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Impact on Rights Certainty dimension; licensing and IP exposure; contractual obligations to partners and customers</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Risk &amp; Compliance Twin + Market Director (CPO when seated)</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S6. Sovereignty delta</w:t>
            </w:r>
          </w:p>
        </w:tc>
        <w:tc>
          <w:tcPr>
            <w:tcW w:type="dxa" w:w="46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Impact on the seven sovereignty axes (data, policy, identity, key, evidence, runtime, supply-chain); SovereigntyActionScore distribution shift</w:t>
            </w:r>
          </w:p>
        </w:tc>
        <w:tc>
          <w:tcPr>
            <w:tcW w:type="dxa" w:w="2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Security &amp; Trust Governor</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S7. Security delta — QE and ACE</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Quantum Exposure delta (cipher-suite, key tier, retention class) and AI-Control Attack Exposure delta (injection, tool, model, memory, drift, downgrade); Dimension 1 distribution shift</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CISO + Security Governor</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S8. Worker / consumer impact</w:t>
            </w:r>
          </w:p>
        </w:tc>
        <w:tc>
          <w:tcPr>
            <w:tcW w:type="dxa" w:w="46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Effect on natural persons interacting with the system: customers, employees, regulated subjects, beneficiaries; surfaces protected-attribute and disparate-impact concerns</w:t>
            </w:r>
          </w:p>
        </w:tc>
        <w:tc>
          <w:tcPr>
            <w:tcW w:type="dxa" w:w="2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Ethics agents (ai-ethics-fairness, ai-ethics-bias, ai-ethics-alignment) + Legal Director</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S9. Reversibility analysis</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Whether each element of the amendment can be rolled back, the rollback cost, the rollback window, and any non-reversible consequences (notably: external commitments made under the new doctrine)</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CORE Engine + Legal Director</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S10. Migration and backfill plan</w:t>
            </w:r>
          </w:p>
        </w:tc>
        <w:tc>
          <w:tcPr>
            <w:tcW w:type="dxa" w:w="46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Concrete plan: which Flight Recorder ranges to re-score, which to conserve under prior doctrine, which CORE Graph snapshots to rebuild, which BOSS scores to recompute, which exception packets to refile, which Director Decision Receipts are sealed and which are reopened (Part IV)</w:t>
            </w:r>
          </w:p>
        </w:tc>
        <w:tc>
          <w:tcPr>
            <w:tcW w:type="dxa" w:w="2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meta-audit + orch-policy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S11. Excluded-Uses re-screen</w:t>
            </w:r>
          </w:p>
        </w:tc>
        <w:tc>
          <w:tcPr>
            <w:tcW w:type="dxa" w:w="46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Re-confirmation that the proposed doctrine does not enable any Excluded Use directly or indirectly, including through composition with adapters and downstream systems</w:t>
            </w:r>
          </w:p>
        </w:tc>
        <w:tc>
          <w:tcPr>
            <w:tcW w:type="dxa" w:w="2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 + CISO</w:t>
            </w:r>
          </w:p>
        </w:tc>
      </w:tr>
    </w:tbl>
    <w:p>
      <w:pPr>
        <w:pStyle w:val="Heading3"/>
        <w:spacing w:after="120" w:before="200"/>
      </w:pPr>
      <w:r>
        <w:rPr>
          <w:b/>
          <w:bCs/>
        </w:rPr>
        <w:t xml:space="preserve">3.3.1 Twin simulation depth by class</w:t>
      </w:r>
    </w:p>
    <w:p>
      <w:pPr>
        <w:spacing w:after="120" w:line="300"/>
      </w:pPr>
      <w:r>
        <w:t xml:space="preserve">The depth of digital-twin simulation required to discharge the assessment scales with class. Emergency-class amendments may proceed on shallow simulation under a 24-hour confirmation window; all other classes require deep simulation before quorum 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460"/>
      </w:tblGrid>
      <w:tr>
        <w:trPr>
          <w:tblHeader/>
        </w:trPr>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Class</w:t>
            </w:r>
          </w:p>
        </w:tc>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Replay window</w:t>
            </w:r>
          </w:p>
        </w:tc>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Twin breadth</w:t>
            </w:r>
          </w:p>
        </w:tc>
        <w:tc>
          <w:tcPr>
            <w:tcW w:type="dxa" w:w="34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Required confidence band</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 Regulatory-mandated</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Prior 365 days</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Operational + Economic + Risk &amp; Compliance + Sovereignty + Customer</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 95% on regulatory delta surface; ≥ 90% composite</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 Director-initiated</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Prior 365 days</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All twins</w:t>
            </w:r>
          </w:p>
        </w:tc>
        <w:tc>
          <w:tcPr>
            <w:tcW w:type="dxa" w:w="3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 90% composite</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 Conflict-arbitration-resolved</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Prior 90 days plus the conflict-affected paths in full lineage</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Twins relevant to the conflict domain plus Operational and Risk &amp; Compliance</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 90% on conflict-domain delta; ≥ 85% composite</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 Drift-realignment-driven</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Prior 180 days</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Operational + Risk &amp; Compliance + Customer</w:t>
            </w:r>
          </w:p>
        </w:tc>
        <w:tc>
          <w:tcPr>
            <w:tcW w:type="dxa" w:w="3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 90% on drift-domain delta; ≥ 85% composite</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 Emergency (constitutional)</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Most recent 30 days plus the precipitating event</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Minimum: Risk &amp; Compliance + Sovereignty + Customer</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Best-effort; confirmed retrospectively in the 24-hour confirmation window</w:t>
            </w:r>
          </w:p>
        </w:tc>
      </w:tr>
    </w:tbl>
    <w:p>
      <w:pPr>
        <w:pStyle w:val="Heading2"/>
        <w:spacing w:after="140" w:before="240"/>
      </w:pPr>
      <w:r>
        <w:rPr>
          <w:b/>
          <w:bCs/>
        </w:rPr>
        <w:t xml:space="preserve">3.4 Stage 3 — Director Quorum</w:t>
      </w:r>
    </w:p>
    <w:p>
      <w:pPr>
        <w:spacing w:after="120" w:line="300"/>
      </w:pPr>
      <w:r>
        <w:t xml:space="preserve">Quorum is a literal cryptographic property, not a policy assertion. Doctrine amendments at HIGH tier require, by default, the affirmative vote of (a) the originating Director, (b) the seated Director(s) owning the affected reserved authorship area, and (c) a co-quorum of additional directors sufficient to satisfy the 5/6/7-Director Constitution under the active configuration. OHSHAT-tier amendments require the full Constitution. The CEO holds final arbitration authority on quorum disputes; CEO sole-author amendments are categorically refused — the dual-author rule is an architectural invariant.</w:t>
      </w:r>
    </w:p>
    <w:p>
      <w:pPr>
        <w:spacing w:after="120" w:line="300"/>
      </w:pPr>
      <w:r>
        <w:t xml:space="preserve">Each Director vote is captured by the Human Trust Gateway Agent (hi-gateway) as a Director Decision Receipt with verbs from the standard set: approve, reject, modify (with constraint diff), defer (with deadline), comment-only. Modify verbs at this stage do not amend the Amendment Request; they propose a new Amendment Request (AR-#-r1) carrying the proposed modifications, which re-enters Stage 1 and runs through Stage 2 again. This is by design: silent modification of the substantive amendment between assessment and quorum would invalidate the assessment that authorised the vote.</w:t>
      </w:r>
    </w:p>
    <w:p>
      <w:pPr>
        <w:spacing w:after="120" w:line="300"/>
      </w:pPr>
      <w:r>
        <w:t xml:space="preserve">On final quorum, the Director Decision Receipts are aggregated into a Constitutional Decision Receipt (CDR-#) signed under the T1 Doctrine Signing Key via an ACS-C threshold proof that mathematically requires the constitutional quorum. The CDR is the cryptographic act of amendment. Until the CDR is written to the Flight Recorder and externally anchored, the prior doctrine remains in force.</w:t>
      </w:r>
    </w:p>
    <w:p>
      <w:pPr>
        <w:pStyle w:val="Heading3"/>
        <w:spacing w:after="120" w:before="200"/>
      </w:pPr>
      <w:r>
        <w:rPr>
          <w:b/>
          <w:bCs/>
        </w:rPr>
        <w:t xml:space="preserve">3.4.1 Quorum thresholds by class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460"/>
      </w:tblGrid>
      <w:tr>
        <w:trPr>
          <w:tblHeader/>
        </w:trPr>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Class</w:t>
            </w:r>
          </w:p>
        </w:tc>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5-Director (default)</w:t>
            </w:r>
          </w:p>
        </w:tc>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6-Director (CPO or CTO)</w:t>
            </w:r>
          </w:p>
        </w:tc>
        <w:tc>
          <w:tcPr>
            <w:tcW w:type="dxa" w:w="34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7-Director (CPO + CTO)</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 Regulatory-mandated</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 + 2 of {CEO, CFO, Market, CISO}</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 + 3 of remaining</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 + 4 of remaining</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 Director-initiated</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Originator + 2 of remaining 4</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Originator + 3 of remaining 5</w:t>
            </w:r>
          </w:p>
        </w:tc>
        <w:tc>
          <w:tcPr>
            <w:tcW w:type="dxa" w:w="3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Originator + 4 of remaining 6</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 Conflict-arbitration-resolved</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Conflict owner + 2 of remaining 4</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Conflict owner + 3 of remaining 5</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Conflict owner + 4 of remaining 6</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 Drift-realignment-driven</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Domain owner + 2 of remaining 4</w:t>
            </w:r>
          </w:p>
        </w:tc>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Domain owner + 3 of remaining 5</w:t>
            </w:r>
          </w:p>
        </w:tc>
        <w:tc>
          <w:tcPr>
            <w:tcW w:type="dxa" w:w="34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Domain owner + 4 of remaining 6</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 Emergency (constitutional)</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All 5 within 24 hours; CEO + 2 to activate; full Constitution to confirm</w:t>
            </w:r>
          </w:p>
        </w:tc>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All 6 within 24 hours</w:t>
            </w:r>
          </w:p>
        </w:tc>
        <w:tc>
          <w:tcPr>
            <w:tcW w:type="dxa" w:w="34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All 7 within 24 hours</w:t>
            </w:r>
          </w:p>
        </w:tc>
      </w:tr>
    </w:tbl>
    <w:p>
      <w:pPr>
        <w:pStyle w:val="Heading2"/>
        <w:spacing w:after="140" w:before="240"/>
      </w:pPr>
      <w:r>
        <w:rPr>
          <w:b/>
          <w:bCs/>
        </w:rPr>
        <w:t xml:space="preserve">3.5 Stage 4 — Cutover</w:t>
      </w:r>
    </w:p>
    <w:p>
      <w:pPr>
        <w:spacing w:after="120" w:line="300"/>
      </w:pPr>
      <w:r>
        <w:t xml:space="preserve">Cutover is the deterministic, two-control deployment of the new doctrine into the running mesh. The amendment becomes operative at the declared effective date — never earlier — and the standstill window between the CDR write and the effective date is enforced by the policy plane. During standstill, the new doctrine is loadable in shadow mode for runtime negotiation tests but is not authoritative for live decisions; canaries can compare scores under the prior and proposed doctrines without altering execution.</w:t>
      </w:r>
    </w:p>
    <w:p>
      <w:pPr>
        <w:spacing w:after="120" w:line="300"/>
      </w:pPr>
      <w:r>
        <w:t xml:space="preserve">Cutover Package contents are signed under the T1 Doctrine Signing Key with hybrid Ed25519 + ML-DSA-65 (per the cipher-suite minimum); long-term archival anchors use SLH-DSA-256s. Bundles are deployed via the standard L4 Policy &amp; Guardrails control surface, with dual control (two Directors or CISO + Legal) and the preflight Rego validator as a hard gate. Failure of the validator at any point — whether on a Rego safety violation, a missing import rego.v1, an unsigned bundle, or a runtime cipher-suite below the new doctrine minimum — refuses the cutover and pages the on-call directors. The prior doctrine remains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Cutover artifact</w:t>
            </w:r>
          </w:p>
        </w:tc>
        <w:tc>
          <w:tcPr>
            <w:tcW w:type="dxa" w:w="45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Contents</w:t>
            </w:r>
          </w:p>
        </w:tc>
        <w:tc>
          <w:tcPr>
            <w:tcW w:type="dxa" w:w="27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Verifier</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Policy bundle (signed)</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Updated OPA Rego modules conforming to the seven hard rules; new dimension thresholds; updated Priority Tier assignments; updated decision tables</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preflight Rego validator + L4 plane runtime hash check</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CORE Graph delta</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Field-level node/edge additions, modifications, deprecations; lineage pointer to prior doctrine version</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CORE Engine integrity check + meta-integrity hash compare</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BOSS calibration update</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New weights, threshold tables, Priority Tier weights; methodology semver pin advanced for any amendment touching scoring</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BOSS Calibration agent dual-control sign-off</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Cipher-suite minimum (if changed)</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Updated adam-suite-NN.NN profile; downgrade fallback policy; key-tier algorithm update</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RGI negotiate_suite() refusal of below-minimum on every plane crossing</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External commitment register</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List of external commitments made under prior doctrine that are conserved (not re-priced) versus those that are migrated</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Legal Director + CFO + counterparty notice where applicable</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Notice artifact</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Public or restricted-distribution notice describing the amendment, effective date, and migration intent (regulator-aligned where applicable)</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Legal Director sign-off; standstill enforcement</w:t>
            </w:r>
          </w:p>
        </w:tc>
      </w:tr>
    </w:tbl>
    <w:p>
      <w:pPr>
        <w:pStyle w:val="Heading2"/>
        <w:spacing w:after="140" w:before="240"/>
      </w:pPr>
      <w:r>
        <w:rPr>
          <w:b/>
          <w:bCs/>
        </w:rPr>
        <w:t xml:space="preserve">3.6 Stage 5 — Backfill and Replay</w:t>
      </w:r>
    </w:p>
    <w:p>
      <w:pPr>
        <w:spacing w:after="120" w:line="300"/>
      </w:pPr>
      <w:r>
        <w:t xml:space="preserve">The backfill stage discharges the obligation that 'audit equals playback, not archaeology' under the new doctrine. It does not alter Director Decision Receipts already written under prior doctrine; those remain evidence of what was authorised at the time, and their signatures retain validity through the migration_history field of the crypto-agility envelope (see Quantum and Cryptographic Security at Scale §3.2). What backfill does is produce, for every action in the in-scope ranges, a re-scored shadow record that shows what the action would have scored under the new doctrine, alongside the original score under the doctrine in force at the time.</w:t>
      </w:r>
    </w:p>
    <w:p>
      <w:pPr>
        <w:spacing w:after="120" w:line="300"/>
      </w:pPr>
      <w:r>
        <w:t xml:space="preserve">Three backfill scopes apply; each amendment's Backfill Manifest declares the applicable scope per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Scope</w:t>
            </w:r>
          </w:p>
        </w:tc>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Definition</w:t>
            </w:r>
          </w:p>
        </w:tc>
        <w:tc>
          <w:tcPr>
            <w:tcW w:type="dxa" w:w="27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When applicable</w:t>
            </w:r>
          </w:p>
        </w:tc>
        <w:tc>
          <w:tcPr>
            <w:tcW w:type="dxa" w:w="27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Record class produced</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Conserve</w:t>
            </w:r>
          </w:p>
        </w:tc>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Range remains scored, classified, and authorised under the doctrine in force at the time; no re-scoring is performed</w:t>
            </w:r>
          </w:p>
        </w:tc>
        <w:tc>
          <w:tcPr>
            <w:tcW w:type="dxa" w:w="2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Default for legally settled actions, completed external commitments, statute-of-limitations-expired ranges, and ranges explicitly conserved by Director order</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Sealed range pointer (SRP-#) referencing the prior doctrine version</w:t>
            </w:r>
          </w:p>
        </w:tc>
      </w:tr>
      <w:tr>
        <w:tc>
          <w:tcPr>
            <w:tcW w:type="dxa" w:w="1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Re-score (shadow)</w:t>
            </w:r>
          </w:p>
        </w:tc>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Range is re-scored under the new doctrine; the original score remains primary; the shadow score is recorded for analytics and future replay</w:t>
            </w:r>
          </w:p>
        </w:tc>
        <w:tc>
          <w:tcPr>
            <w:tcW w:type="dxa" w:w="27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Default for non-emergency amendments; required for any range whose classification could differ under the new doctrine</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Shadow Score Record (SSR-#) with both scores and the delta</w:t>
            </w:r>
          </w:p>
        </w:tc>
      </w:tr>
      <w:tr>
        <w:tc>
          <w:tcPr>
            <w:tcW w:type="dxa" w:w="1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Re-score (authoritative)</w:t>
            </w:r>
          </w:p>
        </w:tc>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Range is re-scored under the new doctrine and the new score becomes primary for ongoing actions (e.g., autonomy-budget consumption already underway)</w:t>
            </w:r>
          </w:p>
        </w:tc>
        <w:tc>
          <w:tcPr>
            <w:tcW w:type="dxa" w:w="27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Required when the new doctrine alters a continuing measurement (open autonomy budget windows, in-flight cumulative thresholds)</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Authoritative Re-score Record (ARR-#) with explicit director order</w:t>
            </w:r>
          </w:p>
        </w:tc>
      </w:tr>
    </w:tbl>
    <w:p>
      <w:pPr>
        <w:spacing w:after="120" w:line="300"/>
      </w:pPr>
      <w:r>
        <w:t xml:space="preserve">The Replay Receipt at the close of Stage 5 is a structured reconciliation: total in-scope actions, count by scope per surface, distribution of tier shifts (SOAP→MODERATE etc.), variance against the Stage 2 simulation predictions, and any exceptions to the predictions classified by category. Variance beyond the declared confidence band triggers a Doctrine Conflict Record under the existing arbitration model — the system surfaces the divergence to the Director Constitution and, if directed, opens a follow-up amendment cycle. This closes the loop: the same governance machinery that authorises an amendment is the machinery that detects when an amendment did not have the predicted effect.</w:t>
      </w:r>
    </w:p>
    <w:p>
      <w:pPr>
        <w:pStyle w:val="Heading1"/>
        <w:pageBreakBefore/>
        <w:spacing w:after="200" w:before="320"/>
      </w:pPr>
      <w:r>
        <w:rPr>
          <w:b/>
          <w:bCs/>
        </w:rPr>
        <w:t xml:space="preserve">Part IV — Versioned Migrations and Replay</w:t>
      </w:r>
    </w:p>
    <w:p>
      <w:pPr>
        <w:pStyle w:val="Heading2"/>
        <w:spacing w:after="140" w:before="240"/>
      </w:pPr>
      <w:r>
        <w:rPr>
          <w:b/>
          <w:bCs/>
        </w:rPr>
        <w:t xml:space="preserve">4.1 The migration invariants</w:t>
      </w:r>
    </w:p>
    <w:p>
      <w:pPr>
        <w:spacing w:after="120" w:line="300"/>
      </w:pPr>
      <w:r>
        <w:t xml:space="preserve">Migration during a doctrine amendment must satisfy four invariants without exception. These are architectural properties enforced at the Flight Recorder, the CORE Engine, the BOSS scoring engine, and the policy plane; they are not policy assertions and they cannot be relaxed by an amendment.</w:t>
      </w:r>
    </w:p>
    <w:p>
      <w:pPr>
        <w:pStyle w:val="ListParagraph"/>
        <w:numPr>
          <w:ilvl w:val="0"/>
          <w:numId w:val="2"/>
        </w:numPr>
        <w:spacing w:after="80" w:line="280"/>
      </w:pPr>
      <w:r>
        <w:t xml:space="preserve">Append-only chain. The Flight Recorder hash chain (SHA-384) is append-only across the cutover. The amendment package, the migration plan, every shadow score, and every replay receipt is appended; nothing prior is rewritten. The chain segment containing the cutover is signed under both the prior and the new T1 Doctrine Signing Key configurations and is externally anchored on both sides of the cutover boundary.</w:t>
      </w:r>
    </w:p>
    <w:p>
      <w:pPr>
        <w:pStyle w:val="ListParagraph"/>
        <w:numPr>
          <w:ilvl w:val="0"/>
          <w:numId w:val="2"/>
        </w:numPr>
        <w:spacing w:after="80" w:line="280"/>
      </w:pPr>
      <w:r>
        <w:t xml:space="preserve">Verifier-friendly composition. A verifier reconstructing the state of the system at any past time uses the doctrine version pinned in that record's envelope to choose the algorithms, thresholds, and rules under which to verify; the migration_history field carries the chain of subsequent re-anchorings without altering the original signature.</w:t>
      </w:r>
    </w:p>
    <w:p>
      <w:pPr>
        <w:pStyle w:val="ListParagraph"/>
        <w:numPr>
          <w:ilvl w:val="0"/>
          <w:numId w:val="2"/>
        </w:numPr>
        <w:spacing w:after="80" w:line="280"/>
      </w:pPr>
      <w:r>
        <w:t xml:space="preserve">Lineage continuity. Every doctrine version carries a lineage pointer to its parent (and, for emergency-class amendments, to the prior steady-state doctrine and the precipitating event). The CORE Graph stores doctrine versions as a directed acyclic graph; rollback creates a new lineage, never a deletion.</w:t>
      </w:r>
    </w:p>
    <w:p>
      <w:pPr>
        <w:pStyle w:val="ListParagraph"/>
        <w:numPr>
          <w:ilvl w:val="0"/>
          <w:numId w:val="2"/>
        </w:numPr>
        <w:spacing w:after="80" w:line="280"/>
      </w:pPr>
      <w:r>
        <w:t xml:space="preserve">Replay equivalence. For any historical action, replaying the inputs through the doctrine in force at the time yields the same score, the same classification, and the same authorisation as the original Flight Recorder record. Replay equivalence is verified by sampling on every cutover and is asserted as part of the Replay Receipt.</w:t>
      </w:r>
    </w:p>
    <w:p>
      <w:pPr>
        <w:pStyle w:val="Heading2"/>
        <w:spacing w:after="140" w:before="240"/>
      </w:pPr>
      <w:r>
        <w:rPr>
          <w:b/>
          <w:bCs/>
        </w:rPr>
        <w:t xml:space="preserve">4.2 What gets versioned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Versioned object</w:t>
            </w:r>
          </w:p>
        </w:tc>
        <w:tc>
          <w:tcPr>
            <w:tcW w:type="dxa" w:w="45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Granularity</w:t>
            </w:r>
          </w:p>
        </w:tc>
        <w:tc>
          <w:tcPr>
            <w:tcW w:type="dxa" w:w="27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Where the version is pinned</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version (composite)</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One per amendment effective date (e.g., doctrine/2026.05.20-r1)</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Crypto-agility envelope policy_version field on every signed object</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CORE Graph snapshot</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One per doctrine version; deltas reference the snapshot hash</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Intent Object core_graph_snapshot_ref field; BOSS provenance</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Policy bundle</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Bundle hash (cosign / Sigstore signed) per doctrine version</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L4 plane bundle hash recorded with every BOSS evaluation</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BOSS methodology</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Methodology semver advanced per amendment that touches scoring</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BOSS provenance chain in every score record</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Threshold table</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Per-dimension threshold table version</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BOSS provenance chain per dimension evaluation</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Priority Tier weights</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One per doctrine version</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BOSS composite calculation provenance</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Cipher-suite profile</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Profile version (e.g., adam-suite-2026.04 → adam-suite-2026.05)</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Crypto-agility envelope suite_version field</w:t>
            </w:r>
          </w:p>
        </w:tc>
      </w:tr>
      <w:tr>
        <w:tc>
          <w:tcPr>
            <w:tcW w:type="dxa" w:w="21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RGI runtime negotiation minima</w:t>
            </w:r>
          </w:p>
        </w:tc>
        <w:tc>
          <w:tcPr>
            <w:tcW w:type="dxa" w:w="45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One per doctrine version</w:t>
            </w:r>
          </w:p>
        </w:tc>
        <w:tc>
          <w:tcPr>
            <w:tcW w:type="dxa" w:w="27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RGI runtime registration; refusal at below-minimum</w:t>
            </w:r>
          </w:p>
        </w:tc>
      </w:tr>
      <w:tr>
        <w:tc>
          <w:tcPr>
            <w:tcW w:type="dxa" w:w="21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Reserved-decision matrix</w:t>
            </w:r>
          </w:p>
        </w:tc>
        <w:tc>
          <w:tcPr>
            <w:tcW w:type="dxa" w:w="45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One per doctrine version; per-Director-seat</w:t>
            </w:r>
          </w:p>
        </w:tc>
        <w:tc>
          <w:tcPr>
            <w:tcW w:type="dxa" w:w="27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Trust Gateway routing tables; Governance Charter hash</w:t>
            </w:r>
          </w:p>
        </w:tc>
      </w:tr>
    </w:tbl>
    <w:p>
      <w:pPr>
        <w:pStyle w:val="Heading2"/>
        <w:spacing w:after="140" w:before="240"/>
      </w:pPr>
      <w:r>
        <w:rPr>
          <w:b/>
          <w:bCs/>
        </w:rPr>
        <w:t xml:space="preserve">4.3 Replayable backfill — concrete obligation</w:t>
      </w:r>
    </w:p>
    <w:p>
      <w:pPr>
        <w:spacing w:after="120" w:line="300"/>
      </w:pPr>
      <w:r>
        <w:t xml:space="preserve">A 'replayable backfill' is the production of, for every action in the in-scope ranges, a tuple of (original score, original classification, original authorisation, doctrine_version_at_time) and (shadow score, shadow classification, would-have-been authorisation, doctrine_version_post_amendment). The tuple is hash-linked to both doctrine versions and to the original action's Flight Recorder entry, so that any future verifier can reconstruct either side without re-simulating the system. The backfill is performed as a staged, idempotent batch job with checkpointing; partial backfills produce a partial Replay Receipt that itself enters the Flight Recorder.</w:t>
      </w:r>
    </w:p>
    <w:p>
      <w:pPr>
        <w:spacing w:after="120" w:line="300"/>
      </w:pPr>
      <w:r>
        <w:t xml:space="preserve">The Replay Receipt records the variance between the Stage 2 simulation predictions and the actual backfill outcomes. A 5% absolute or 15% relative variance on any surface declared in the Impact Assessment opens a Doctrine Conflict Record automatically (per Doctrine Conflict Arbitration Model in ADAM — Legal and Arbitration §II), surfacing the divergence to the Director Constitution. This is why the Stage 2 Impact Assessment is a binding artifact rather than a discretionary attachment: the act of voting an amendment incorporates the assessment's predictions as a constraint on the amendment's behaviour, and material divergence is treated as a doctrine signal in its own right.</w:t>
      </w:r>
    </w:p>
    <w:p>
      <w:pPr>
        <w:pStyle w:val="Heading2"/>
        <w:spacing w:after="140" w:before="240"/>
      </w:pPr>
      <w:r>
        <w:rPr>
          <w:b/>
          <w:bCs/>
        </w:rPr>
        <w:t xml:space="preserve">4.4 Rollback and the no-orphan rule</w:t>
      </w:r>
    </w:p>
    <w:p>
      <w:pPr>
        <w:spacing w:after="120" w:line="300"/>
      </w:pPr>
      <w:r>
        <w:t xml:space="preserve">Every amendment carries an explicit rollback plan, signed at Stage 3 by the same quorum that approved the amendment. Rollback is itself an amendment — class-B by default, class-E in safe-mode-triggered cases — and follows the same lifecycle. There is no shortcut path to undo a doctrine change. This is intentional: the cost of rollback is symmetric to the cost of forward change, which prevents informal reversal of an authored decision and ensures rollback is a governed event rather than an operational reflex.</w:t>
      </w:r>
    </w:p>
    <w:p>
      <w:pPr>
        <w:spacing w:after="120" w:line="300"/>
      </w:pPr>
      <w:r>
        <w:t xml:space="preserve">During rollback, no Director Decision Receipt or external commitment is orphaned. Receipts written under the rolled-back doctrine remain valid evidence of what was authorised at the time; the rollback amendment specifies whether each in-flight authorisation continues under its original doctrine to completion, is paused for re-authorisation under the rolled-back doctrine, or is cancelled with structured cancellation evidence. The default is continuation under original doctrine; pause and cancellation require explicit director order.</w:t>
      </w:r>
    </w:p>
    <w:p>
      <w:pPr>
        <w:pStyle w:val="Heading1"/>
        <w:pageBreakBefore/>
        <w:spacing w:after="200" w:before="320"/>
      </w:pPr>
      <w:r>
        <w:rPr>
          <w:b/>
          <w:bCs/>
        </w:rPr>
        <w:t xml:space="preserve">Part V — Class Playbooks and Worked Mechanics</w:t>
      </w:r>
    </w:p>
    <w:p>
      <w:pPr>
        <w:pStyle w:val="Heading2"/>
        <w:spacing w:after="140" w:before="240"/>
      </w:pPr>
      <w:r>
        <w:rPr>
          <w:b/>
          <w:bCs/>
        </w:rPr>
        <w:t xml:space="preserve">5.1 Class A — Regulatory-mandated amendment</w:t>
      </w:r>
    </w:p>
    <w:p>
      <w:pPr>
        <w:spacing w:after="120" w:line="300"/>
      </w:pPr>
      <w:r>
        <w:t xml:space="preserve">The Legal Director sponsors an Amendment Request when a regulator publishes a binding change with an effective date: a delegated act under the EU AI Act, a reissued DORA Regulatory Technical Standard, a NIST publication that updates the cipher-suite minimum, an NY DFS amendment to 23 NYCRR 500, a MAS circular tightening TRM, an FFIEC AIO chapter revision, a CMMC level revision, or a court order or supervisory directive. The Regulatory Interface Agent (ai-external-regulatory) ingests the publication, produces a structured citation, and surfaces it to the Legal Director's queue.</w:t>
      </w:r>
    </w:p>
    <w:p>
      <w:pPr>
        <w:spacing w:after="120" w:line="300"/>
      </w:pPr>
      <w:r>
        <w:t xml:space="preserve">The Stage 2 assessment must crosswalk the regulator's text against ADAM's existing controls and identify the minimum-sufficient amendment that closes the gap; over-scoping is a governance hazard because it expands the doctrine surface beyond the regulatory mandate without independent authorial intent. The standstill window is bounded by the regulator's effective date; the cutover is timed so that the new doctrine is in force on or before that date with at least 24 hours of canary observation.</w:t>
      </w:r>
    </w:p>
    <w:p>
      <w:pPr>
        <w:pStyle w:val="Heading2"/>
        <w:spacing w:after="140" w:before="240"/>
      </w:pPr>
      <w:r>
        <w:rPr>
          <w:b/>
          <w:bCs/>
        </w:rPr>
        <w:t xml:space="preserve">5.2 Class B — Director-initiated amendment</w:t>
      </w:r>
    </w:p>
    <w:p>
      <w:pPr>
        <w:spacing w:after="120" w:line="300"/>
      </w:pPr>
      <w:r>
        <w:t xml:space="preserve">A Director sponsors an Amendment Request when strategy, posture, risk appetite, or product priorities shift. The triggering event is internal: a board decision, a strategic review, a product launch, a market entry or exit, a financial-cycle re-baselining. The Stage 2 assessment is broad: the full twin breadth runs against a 365-day replay window; the Worker / Consumer impact surface is mandatory; the rights and licensing impact is mandatory in CPO-seated configurations.</w:t>
      </w:r>
    </w:p>
    <w:p>
      <w:pPr>
        <w:spacing w:after="120" w:line="300"/>
      </w:pPr>
      <w:r>
        <w:t xml:space="preserve">Director-initiated amendments default to a 14-day standstill, but the DNA Questionnaire allows configuration: regulated industries default to 30 days; rapidly-iterating product lines may configure shorter (never zero, and never below seven days for a HIGH-tier amendment). The standstill is not a delay — it is the window in which the canary mesh runs, the external commitment register is settled, the worker / consumer notice is published, and adapters that need to publish updated terms or schemas do so.</w:t>
      </w:r>
    </w:p>
    <w:p>
      <w:pPr>
        <w:pStyle w:val="Heading2"/>
        <w:spacing w:after="140" w:before="240"/>
      </w:pPr>
      <w:r>
        <w:rPr>
          <w:b/>
          <w:bCs/>
        </w:rPr>
        <w:t xml:space="preserve">5.3 Class C — Conflict-arbitration-resolved amendment</w:t>
      </w:r>
    </w:p>
    <w:p>
      <w:pPr>
        <w:spacing w:after="120" w:line="300"/>
      </w:pPr>
      <w:r>
        <w:t xml:space="preserve">Where the Doctrine Conflict Arbitration Model (Legal &amp; Arbitration §II) produces a Doctrine Conflict Record that the Director resolves by directing amendment as the chosen remedy, the conflict-affected decision paths remain suspended (per the existing arbitration model's targeted suspension property) until the amendment is in force. The amendment effectively migrates the affected paths from a constrained / suspended state to a stable steady state under updated doctrine.</w:t>
      </w:r>
    </w:p>
    <w:p>
      <w:pPr>
        <w:spacing w:after="120" w:line="300"/>
      </w:pPr>
      <w:r>
        <w:t xml:space="preserve">Stage 2 assessment is scoped to the conflict domain plus its lineage: the Twins replay every action that touched the conflicting nodes for the prior 90 days, including any Director Decision Receipts that arbitrated individual instances of the conflict pre-amendment. Those receipts are not invalidated by the amendment; they are reclassified in the Replay Receipt as 'arbitrated under prior doctrine pending amendment-driven resolution'.</w:t>
      </w:r>
    </w:p>
    <w:p>
      <w:pPr>
        <w:pStyle w:val="Heading2"/>
        <w:spacing w:after="140" w:before="240"/>
      </w:pPr>
      <w:r>
        <w:rPr>
          <w:b/>
          <w:bCs/>
        </w:rPr>
        <w:t xml:space="preserve">5.4 Class D — Drift-realignment-driven amendment</w:t>
      </w:r>
    </w:p>
    <w:p>
      <w:pPr>
        <w:spacing w:after="120" w:line="300"/>
      </w:pPr>
      <w:r>
        <w:t xml:space="preserve">The Doctrinal Drift Sentinel (meta-integrity) emits a doctrinal_drift_detected event when observed behaviour diverges from declared doctrine beyond the configured magnitude threshold. The Sentinel may propose a realignment delta; that proposal is a candidate Amendment Request that requires a Director sponsor to enter Stage 1. There is no path by which a Sentinel proposal becomes an amendment without director authorship — the doctrine non-self-amendment axiom binds meta-governance as strictly as it binds any other agent class.</w:t>
      </w:r>
    </w:p>
    <w:p>
      <w:pPr>
        <w:spacing w:after="120" w:line="300"/>
      </w:pPr>
      <w:r>
        <w:t xml:space="preserve">Drift-driven amendments require a specific Stage 2 surface that other classes do not: an explanation of why drift occurred. Three explanations are canonical and each implies different downstream action. (a) Doctrine was correct; behaviour was wrong — the appropriate remedy is reinforcement, not amendment; the Sentinel's proposal is rejected and the originating director directs operational remediation instead. (b) Doctrine was correct in a prior context but is now stale due to environmental change — the amendment updates doctrine to match the changed environment, and the assessment must articulate the environmental change. (c) Doctrine was authored aspirationally and the operational reality is the achievable steady state — the amendment may downscope the aspiration, but the assessment must explain why the aspiration is not retained as a stretch target. Without one of the three explanations, the request is refused at intake.</w:t>
      </w:r>
    </w:p>
    <w:p>
      <w:pPr>
        <w:pStyle w:val="Heading2"/>
        <w:spacing w:after="140" w:before="240"/>
      </w:pPr>
      <w:r>
        <w:rPr>
          <w:b/>
          <w:bCs/>
        </w:rPr>
        <w:t xml:space="preserve">5.5 Class E — Emergency (constitutional) amendment</w:t>
      </w:r>
    </w:p>
    <w:p>
      <w:pPr>
        <w:spacing w:after="120" w:line="300"/>
      </w:pPr>
      <w:r>
        <w:t xml:space="preserve">An emergency amendment is invoked when an OHSHAT-tier safe-mode activation, a regulator emergency order, a court order, or imminent material harm requires posture change before the standard lifecycle can complete. The CEO with any seated Director may activate emergency amendment; activation requires the ACS-C threshold proof for the active OHSHAT quorum (5-of-5 in the 5-Director Constitution) and a stated emergency basis.</w:t>
      </w:r>
    </w:p>
    <w:p>
      <w:pPr>
        <w:spacing w:after="120" w:line="300"/>
      </w:pPr>
      <w:r>
        <w:t xml:space="preserve">Emergency amendments enter force immediately under shallow Stage 2 simulation. They carry a mandatory 24-hour confirmation window during which the full Constitution must affirmatively confirm; failure to confirm triggers automatic revert to prior doctrine and a Doctrine Conflict Record opening retrospective review of the emergency activation. Emergency amendments cannot be used to bypass any of the categorical prohibitions in Part II §2.4 (Excluded Uses, Legal Personality Boundary, doctrine-non-self-amendment axiom, guardrail planes, constitutional quorum). The emergency window is also externally observable: the Flight Recorder externally anchors the activation, the confirmation, and any auto-revert as separate events.</w:t>
      </w:r>
    </w:p>
    <w:p>
      <w:pPr>
        <w:pStyle w:val="Heading1"/>
        <w:pageBreakBefore/>
        <w:spacing w:after="200" w:before="320"/>
      </w:pPr>
      <w:r>
        <w:rPr>
          <w:b/>
          <w:bCs/>
        </w:rPr>
        <w:t xml:space="preserve">Part VI — Framework Crosswalk</w:t>
      </w:r>
    </w:p>
    <w:p>
      <w:pPr>
        <w:spacing w:after="120" w:line="300"/>
      </w:pPr>
      <w:r>
        <w:t xml:space="preserve">Doctrine amendment, as specified in this document, satisfies the explicit AI-system-change governance requirements of every framework ADAM tracks. The crosswalk below maps each framework to the lifecycle artifacts and architectural properties that discharge the requirement. Frameworks are listed in priority order: NIST AI RMF, ISO/IEC 42001, EU AI Act, DORA, NIS2, NIST CSF 2.0, NIST FIPS 204/205/203 + CNSA 2.0, OECD AI Principles, Council of Europe AI Convention, NY DFS 23 NYCRR 500, MAS TRM + FEAT, FFIEC AIO + CAT, FedRAMP / OSCAL.</w:t>
      </w:r>
    </w:p>
    <w:p>
      <w:pPr>
        <w:pStyle w:val="Heading2"/>
        <w:spacing w:after="140" w:before="240"/>
      </w:pPr>
      <w:r>
        <w:rPr>
          <w:b/>
          <w:bCs/>
        </w:rPr>
        <w:t xml:space="preserve">6.1 NIST AI RMF (1.0, Jan 2023; Generative AI Profile, Jul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NIST AI RMF function</w:t>
            </w:r>
          </w:p>
        </w:tc>
        <w:tc>
          <w:tcPr>
            <w:tcW w:type="dxa" w:w="71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amendment lifecycle property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GOVERN — risk-management policy lifecycle (GV-1, GV-3, GV-6)</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Five-stage lifecycle with stage gates; Constitutional Decision Receipt as cryptographic act of policy change; lineage continuity property in §4.1</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MAP — change to AI system's intended use, scope, or risk surface (MP-1, MP-2)</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2 Impact Assessment surfaces S1 doctrine delta, S2 regulatory delta, S8 worker/consumer impact</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MEASURE — change to measurement methodology (MS-2, MS-3)</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BOSS methodology versioning; Stage 2 simulation depth requirements; Replay Receipt variance reporting</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MANAGE — change-management decisions and post-deployment monitoring (MG-2, MG-4)</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4 cutover with dual control; Stage 5 backfill and replay; Doctrine Conflict opening on variance</w:t>
            </w:r>
          </w:p>
        </w:tc>
      </w:tr>
    </w:tbl>
    <w:p>
      <w:pPr>
        <w:pStyle w:val="Heading2"/>
        <w:spacing w:after="140" w:before="240"/>
      </w:pPr>
      <w:r>
        <w:rPr>
          <w:b/>
          <w:bCs/>
        </w:rPr>
        <w:t xml:space="preserve">6.2 ISO/IEC 42001 (AI Management System, Dec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ISO/IEC 42001 clause</w:t>
            </w:r>
          </w:p>
        </w:tc>
        <w:tc>
          <w:tcPr>
            <w:tcW w:type="dxa" w:w="71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amendment lifecycle property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6.1 Actions to address risks and opportunities</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Class A through D triggers and signed Stage 2 Impact Assessment</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6.2 AI objectives and planning to achieve them</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Class B director-initiated amendments and Stage 2 strategic delta</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7.4 Communication</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Stage 4 notice artifact; standstill window; Director Decision Receipt</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7.5 Documented information</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Versioned doctrine; Cutover Package signing; Flight Recorder anchoring</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8.1 Operational planning and control</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Five-stage lifecycle; gate enforcement</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8.2 AI system impact assessment</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2 mandated as a binding artifact; eleven analytical surfaces</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9.1 Performance evaluation</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Stage 5 Replay Receipt with variance band</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9.3 Management review</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Class B and D pathways; Director Constitution as management body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10 Improvement (continual)</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Conflict opening on variance; variance-driven follow-up amendment cycle</w:t>
            </w:r>
          </w:p>
        </w:tc>
      </w:tr>
    </w:tbl>
    <w:p>
      <w:pPr>
        <w:pStyle w:val="Heading2"/>
        <w:spacing w:after="140" w:before="240"/>
      </w:pPr>
      <w:r>
        <w:rPr>
          <w:b/>
          <w:bCs/>
        </w:rPr>
        <w:t xml:space="preserve">6.3 EU AI Act (Regulation 2024/1689)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EU AI Act article</w:t>
            </w:r>
          </w:p>
        </w:tc>
        <w:tc>
          <w:tcPr>
            <w:tcW w:type="dxa" w:w="71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amendment lifecycle property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9 Risk management system — establishment, implementation, documentation, maintenance</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Five-stage lifecycle, Stage 2 risk assessment, Replay Receipt as maintenance evidence</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Art. 13 Transparency and provision of information</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4 notice artifact; doctrine version pinned in every downstream Director Decision Receipt</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14 Human oversight</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Quorum stage; ACS-C threshold cryptographic binding; emergency confirmation window</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Art. 15 Accuracy, robustness, cybersecurity — change-resilience</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4 dual-control cutover; preflight Rego validator hard gate; cipher-suite minimum</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17 Quality management system</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Documented lifecycle, signed artifacts, versioned doctrine, audit trail</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Art. 26 Obligations of deployers</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Class A regulatory-mandated amendment process; Legal Director sponsorship</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72 Post-market monitoring</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Stage 5 backfill, variance reporting, Doctrine Conflict on divergence</w:t>
            </w:r>
          </w:p>
        </w:tc>
      </w:tr>
    </w:tbl>
    <w:p>
      <w:pPr>
        <w:pStyle w:val="Heading2"/>
        <w:spacing w:after="140" w:before="240"/>
      </w:pPr>
      <w:r>
        <w:rPr>
          <w:b/>
          <w:bCs/>
        </w:rPr>
        <w:t xml:space="preserve">6.4 DORA (Regulation 2022/2554) and Regulatory Technical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DORA article</w:t>
            </w:r>
          </w:p>
        </w:tc>
        <w:tc>
          <w:tcPr>
            <w:tcW w:type="dxa" w:w="71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amendment lifecycle property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5 + 6 ICT risk management framework — review and update</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Class A and Class D amendment classes; signed Impact Assessment</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Art. 9 Protection (incl. cryptographic measures) — review</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Cipher-suite minimum versioning under Class A; CISO sponsorship</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11 Response and recovery — plan changes</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Class E emergency amendment with confirmation window</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Art. 17–23 ICT-related incident management — corrective doctrine change</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Class C conflict-arbitration-resolved amendment from incident-driven Doctrine Conflict Records</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Art. 26 Threat-led penetration testing — doctrine update from findings</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Class D drift-realignment-driven amendment; Stage 2 simulation depth</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RTS reissuance (ESA technical standards)</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Class A regulatory-mandated amendment with regulator effective-date binding</w:t>
            </w:r>
          </w:p>
        </w:tc>
      </w:tr>
    </w:tbl>
    <w:p>
      <w:pPr>
        <w:pStyle w:val="Heading2"/>
        <w:spacing w:after="140" w:before="240"/>
      </w:pPr>
      <w:r>
        <w:rPr>
          <w:b/>
          <w:bCs/>
        </w:rPr>
        <w:t xml:space="preserve">6.5 NIS2 (Directive 2022/2555)</w:t>
      </w:r>
    </w:p>
    <w:p>
      <w:pPr>
        <w:spacing w:after="120" w:line="300"/>
      </w:pPr>
      <w:r>
        <w:t xml:space="preserve">NIS2 Article 21 imposes board-level accountability for cybersecurity risk-management measures. The Director Quorum stage and the Constitutional Decision Receipt produce the auditable evidence that the management body has approved the doctrine change. NIS2 Article 23 incident reporting is supported via Stage 5 Replay Receipts, which produce machine-readable evidence of the post-incident doctrine update.</w:t>
      </w:r>
    </w:p>
    <w:p>
      <w:pPr>
        <w:pStyle w:val="Heading2"/>
        <w:spacing w:after="140" w:before="240"/>
      </w:pPr>
      <w:r>
        <w:rPr>
          <w:b/>
          <w:bCs/>
        </w:rPr>
        <w:t xml:space="preserve">6.6 NIST CSF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NIST CSF 2.0 function</w:t>
            </w:r>
          </w:p>
        </w:tc>
        <w:tc>
          <w:tcPr>
            <w:tcW w:type="dxa" w:w="71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ADAM amendment lifecycle property</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GV — Govern — policy and procedure changes</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Director Constitution; CDR; lineage continuity</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ID — Identify — change to risk register</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Stage 2 Impact Assessment surfaces</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 — Protect — control change</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Stage 4 cutover with dual control</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 — Detect — drift, conflict, variance</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meta-integrity Sentinel; meta-audit Auditor; Doctrine Conflict Record</w:t>
            </w:r>
          </w:p>
        </w:tc>
      </w:tr>
      <w:tr>
        <w:tc>
          <w:tcPr>
            <w:tcW w:type="dxa" w:w="22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RS — Respond — corrective amendment</w:t>
            </w:r>
          </w:p>
        </w:tc>
        <w:tc>
          <w:tcPr>
            <w:tcW w:type="dxa" w:w="71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Class C and Class E classes</w:t>
            </w:r>
          </w:p>
        </w:tc>
      </w:tr>
      <w:tr>
        <w:tc>
          <w:tcPr>
            <w:tcW w:type="dxa" w:w="22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RC — Recover — rollback amendment</w:t>
            </w:r>
          </w:p>
        </w:tc>
        <w:tc>
          <w:tcPr>
            <w:tcW w:type="dxa" w:w="71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§4.4 rollback as itself an amendment</w:t>
            </w:r>
          </w:p>
        </w:tc>
      </w:tr>
    </w:tbl>
    <w:p>
      <w:pPr>
        <w:pStyle w:val="Heading2"/>
        <w:spacing w:after="140" w:before="240"/>
      </w:pPr>
      <w:r>
        <w:rPr>
          <w:b/>
          <w:bCs/>
        </w:rPr>
        <w:t xml:space="preserve">6.7 NIST FIPS 203/204/205 and CNSA 2.0 — cipher-suite governance</w:t>
      </w:r>
    </w:p>
    <w:p>
      <w:pPr>
        <w:spacing w:after="120" w:line="300"/>
      </w:pPr>
      <w:r>
        <w:t xml:space="preserve">A change to the doctrine-declared cipher-suite minimum is a Class A amendment when driven by a NIST publication or NSA CNSA 2.0 phasing event, and a Class B amendment when driven by an internal posture change (e.g., elevating OHSHAT-tier sessions to ML-DSA-87). The CISO is the sponsor; the assessment must address QE delta on every retention-class object and the migration_history field on every signed object that crosses the cutover. SLH-DSA archival anchors are re-signed on segment transitions per the Flight Recorder re-anchor policy in Quantum and Cryptographic Security at Scale §3.5.</w:t>
      </w:r>
    </w:p>
    <w:p>
      <w:pPr>
        <w:pStyle w:val="Heading2"/>
        <w:spacing w:after="140" w:before="240"/>
      </w:pPr>
      <w:r>
        <w:rPr>
          <w:b/>
          <w:bCs/>
        </w:rPr>
        <w:t xml:space="preserve">6.8 Council of Europe AI Convention and OECD AI Principles</w:t>
      </w:r>
    </w:p>
    <w:p>
      <w:pPr>
        <w:spacing w:after="120" w:line="300"/>
      </w:pPr>
      <w:r>
        <w:t xml:space="preserve">Both frameworks emphasise lifecycle stewardship under rule-of-law and human-rights constraints. The doctrine-non-self-amendment axiom, the Director-quorum requirement, the dual-author rule, the Stage 2 worker / consumer impact surface, and the Excluded-Uses screen at intake satisfy the human-authorship and human-oversight expectations of both frameworks at every cutover. The Council of Europe Framework Convention on Artificial Intelligence and Human Rights, Democracy and the Rule of Law (2024) is treated as the binding lifecycle-stewardship reference for ADAM amendments touching fundamental-rights surfaces.</w:t>
      </w:r>
    </w:p>
    <w:p>
      <w:pPr>
        <w:pStyle w:val="Heading2"/>
        <w:spacing w:after="140" w:before="240"/>
      </w:pPr>
      <w:r>
        <w:rPr>
          <w:b/>
          <w:bCs/>
        </w:rPr>
        <w:t xml:space="preserve">6.9 NY DFS 23 NYCRR 500</w:t>
      </w:r>
    </w:p>
    <w:p>
      <w:pPr>
        <w:spacing w:after="120" w:line="300"/>
      </w:pPr>
      <w:r>
        <w:t xml:space="preserve">Section 500.04 (CISO function and reporting) is satisfied by the CISO Director's reserved authorship over Security Impact, the cipher-suite minimum, and the AI-control attack thresholds, with every amendment producing a board-attestable Director Decision Receipt. Section 500.17 (board attestation) is satisfied by the Constitutional Decision Receipt as a hybrid-signed, externally anchored attestation.</w:t>
      </w:r>
    </w:p>
    <w:p>
      <w:pPr>
        <w:pStyle w:val="Heading2"/>
        <w:spacing w:after="140" w:before="240"/>
      </w:pPr>
      <w:r>
        <w:rPr>
          <w:b/>
          <w:bCs/>
        </w:rPr>
        <w:t xml:space="preserve">6.10 MAS TRM + FEAT, FFIEC AIO + CAT</w:t>
      </w:r>
    </w:p>
    <w:p>
      <w:pPr>
        <w:spacing w:after="120" w:line="300"/>
      </w:pPr>
      <w:r>
        <w:t xml:space="preserve">MAS TRM crypto and resilience controls map to Class A amendments driven by MAS circular reissue, with the CAV substrate inheriting the cipher-suite update. FEAT principles (Fairness, Ethics, Accountability, Transparency) are addressed by the worker/consumer impact surface in Stage 2 and by the bias / fairness agent participation in the assessment. FFIEC AIO chapter revisions are Class A; the seven-layer stack is FFIEC AIO–aligned by design (per Quantum and Cryptographic Security at Scale §5.9), so chapter revisions typically translate to threshold or evidence-capture changes rather than architectural changes.</w:t>
      </w:r>
    </w:p>
    <w:p>
      <w:pPr>
        <w:pStyle w:val="Heading2"/>
        <w:spacing w:after="140" w:before="240"/>
      </w:pPr>
      <w:r>
        <w:rPr>
          <w:b/>
          <w:bCs/>
        </w:rPr>
        <w:t xml:space="preserve">6.11 FedRAMP / OSCAL</w:t>
      </w:r>
    </w:p>
    <w:p>
      <w:pPr>
        <w:spacing w:after="120" w:line="300"/>
      </w:pPr>
      <w:r>
        <w:t xml:space="preserve">Doctrine versions are publishable as OSCAL profile components signed by the T1 Doctrine Signing Key. FedRAMP 20x continuous-assurance evidence is produced by the Flight Recorder as machine-readable assessment artifacts and by Stage 5 Replay Receipts. A Class A amendment driven by a FedRAMP control baseline change updates the OSCAL profile, the SSP component definitions, and the policy bundles in lockstep.</w:t>
      </w:r>
    </w:p>
    <w:p>
      <w:pPr>
        <w:pStyle w:val="Heading1"/>
        <w:pageBreakBefore/>
        <w:spacing w:after="200" w:before="320"/>
      </w:pPr>
      <w:r>
        <w:rPr>
          <w:b/>
          <w:bCs/>
        </w:rPr>
        <w:t xml:space="preserve">Part VII — 360-Degree QA and Acceptance Criteria</w:t>
      </w:r>
    </w:p>
    <w:p>
      <w:pPr>
        <w:pStyle w:val="Heading2"/>
        <w:spacing w:after="140" w:before="240"/>
      </w:pPr>
      <w:r>
        <w:rPr>
          <w:b/>
          <w:bCs/>
        </w:rPr>
        <w:t xml:space="preserve">7.1 QA philosophy</w:t>
      </w:r>
    </w:p>
    <w:p>
      <w:pPr>
        <w:spacing w:after="120" w:line="300"/>
      </w:pPr>
      <w:r>
        <w:t xml:space="preserve">Doctrine amendment is the highest-blast-radius operation in ADAM, and so its QA discipline is the strictest in the SpecPack. QA is performed at four layers — schema, lifecycle, semantic, and adversarial — and at every cutover. QA failures in any layer refuse the cutover; partial cutover is not a permitted state. The QA harness lives at deployment/{profile}/qa/qa_doctrine_amendment.py and must run cleanly on every cutover, every canary, and every rollback.</w:t>
      </w:r>
    </w:p>
    <w:p>
      <w:pPr>
        <w:pStyle w:val="Heading2"/>
        <w:spacing w:after="140" w:before="240"/>
      </w:pPr>
      <w:r>
        <w:rPr>
          <w:b/>
          <w:bCs/>
        </w:rPr>
        <w:t xml:space="preserve">7.2 Schema QA</w:t>
      </w:r>
    </w:p>
    <w:p>
      <w:pPr>
        <w:pStyle w:val="ListParagraph"/>
        <w:numPr>
          <w:ilvl w:val="0"/>
          <w:numId w:val="2"/>
        </w:numPr>
        <w:spacing w:after="80" w:line="280"/>
      </w:pPr>
      <w:r>
        <w:t xml:space="preserve">AR / IA / CDR / CP / BFM / RR documents validate against their JSON schemas; missing or malformed fields refuse Stage 1 / 2 / 3 / 4 / 5 admission.</w:t>
      </w:r>
    </w:p>
    <w:p>
      <w:pPr>
        <w:pStyle w:val="ListParagraph"/>
        <w:numPr>
          <w:ilvl w:val="0"/>
          <w:numId w:val="2"/>
        </w:numPr>
        <w:spacing w:after="80" w:line="280"/>
      </w:pPr>
      <w:r>
        <w:t xml:space="preserve">Every signed object carries a fully populated crypto-agility envelope (alg_id, key_id, suite_version, policy_version, migration_history, replay_nonce, timestamp_utc, ts_proof_ref, rgi_runtime_id, acs.layer).</w:t>
      </w:r>
    </w:p>
    <w:p>
      <w:pPr>
        <w:pStyle w:val="ListParagraph"/>
        <w:numPr>
          <w:ilvl w:val="0"/>
          <w:numId w:val="2"/>
        </w:numPr>
        <w:spacing w:after="80" w:line="280"/>
      </w:pPr>
      <w:r>
        <w:t xml:space="preserve">Excluded-Uses screen and Legal Personality Boundary screen are both 'passed' at intake and reconfirmed at Stage 2.</w:t>
      </w:r>
    </w:p>
    <w:p>
      <w:pPr>
        <w:pStyle w:val="ListParagraph"/>
        <w:numPr>
          <w:ilvl w:val="0"/>
          <w:numId w:val="2"/>
        </w:numPr>
        <w:spacing w:after="80" w:line="280"/>
      </w:pPr>
      <w:r>
        <w:t xml:space="preserve">Every OPA Rego module begins with import rego.v1; bundles are loaded with --v1-compatible; preflight validator reports zero defects.</w:t>
      </w:r>
    </w:p>
    <w:p>
      <w:pPr>
        <w:pStyle w:val="ListParagraph"/>
        <w:numPr>
          <w:ilvl w:val="0"/>
          <w:numId w:val="2"/>
        </w:numPr>
        <w:spacing w:after="80" w:line="280"/>
      </w:pPr>
      <w:r>
        <w:t xml:space="preserve">Every CDR carries a valid ACS-C threshold proof; single-signed CDRs are rejected with an explicit pqc_violation_rejected event.</w:t>
      </w:r>
    </w:p>
    <w:p>
      <w:pPr>
        <w:pStyle w:val="Heading2"/>
        <w:spacing w:after="140" w:before="240"/>
      </w:pPr>
      <w:r>
        <w:rPr>
          <w:b/>
          <w:bCs/>
        </w:rPr>
        <w:t xml:space="preserve">7.3 Lifecycle QA</w:t>
      </w:r>
    </w:p>
    <w:p>
      <w:pPr>
        <w:pStyle w:val="ListParagraph"/>
        <w:numPr>
          <w:ilvl w:val="0"/>
          <w:numId w:val="2"/>
        </w:numPr>
        <w:spacing w:after="80" w:line="280"/>
      </w:pPr>
      <w:r>
        <w:t xml:space="preserve">No stage may be skipped; the policy plane refuses any cutover whose CP does not reference a CDR that references an IA that references a Stage 1 AR.</w:t>
      </w:r>
    </w:p>
    <w:p>
      <w:pPr>
        <w:pStyle w:val="ListParagraph"/>
        <w:numPr>
          <w:ilvl w:val="0"/>
          <w:numId w:val="2"/>
        </w:numPr>
        <w:spacing w:after="80" w:line="280"/>
      </w:pPr>
      <w:r>
        <w:t xml:space="preserve">No amendment may be authored, proposed, and approved by the same Director seat; dual-author check on the CDR refuses the cutover.</w:t>
      </w:r>
    </w:p>
    <w:p>
      <w:pPr>
        <w:pStyle w:val="ListParagraph"/>
        <w:numPr>
          <w:ilvl w:val="0"/>
          <w:numId w:val="2"/>
        </w:numPr>
        <w:spacing w:after="80" w:line="280"/>
      </w:pPr>
      <w:r>
        <w:t xml:space="preserve">Standstill window is enforced by the policy plane; the new doctrine cannot be made primary before the declared effective date.</w:t>
      </w:r>
    </w:p>
    <w:p>
      <w:pPr>
        <w:pStyle w:val="ListParagraph"/>
        <w:numPr>
          <w:ilvl w:val="0"/>
          <w:numId w:val="2"/>
        </w:numPr>
        <w:spacing w:after="80" w:line="280"/>
      </w:pPr>
      <w:r>
        <w:t xml:space="preserve">Every cutover is preceded by a canary mesh run that scores at least 24 hours of synthetic and historical-replay traffic under the proposed doctrine; canary failure refuses cutover.</w:t>
      </w:r>
    </w:p>
    <w:p>
      <w:pPr>
        <w:pStyle w:val="ListParagraph"/>
        <w:numPr>
          <w:ilvl w:val="0"/>
          <w:numId w:val="2"/>
        </w:numPr>
        <w:spacing w:after="80" w:line="280"/>
      </w:pPr>
      <w:r>
        <w:t xml:space="preserve">Every cutover is followed by Stage 5 backfill within the declared backfill window; failure to complete backfill auto-opens a Doctrine Conflict Record.</w:t>
      </w:r>
    </w:p>
    <w:p>
      <w:pPr>
        <w:pStyle w:val="Heading2"/>
        <w:spacing w:after="140" w:before="240"/>
      </w:pPr>
      <w:r>
        <w:rPr>
          <w:b/>
          <w:bCs/>
        </w:rPr>
        <w:t xml:space="preserve">7.4 Semantic QA — twin replay</w:t>
      </w:r>
    </w:p>
    <w:p>
      <w:pPr>
        <w:spacing w:after="120" w:line="300"/>
      </w:pPr>
      <w:r>
        <w:t xml:space="preserve">Every amendment's Stage 2 Impact Assessment includes a twin-replay confidence band per surface. After cutover, the Stage 5 Replay Receipt compares the actual backfill outcome to the predicted band. Variance beyond 5% absolute or 15% relative on any surface auto-opens a Doctrine Conflict Record. This is the system's own check against optimistic prediction.</w:t>
      </w:r>
    </w:p>
    <w:p>
      <w:pPr>
        <w:pStyle w:val="Heading2"/>
        <w:spacing w:after="140" w:before="240"/>
      </w:pPr>
      <w:r>
        <w:rPr>
          <w:b/>
          <w:bCs/>
        </w:rPr>
        <w:t xml:space="preserve">7.5 Adversarial QA</w:t>
      </w:r>
    </w:p>
    <w:p>
      <w:pPr>
        <w:pStyle w:val="ListParagraph"/>
        <w:numPr>
          <w:ilvl w:val="0"/>
          <w:numId w:val="2"/>
        </w:numPr>
        <w:spacing w:after="80" w:line="280"/>
      </w:pPr>
      <w:r>
        <w:t xml:space="preserve">Replay-attack QA: a previously-approved CDR cannot be replayed to authorise a different amendment; replay nonces, action_id idempotency at hi-gateway, and CDR uniqueness all refuse the replay.</w:t>
      </w:r>
    </w:p>
    <w:p>
      <w:pPr>
        <w:pStyle w:val="ListParagraph"/>
        <w:numPr>
          <w:ilvl w:val="0"/>
          <w:numId w:val="2"/>
        </w:numPr>
        <w:spacing w:after="80" w:line="280"/>
      </w:pPr>
      <w:r>
        <w:t xml:space="preserve">Sole-author QA: synthetic test attempts a single-Director CDR and verifies that the ACS-C threshold proof refuses to produce.</w:t>
      </w:r>
    </w:p>
    <w:p>
      <w:pPr>
        <w:pStyle w:val="ListParagraph"/>
        <w:numPr>
          <w:ilvl w:val="0"/>
          <w:numId w:val="2"/>
        </w:numPr>
        <w:spacing w:after="80" w:line="280"/>
      </w:pPr>
      <w:r>
        <w:t xml:space="preserve">Excluded-Uses bypass QA: synthetic AR proposes an Excluded-Use weakening; intake refuses; the refusal is recorded as a HIGH-tier event.</w:t>
      </w:r>
    </w:p>
    <w:p>
      <w:pPr>
        <w:pStyle w:val="ListParagraph"/>
        <w:numPr>
          <w:ilvl w:val="0"/>
          <w:numId w:val="2"/>
        </w:numPr>
        <w:spacing w:after="80" w:line="280"/>
      </w:pPr>
      <w:r>
        <w:t xml:space="preserve">Drift-without-Director QA: Sentinel proposes a realignment without Director sponsorship; the AR pipeline refuses to admit; the proposal remains in the Sentinel queue awaiting sponsorship.</w:t>
      </w:r>
    </w:p>
    <w:p>
      <w:pPr>
        <w:pStyle w:val="ListParagraph"/>
        <w:numPr>
          <w:ilvl w:val="0"/>
          <w:numId w:val="2"/>
        </w:numPr>
        <w:spacing w:after="80" w:line="280"/>
      </w:pPr>
      <w:r>
        <w:t xml:space="preserve">Cipher-suite-downgrade QA: AR proposes lowering the doctrine cipher-suite below NIST or CNSA 2.0 expected level; the assessment surfaces a HIGH-tier QE delta; the system requires explicit, time-boxed regulatory exception authorship rather than silent acceptance.</w:t>
      </w:r>
    </w:p>
    <w:p>
      <w:pPr>
        <w:pStyle w:val="ListParagraph"/>
        <w:numPr>
          <w:ilvl w:val="0"/>
          <w:numId w:val="2"/>
        </w:numPr>
        <w:spacing w:after="80" w:line="280"/>
      </w:pPr>
      <w:r>
        <w:t xml:space="preserve">Emergency-without-confirmation QA: emergency activation completes; the 24-hour confirmation window expires without full Constitution; auto-revert produces a clean rollback and the original emergency activation enters Doctrine Conflict review.</w:t>
      </w:r>
    </w:p>
    <w:p>
      <w:pPr>
        <w:pStyle w:val="Heading2"/>
        <w:spacing w:after="140" w:before="240"/>
      </w:pPr>
      <w:r>
        <w:rPr>
          <w:b/>
          <w:bCs/>
        </w:rPr>
        <w:t xml:space="preserve">7.6 Reference QA harness</w:t>
      </w:r>
    </w:p>
    <w:p>
      <w:pPr>
        <w:shd w:fill="F4F4F4" w:color="auto" w:val="clear"/>
        <w:spacing w:after="160" w:before="120" w:line="260"/>
        <w:ind w:left="240" w:right="240"/>
      </w:pPr>
      <w:r>
        <w:rPr>
          <w:rFonts w:ascii="Consolas" w:cs="Consolas" w:eastAsia="Consolas" w:hAnsi="Consolas"/>
          <w:sz w:val="18"/>
          <w:szCs w:val="18"/>
        </w:rPr>
        <w:t xml:space="preserve"># deployment/{profile}/qa/qa_doctrine_amendment.py — excerpt</w:t>
      </w:r>
      <w:r>
        <w:br/>
      </w:r>
      <w:r>
        <w:rPr>
          <w:rFonts w:ascii="Consolas" w:cs="Consolas" w:eastAsia="Consolas" w:hAnsi="Consolas"/>
          <w:sz w:val="18"/>
          <w:szCs w:val="18"/>
        </w:rPr>
        <w:t xml:space="preserve"># Each layerN_&lt;id&gt; function posts a synthetic flow and asserts the</w:t>
      </w:r>
      <w:r>
        <w:br/>
      </w:r>
      <w:r>
        <w:rPr>
          <w:rFonts w:ascii="Consolas" w:cs="Consolas" w:eastAsia="Consolas" w:hAnsi="Consolas"/>
          <w:sz w:val="18"/>
          <w:szCs w:val="18"/>
        </w:rPr>
        <w:t xml:space="preserve"># expected Flight Recorder events. Wired to the LAYER_FNS registry.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layer4_doctrine_amendment_lifecycle(intent_id):</w:t>
      </w:r>
      <w:r>
        <w:br/>
      </w:r>
      <w:r>
        <w:rPr>
          <w:rFonts w:ascii="Consolas" w:cs="Consolas" w:eastAsia="Consolas" w:hAnsi="Consolas"/>
          <w:sz w:val="18"/>
          <w:szCs w:val="18"/>
        </w:rPr>
        <w:t xml:space="preserve">    """Stage 1..5 happy path — all 5 stages observable in FR."""</w:t>
      </w:r>
      <w:r>
        <w:br/>
      </w:r>
      <w:r>
        <w:rPr>
          <w:rFonts w:ascii="Consolas" w:cs="Consolas" w:eastAsia="Consolas" w:hAnsi="Consolas"/>
          <w:sz w:val="18"/>
          <w:szCs w:val="18"/>
        </w:rPr>
        <w:t xml:space="preserve">    ar  = post_amendment_request(class_="director_initiated",</w:t>
      </w:r>
      <w:r>
        <w:br/>
      </w:r>
      <w:r>
        <w:rPr>
          <w:rFonts w:ascii="Consolas" w:cs="Consolas" w:eastAsia="Consolas" w:hAnsi="Consolas"/>
          <w:sz w:val="18"/>
          <w:szCs w:val="18"/>
        </w:rPr>
        <w:t xml:space="preserve">                                 sponsor_seat="ceo",</w:t>
      </w:r>
      <w:r>
        <w:br/>
      </w:r>
      <w:r>
        <w:rPr>
          <w:rFonts w:ascii="Consolas" w:cs="Consolas" w:eastAsia="Consolas" w:hAnsi="Consolas"/>
          <w:sz w:val="18"/>
          <w:szCs w:val="18"/>
        </w:rPr>
        <w:t xml:space="preserve">                                 affected_areas=["boss.dimension.financial"])</w:t>
      </w:r>
      <w:r>
        <w:br/>
      </w:r>
      <w:r>
        <w:rPr>
          <w:rFonts w:ascii="Consolas" w:cs="Consolas" w:eastAsia="Consolas" w:hAnsi="Consolas"/>
          <w:sz w:val="18"/>
          <w:szCs w:val="18"/>
        </w:rPr>
        <w:t xml:space="preserve">    ia  = run_impact_assessment(ar.ar_id, twin_breadth="all", window_days=365)</w:t>
      </w:r>
      <w:r>
        <w:br/>
      </w:r>
      <w:r>
        <w:rPr>
          <w:rFonts w:ascii="Consolas" w:cs="Consolas" w:eastAsia="Consolas" w:hAnsi="Consolas"/>
          <w:sz w:val="18"/>
          <w:szCs w:val="18"/>
        </w:rPr>
        <w:t xml:space="preserve">    cdr = collect_director_quorum(ia.ia_id, seats={"ceo","cfo","legal","market","ciso"})</w:t>
      </w:r>
      <w:r>
        <w:br/>
      </w:r>
      <w:r>
        <w:rPr>
          <w:rFonts w:ascii="Consolas" w:cs="Consolas" w:eastAsia="Consolas" w:hAnsi="Consolas"/>
          <w:sz w:val="18"/>
          <w:szCs w:val="18"/>
        </w:rPr>
        <w:t xml:space="preserve">    assert cdr.acs_c_threshold_proof_valid()      # cryptographic quorum</w:t>
      </w:r>
      <w:r>
        <w:br/>
      </w:r>
      <w:r>
        <w:rPr>
          <w:rFonts w:ascii="Consolas" w:cs="Consolas" w:eastAsia="Consolas" w:hAnsi="Consolas"/>
          <w:sz w:val="18"/>
          <w:szCs w:val="18"/>
        </w:rPr>
        <w:t xml:space="preserve">    assert cdr.dual_author_satisfied()             # author != sole sponsor</w:t>
      </w:r>
      <w:r>
        <w:br/>
      </w:r>
      <w:r>
        <w:rPr>
          <w:rFonts w:ascii="Consolas" w:cs="Consolas" w:eastAsia="Consolas" w:hAnsi="Consolas"/>
          <w:sz w:val="18"/>
          <w:szCs w:val="18"/>
        </w:rPr>
        <w:t xml:space="preserve">    cp  = sign_cutover_package(cdr.cdr_id, t1_doctrine_key=True, hybrid_sig=True)</w:t>
      </w:r>
      <w:r>
        <w:br/>
      </w:r>
      <w:r>
        <w:rPr>
          <w:rFonts w:ascii="Consolas" w:cs="Consolas" w:eastAsia="Consolas" w:hAnsi="Consolas"/>
          <w:sz w:val="18"/>
          <w:szCs w:val="18"/>
        </w:rPr>
        <w:t xml:space="preserve">    assert preflight_rego_validator(cp.policy_bundle) == "passed"</w:t>
      </w:r>
      <w:r>
        <w:br/>
      </w:r>
      <w:r>
        <w:rPr>
          <w:rFonts w:ascii="Consolas" w:cs="Consolas" w:eastAsia="Consolas" w:hAnsi="Consolas"/>
          <w:sz w:val="18"/>
          <w:szCs w:val="18"/>
        </w:rPr>
        <w:t xml:space="preserve">    deploy_canary(cp, observation_hours=24)</w:t>
      </w:r>
      <w:r>
        <w:br/>
      </w:r>
      <w:r>
        <w:rPr>
          <w:rFonts w:ascii="Consolas" w:cs="Consolas" w:eastAsia="Consolas" w:hAnsi="Consolas"/>
          <w:sz w:val="18"/>
          <w:szCs w:val="18"/>
        </w:rPr>
        <w:t xml:space="preserve">    activate_at(cp.effective_date)</w:t>
      </w:r>
      <w:r>
        <w:br/>
      </w:r>
      <w:r>
        <w:rPr>
          <w:rFonts w:ascii="Consolas" w:cs="Consolas" w:eastAsia="Consolas" w:hAnsi="Consolas"/>
          <w:sz w:val="18"/>
          <w:szCs w:val="18"/>
        </w:rPr>
        <w:t xml:space="preserve">    bfm = run_backfill(cp.cp_id)</w:t>
      </w:r>
      <w:r>
        <w:br/>
      </w:r>
      <w:r>
        <w:rPr>
          <w:rFonts w:ascii="Consolas" w:cs="Consolas" w:eastAsia="Consolas" w:hAnsi="Consolas"/>
          <w:sz w:val="18"/>
          <w:szCs w:val="18"/>
        </w:rPr>
        <w:t xml:space="preserve">    rr  = build_replay_receipt(bfm.bfm_id)</w:t>
      </w:r>
      <w:r>
        <w:br/>
      </w:r>
      <w:r>
        <w:rPr>
          <w:rFonts w:ascii="Consolas" w:cs="Consolas" w:eastAsia="Consolas" w:hAnsi="Consolas"/>
          <w:sz w:val="18"/>
          <w:szCs w:val="18"/>
        </w:rPr>
        <w:t xml:space="preserve">    assert rr.variance_within_band()</w:t>
      </w:r>
      <w:r>
        <w:br/>
      </w:r>
      <w:r>
        <w:rPr>
          <w:rFonts w:ascii="Consolas" w:cs="Consolas" w:eastAsia="Consolas" w:hAnsi="Consolas"/>
          <w:sz w:val="18"/>
          <w:szCs w:val="18"/>
        </w:rPr>
        <w:t xml:space="preserve">    return assert_fr_events_present([</w:t>
      </w:r>
      <w:r>
        <w:br/>
      </w:r>
      <w:r>
        <w:rPr>
          <w:rFonts w:ascii="Consolas" w:cs="Consolas" w:eastAsia="Consolas" w:hAnsi="Consolas"/>
          <w:sz w:val="18"/>
          <w:szCs w:val="18"/>
        </w:rPr>
        <w:t xml:space="preserve">        "amendment_request_admitted",</w:t>
      </w:r>
      <w:r>
        <w:br/>
      </w:r>
      <w:r>
        <w:rPr>
          <w:rFonts w:ascii="Consolas" w:cs="Consolas" w:eastAsia="Consolas" w:hAnsi="Consolas"/>
          <w:sz w:val="18"/>
          <w:szCs w:val="18"/>
        </w:rPr>
        <w:t xml:space="preserve">        "impact_assessment_signed",</w:t>
      </w:r>
      <w:r>
        <w:br/>
      </w:r>
      <w:r>
        <w:rPr>
          <w:rFonts w:ascii="Consolas" w:cs="Consolas" w:eastAsia="Consolas" w:hAnsi="Consolas"/>
          <w:sz w:val="18"/>
          <w:szCs w:val="18"/>
        </w:rPr>
        <w:t xml:space="preserve">        "constitutional_decision_receipt_written",</w:t>
      </w:r>
      <w:r>
        <w:br/>
      </w:r>
      <w:r>
        <w:rPr>
          <w:rFonts w:ascii="Consolas" w:cs="Consolas" w:eastAsia="Consolas" w:hAnsi="Consolas"/>
          <w:sz w:val="18"/>
          <w:szCs w:val="18"/>
        </w:rPr>
        <w:t xml:space="preserve">        "cutover_executed",</w:t>
      </w:r>
      <w:r>
        <w:br/>
      </w:r>
      <w:r>
        <w:rPr>
          <w:rFonts w:ascii="Consolas" w:cs="Consolas" w:eastAsia="Consolas" w:hAnsi="Consolas"/>
          <w:sz w:val="18"/>
          <w:szCs w:val="18"/>
        </w:rPr>
        <w:t xml:space="preserve">        "backfill_completed",</w:t>
      </w:r>
      <w:r>
        <w:br/>
      </w:r>
      <w:r>
        <w:rPr>
          <w:rFonts w:ascii="Consolas" w:cs="Consolas" w:eastAsia="Consolas" w:hAnsi="Consolas"/>
          <w:sz w:val="18"/>
          <w:szCs w:val="18"/>
        </w:rPr>
        <w:t xml:space="preserve">        "replay_receipt_written",</w:t>
      </w:r>
      <w:r>
        <w:br/>
      </w:r>
      <w:r>
        <w:rPr>
          <w:rFonts w:ascii="Consolas" w:cs="Consolas" w:eastAsia="Consolas" w:hAnsi="Consolas"/>
          <w:sz w:val="18"/>
          <w:szCs w:val="18"/>
        </w:rPr>
        <w:t xml:space="preserve">    ], intent_id=intent_id)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layer4_excluded_uses_refuse(intent_id):</w:t>
      </w:r>
      <w:r>
        <w:br/>
      </w:r>
      <w:r>
        <w:rPr>
          <w:rFonts w:ascii="Consolas" w:cs="Consolas" w:eastAsia="Consolas" w:hAnsi="Consolas"/>
          <w:sz w:val="18"/>
          <w:szCs w:val="18"/>
        </w:rPr>
        <w:t xml:space="preserve">    """Excluded-Uses screen refuses at intake; HIGH-tier event recorded."""</w:t>
      </w:r>
      <w:r>
        <w:br/>
      </w:r>
      <w:r>
        <w:rPr>
          <w:rFonts w:ascii="Consolas" w:cs="Consolas" w:eastAsia="Consolas" w:hAnsi="Consolas"/>
          <w:sz w:val="18"/>
          <w:szCs w:val="18"/>
        </w:rPr>
        <w:t xml:space="preserve">    ar = post_amendment_request_raw(stated_reason="enable defense use",</w:t>
      </w:r>
      <w:r>
        <w:br/>
      </w:r>
      <w:r>
        <w:rPr>
          <w:rFonts w:ascii="Consolas" w:cs="Consolas" w:eastAsia="Consolas" w:hAnsi="Consolas"/>
          <w:sz w:val="18"/>
          <w:szCs w:val="18"/>
        </w:rPr>
        <w:t xml:space="preserve">                                    affected_areas=["copyright.excluded_uses"])</w:t>
      </w:r>
      <w:r>
        <w:br/>
      </w:r>
      <w:r>
        <w:rPr>
          <w:rFonts w:ascii="Consolas" w:cs="Consolas" w:eastAsia="Consolas" w:hAnsi="Consolas"/>
          <w:sz w:val="18"/>
          <w:szCs w:val="18"/>
        </w:rPr>
        <w:t xml:space="preserve">    rsp = submit(ar)</w:t>
      </w:r>
      <w:r>
        <w:br/>
      </w:r>
      <w:r>
        <w:rPr>
          <w:rFonts w:ascii="Consolas" w:cs="Consolas" w:eastAsia="Consolas" w:hAnsi="Consolas"/>
          <w:sz w:val="18"/>
          <w:szCs w:val="18"/>
        </w:rPr>
        <w:t xml:space="preserve">    assert rsp.status_code == 422</w:t>
      </w:r>
      <w:r>
        <w:br/>
      </w:r>
      <w:r>
        <w:rPr>
          <w:rFonts w:ascii="Consolas" w:cs="Consolas" w:eastAsia="Consolas" w:hAnsi="Consolas"/>
          <w:sz w:val="18"/>
          <w:szCs w:val="18"/>
        </w:rPr>
        <w:t xml:space="preserve">    return assert_fr_events_present([</w:t>
      </w:r>
      <w:r>
        <w:br/>
      </w:r>
      <w:r>
        <w:rPr>
          <w:rFonts w:ascii="Consolas" w:cs="Consolas" w:eastAsia="Consolas" w:hAnsi="Consolas"/>
          <w:sz w:val="18"/>
          <w:szCs w:val="18"/>
        </w:rPr>
        <w:t xml:space="preserve">        "amendment_request_refused_excluded_use",</w:t>
      </w:r>
      <w:r>
        <w:br/>
      </w:r>
      <w:r>
        <w:rPr>
          <w:rFonts w:ascii="Consolas" w:cs="Consolas" w:eastAsia="Consolas" w:hAnsi="Consolas"/>
          <w:sz w:val="18"/>
          <w:szCs w:val="18"/>
        </w:rPr>
        <w:t xml:space="preserve">        "high_tier_event_recorded",</w:t>
      </w:r>
      <w:r>
        <w:br/>
      </w:r>
      <w:r>
        <w:rPr>
          <w:rFonts w:ascii="Consolas" w:cs="Consolas" w:eastAsia="Consolas" w:hAnsi="Consolas"/>
          <w:sz w:val="18"/>
          <w:szCs w:val="18"/>
        </w:rPr>
        <w:t xml:space="preserve">    ], intent_id=intent_id)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layer5_emergency_auto_revert(intent_id):</w:t>
      </w:r>
      <w:r>
        <w:br/>
      </w:r>
      <w:r>
        <w:rPr>
          <w:rFonts w:ascii="Consolas" w:cs="Consolas" w:eastAsia="Consolas" w:hAnsi="Consolas"/>
          <w:sz w:val="18"/>
          <w:szCs w:val="18"/>
        </w:rPr>
        <w:t xml:space="preserve">    """Emergency activated; full Constitution does not confirm; auto-revert."""</w:t>
      </w:r>
      <w:r>
        <w:br/>
      </w:r>
      <w:r>
        <w:rPr>
          <w:rFonts w:ascii="Consolas" w:cs="Consolas" w:eastAsia="Consolas" w:hAnsi="Consolas"/>
          <w:sz w:val="18"/>
          <w:szCs w:val="18"/>
        </w:rPr>
        <w:t xml:space="preserve">    ar  = post_emergency_amendment(activator_seats=("ceo","ciso"),</w:t>
      </w:r>
      <w:r>
        <w:br/>
      </w:r>
      <w:r>
        <w:rPr>
          <w:rFonts w:ascii="Consolas" w:cs="Consolas" w:eastAsia="Consolas" w:hAnsi="Consolas"/>
          <w:sz w:val="18"/>
          <w:szCs w:val="18"/>
        </w:rPr>
        <w:t xml:space="preserve">                                   precipitating_event="regulator_emergency_order")</w:t>
      </w:r>
      <w:r>
        <w:br/>
      </w:r>
      <w:r>
        <w:rPr>
          <w:rFonts w:ascii="Consolas" w:cs="Consolas" w:eastAsia="Consolas" w:hAnsi="Consolas"/>
          <w:sz w:val="18"/>
          <w:szCs w:val="18"/>
        </w:rPr>
        <w:t xml:space="preserve">    cdr = collect_director_quorum(ar.ar_id, seats={"ceo","ciso"}, emergency=True)</w:t>
      </w:r>
      <w:r>
        <w:br/>
      </w:r>
      <w:r>
        <w:rPr>
          <w:rFonts w:ascii="Consolas" w:cs="Consolas" w:eastAsia="Consolas" w:hAnsi="Consolas"/>
          <w:sz w:val="18"/>
          <w:szCs w:val="18"/>
        </w:rPr>
        <w:t xml:space="preserve">    deploy_emergency(cdr.cdr_id)</w:t>
      </w:r>
      <w:r>
        <w:br/>
      </w:r>
      <w:r>
        <w:rPr>
          <w:rFonts w:ascii="Consolas" w:cs="Consolas" w:eastAsia="Consolas" w:hAnsi="Consolas"/>
          <w:sz w:val="18"/>
          <w:szCs w:val="18"/>
        </w:rPr>
        <w:t xml:space="preserve">    advance_time(hours=25)            # confirmation window closes unconfirmed</w:t>
      </w:r>
      <w:r>
        <w:br/>
      </w:r>
      <w:r>
        <w:rPr>
          <w:rFonts w:ascii="Consolas" w:cs="Consolas" w:eastAsia="Consolas" w:hAnsi="Consolas"/>
          <w:sz w:val="18"/>
          <w:szCs w:val="18"/>
        </w:rPr>
        <w:t xml:space="preserve">    return assert_fr_events_present([</w:t>
      </w:r>
      <w:r>
        <w:br/>
      </w:r>
      <w:r>
        <w:rPr>
          <w:rFonts w:ascii="Consolas" w:cs="Consolas" w:eastAsia="Consolas" w:hAnsi="Consolas"/>
          <w:sz w:val="18"/>
          <w:szCs w:val="18"/>
        </w:rPr>
        <w:t xml:space="preserve">        "emergency_amendment_activated",</w:t>
      </w:r>
      <w:r>
        <w:br/>
      </w:r>
      <w:r>
        <w:rPr>
          <w:rFonts w:ascii="Consolas" w:cs="Consolas" w:eastAsia="Consolas" w:hAnsi="Consolas"/>
          <w:sz w:val="18"/>
          <w:szCs w:val="18"/>
        </w:rPr>
        <w:t xml:space="preserve">        "emergency_confirmation_window_expired",</w:t>
      </w:r>
      <w:r>
        <w:br/>
      </w:r>
      <w:r>
        <w:rPr>
          <w:rFonts w:ascii="Consolas" w:cs="Consolas" w:eastAsia="Consolas" w:hAnsi="Consolas"/>
          <w:sz w:val="18"/>
          <w:szCs w:val="18"/>
        </w:rPr>
        <w:t xml:space="preserve">        "auto_revert_executed",</w:t>
      </w:r>
      <w:r>
        <w:br/>
      </w:r>
      <w:r>
        <w:rPr>
          <w:rFonts w:ascii="Consolas" w:cs="Consolas" w:eastAsia="Consolas" w:hAnsi="Consolas"/>
          <w:sz w:val="18"/>
          <w:szCs w:val="18"/>
        </w:rPr>
        <w:t xml:space="preserve">        "doctrine_conflict_opened",</w:t>
      </w:r>
      <w:r>
        <w:br/>
      </w:r>
      <w:r>
        <w:rPr>
          <w:rFonts w:ascii="Consolas" w:cs="Consolas" w:eastAsia="Consolas" w:hAnsi="Consolas"/>
          <w:sz w:val="18"/>
          <w:szCs w:val="18"/>
        </w:rPr>
        <w:t xml:space="preserve">    ], intent_id=intent_id)</w:t>
      </w:r>
    </w:p>
    <w:p>
      <w:pPr>
        <w:pStyle w:val="Heading2"/>
        <w:spacing w:after="140" w:before="240"/>
      </w:pPr>
      <w:r>
        <w:rPr>
          <w:b/>
          <w:bCs/>
        </w:rPr>
        <w:t xml:space="preserve">7.7 Reference Rego predicate set</w:t>
      </w:r>
    </w:p>
    <w:p>
      <w:pPr>
        <w:spacing w:after="120" w:line="300"/>
      </w:pPr>
      <w:r>
        <w:t xml:space="preserve">The following Rego predicates enforce the lifecycle invariants at the L4 Policy &amp; Guardrails plane. They are illustrative; the production set is generated per deployment by the DNA Deployment Tool and validated by the preflight Rego validator. The seven hard rules of the OPA Rego Authoring Standards apply unchanged.</w:t>
      </w:r>
    </w:p>
    <w:p>
      <w:pPr>
        <w:shd w:fill="F4F4F4" w:color="auto" w:val="clear"/>
        <w:spacing w:after="160" w:before="120" w:line="260"/>
        <w:ind w:left="240" w:right="240"/>
      </w:pPr>
      <w:r>
        <w:rPr>
          <w:rFonts w:ascii="Consolas" w:cs="Consolas" w:eastAsia="Consolas" w:hAnsi="Consolas"/>
          <w:sz w:val="18"/>
          <w:szCs w:val="18"/>
        </w:rPr>
        <w:t xml:space="preserve">package adam.amendment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rego.v1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1. Amendment Request must reference a Director sponsor.</w:t>
      </w:r>
      <w:r>
        <w:br/>
      </w:r>
      <w:r>
        <w:rPr>
          <w:rFonts w:ascii="Consolas" w:cs="Consolas" w:eastAsia="Consolas" w:hAnsi="Consolas"/>
          <w:sz w:val="18"/>
          <w:szCs w:val="18"/>
        </w:rPr>
        <w:t xml:space="preserve">sponsor_present if {</w:t>
      </w:r>
      <w:r>
        <w:br/>
      </w:r>
      <w:r>
        <w:rPr>
          <w:rFonts w:ascii="Consolas" w:cs="Consolas" w:eastAsia="Consolas" w:hAnsi="Consolas"/>
          <w:sz w:val="18"/>
          <w:szCs w:val="18"/>
        </w:rPr>
        <w:t xml:space="preserve">    input.ar.sponsor.director_seat in {"ceo","cfo","legal_director",</w:t>
      </w:r>
      <w:r>
        <w:br/>
      </w:r>
      <w:r>
        <w:rPr>
          <w:rFonts w:ascii="Consolas" w:cs="Consolas" w:eastAsia="Consolas" w:hAnsi="Consolas"/>
          <w:sz w:val="18"/>
          <w:szCs w:val="18"/>
        </w:rPr>
        <w:t xml:space="preserve">                                       "market_director","ciso","cpo","cto"}</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2. Excluded-Uses cannot be weakened by amendment.</w:t>
      </w:r>
      <w:r>
        <w:br/>
      </w:r>
      <w:r>
        <w:rPr>
          <w:rFonts w:ascii="Consolas" w:cs="Consolas" w:eastAsia="Consolas" w:hAnsi="Consolas"/>
          <w:sz w:val="18"/>
          <w:szCs w:val="18"/>
        </w:rPr>
        <w:t xml:space="preserve">excluded_uses_intact if {</w:t>
      </w:r>
      <w:r>
        <w:br/>
      </w:r>
      <w:r>
        <w:rPr>
          <w:rFonts w:ascii="Consolas" w:cs="Consolas" w:eastAsia="Consolas" w:hAnsi="Consolas"/>
          <w:sz w:val="18"/>
          <w:szCs w:val="18"/>
        </w:rPr>
        <w:t xml:space="preserve">    input.ar.excluded_uses_screen == "passed"</w:t>
      </w:r>
      <w:r>
        <w:br/>
      </w:r>
      <w:r>
        <w:rPr>
          <w:rFonts w:ascii="Consolas" w:cs="Consolas" w:eastAsia="Consolas" w:hAnsi="Consolas"/>
          <w:sz w:val="18"/>
          <w:szCs w:val="18"/>
        </w:rPr>
        <w:t xml:space="preserve">    not affected_excluded_uses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affected_excluded_uses if {</w:t>
      </w:r>
      <w:r>
        <w:br/>
      </w:r>
      <w:r>
        <w:rPr>
          <w:rFonts w:ascii="Consolas" w:cs="Consolas" w:eastAsia="Consolas" w:hAnsi="Consolas"/>
          <w:sz w:val="18"/>
          <w:szCs w:val="18"/>
        </w:rPr>
        <w:t xml:space="preserve">    some area in input.ar.affected_areas</w:t>
      </w:r>
      <w:r>
        <w:br/>
      </w:r>
      <w:r>
        <w:rPr>
          <w:rFonts w:ascii="Consolas" w:cs="Consolas" w:eastAsia="Consolas" w:hAnsi="Consolas"/>
          <w:sz w:val="18"/>
          <w:szCs w:val="18"/>
        </w:rPr>
        <w:t xml:space="preserve">    startswith(area, "copyright.excluded_uses")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3. Doctrine non-self-amendment: sponsor must be a natural-person Director,</w:t>
      </w:r>
      <w:r>
        <w:br/>
      </w:r>
      <w:r>
        <w:rPr>
          <w:rFonts w:ascii="Consolas" w:cs="Consolas" w:eastAsia="Consolas" w:hAnsi="Consolas"/>
          <w:sz w:val="18"/>
          <w:szCs w:val="18"/>
        </w:rPr>
        <w:t xml:space="preserve">#    not an agent identity. Agent DIDs are prefixed did:adam:&lt;class&gt;:.</w:t>
      </w:r>
      <w:r>
        <w:br/>
      </w:r>
      <w:r>
        <w:rPr>
          <w:rFonts w:ascii="Consolas" w:cs="Consolas" w:eastAsia="Consolas" w:hAnsi="Consolas"/>
          <w:sz w:val="18"/>
          <w:szCs w:val="18"/>
        </w:rPr>
        <w:t xml:space="preserve">sponsor_is_human if {</w:t>
      </w:r>
      <w:r>
        <w:br/>
      </w:r>
      <w:r>
        <w:rPr>
          <w:rFonts w:ascii="Consolas" w:cs="Consolas" w:eastAsia="Consolas" w:hAnsi="Consolas"/>
          <w:sz w:val="18"/>
          <w:szCs w:val="18"/>
        </w:rPr>
        <w:t xml:space="preserve">    not startswith(input.ar.sponsor.did, "did:adam:agent:")</w:t>
      </w:r>
      <w:r>
        <w:br/>
      </w:r>
      <w:r>
        <w:rPr>
          <w:rFonts w:ascii="Consolas" w:cs="Consolas" w:eastAsia="Consolas" w:hAnsi="Consolas"/>
          <w:sz w:val="18"/>
          <w:szCs w:val="18"/>
        </w:rPr>
        <w:t xml:space="preserve">    not startswith(input.ar.sponsor.did, "did:adam:meta-")</w:t>
      </w:r>
      <w:r>
        <w:br/>
      </w:r>
      <w:r>
        <w:rPr>
          <w:rFonts w:ascii="Consolas" w:cs="Consolas" w:eastAsia="Consolas" w:hAnsi="Consolas"/>
          <w:sz w:val="18"/>
          <w:szCs w:val="18"/>
        </w:rPr>
        <w:t xml:space="preserve">    startswith(input.ar.sponsor.did, "did:adam:director:")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4. Dual-author rule on the CDR.</w:t>
      </w:r>
      <w:r>
        <w:br/>
      </w:r>
      <w:r>
        <w:rPr>
          <w:rFonts w:ascii="Consolas" w:cs="Consolas" w:eastAsia="Consolas" w:hAnsi="Consolas"/>
          <w:sz w:val="18"/>
          <w:szCs w:val="18"/>
        </w:rPr>
        <w:t xml:space="preserve">dual_author_satisfied if {</w:t>
      </w:r>
      <w:r>
        <w:br/>
      </w:r>
      <w:r>
        <w:rPr>
          <w:rFonts w:ascii="Consolas" w:cs="Consolas" w:eastAsia="Consolas" w:hAnsi="Consolas"/>
          <w:sz w:val="18"/>
          <w:szCs w:val="18"/>
        </w:rPr>
        <w:t xml:space="preserve">    count({sig.director_seat | some sig in input.cdr.director_signatures}) &gt;= 2</w:t>
      </w:r>
      <w:r>
        <w:br/>
      </w:r>
      <w:r>
        <w:rPr>
          <w:rFonts w:ascii="Consolas" w:cs="Consolas" w:eastAsia="Consolas" w:hAnsi="Consolas"/>
          <w:sz w:val="18"/>
          <w:szCs w:val="18"/>
        </w:rPr>
        <w:t xml:space="preserve">    input.cdr.proposer_seat in {sig.director_seat |</w:t>
      </w:r>
      <w:r>
        <w:br/>
      </w:r>
      <w:r>
        <w:rPr>
          <w:rFonts w:ascii="Consolas" w:cs="Consolas" w:eastAsia="Consolas" w:hAnsi="Consolas"/>
          <w:sz w:val="18"/>
          <w:szCs w:val="18"/>
        </w:rPr>
        <w:t xml:space="preserve">                                  some sig in input.cdr.director_signatures}</w:t>
      </w:r>
      <w:r>
        <w:br/>
      </w:r>
      <w:r>
        <w:rPr>
          <w:rFonts w:ascii="Consolas" w:cs="Consolas" w:eastAsia="Consolas" w:hAnsi="Consolas"/>
          <w:sz w:val="18"/>
          <w:szCs w:val="18"/>
        </w:rPr>
        <w:t xml:space="preserve">    some other_seat in {sig.director_seat |</w:t>
      </w:r>
      <w:r>
        <w:br/>
      </w:r>
      <w:r>
        <w:rPr>
          <w:rFonts w:ascii="Consolas" w:cs="Consolas" w:eastAsia="Consolas" w:hAnsi="Consolas"/>
          <w:sz w:val="18"/>
          <w:szCs w:val="18"/>
        </w:rPr>
        <w:t xml:space="preserve">                          some sig in input.cdr.director_signatures}</w:t>
      </w:r>
      <w:r>
        <w:br/>
      </w:r>
      <w:r>
        <w:rPr>
          <w:rFonts w:ascii="Consolas" w:cs="Consolas" w:eastAsia="Consolas" w:hAnsi="Consolas"/>
          <w:sz w:val="18"/>
          <w:szCs w:val="18"/>
        </w:rPr>
        <w:t xml:space="preserve">    other_seat != input.cdr.proposer_seat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5. Quorum thresholds by class and Constitution size.</w:t>
      </w:r>
      <w:r>
        <w:br/>
      </w:r>
      <w:r>
        <w:rPr>
          <w:rFonts w:ascii="Consolas" w:cs="Consolas" w:eastAsia="Consolas" w:hAnsi="Consolas"/>
          <w:sz w:val="18"/>
          <w:szCs w:val="18"/>
        </w:rPr>
        <w:t xml:space="preserve">quorum_met if {</w:t>
      </w:r>
      <w:r>
        <w:br/>
      </w:r>
      <w:r>
        <w:rPr>
          <w:rFonts w:ascii="Consolas" w:cs="Consolas" w:eastAsia="Consolas" w:hAnsi="Consolas"/>
          <w:sz w:val="18"/>
          <w:szCs w:val="18"/>
        </w:rPr>
        <w:t xml:space="preserve">    input.cdr.class_ == "regulatory_mandated"</w:t>
      </w:r>
      <w:r>
        <w:br/>
      </w:r>
      <w:r>
        <w:rPr>
          <w:rFonts w:ascii="Consolas" w:cs="Consolas" w:eastAsia="Consolas" w:hAnsi="Consolas"/>
          <w:sz w:val="18"/>
          <w:szCs w:val="18"/>
        </w:rPr>
        <w:t xml:space="preserve">    quorum_count &gt;= regulatory_quorum_required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quorum_count := count({sig.director_seat |</w:t>
      </w:r>
      <w:r>
        <w:br/>
      </w:r>
      <w:r>
        <w:rPr>
          <w:rFonts w:ascii="Consolas" w:cs="Consolas" w:eastAsia="Consolas" w:hAnsi="Consolas"/>
          <w:sz w:val="18"/>
          <w:szCs w:val="18"/>
        </w:rPr>
        <w:t xml:space="preserve">                         some sig in input.cdr.director_signatures</w:t>
      </w:r>
      <w:r>
        <w:br/>
      </w:r>
      <w:r>
        <w:rPr>
          <w:rFonts w:ascii="Consolas" w:cs="Consolas" w:eastAsia="Consolas" w:hAnsi="Consolas"/>
          <w:sz w:val="18"/>
          <w:szCs w:val="18"/>
        </w:rPr>
        <w:t xml:space="preserve">                         sig.verb == "approve"})</w:t>
      </w:r>
      <w:r>
        <w:br/>
      </w:r>
      <w:r>
        <w:rPr>
          <w:rFonts w:ascii="Consolas" w:cs="Consolas" w:eastAsia="Consolas" w:hAnsi="Consolas"/>
          <w:sz w:val="18"/>
          <w:szCs w:val="18"/>
        </w:rPr>
        <w:t xml:space="preserve">regulatory_quorum_required := 3 if input.cdr.constitution_size == 5</w:t>
      </w:r>
      <w:r>
        <w:br/>
      </w:r>
      <w:r>
        <w:rPr>
          <w:rFonts w:ascii="Consolas" w:cs="Consolas" w:eastAsia="Consolas" w:hAnsi="Consolas"/>
          <w:sz w:val="18"/>
          <w:szCs w:val="18"/>
        </w:rPr>
        <w:t xml:space="preserve">regulatory_quorum_required := 4 if input.cdr.constitution_size == 6</w:t>
      </w:r>
      <w:r>
        <w:br/>
      </w:r>
      <w:r>
        <w:rPr>
          <w:rFonts w:ascii="Consolas" w:cs="Consolas" w:eastAsia="Consolas" w:hAnsi="Consolas"/>
          <w:sz w:val="18"/>
          <w:szCs w:val="18"/>
        </w:rPr>
        <w:t xml:space="preserve">regulatory_quorum_required := 5 if input.cdr.constitution_size == 7</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6. Standstill enforcement: cutover cannot precede effective_date.</w:t>
      </w:r>
      <w:r>
        <w:br/>
      </w:r>
      <w:r>
        <w:rPr>
          <w:rFonts w:ascii="Consolas" w:cs="Consolas" w:eastAsia="Consolas" w:hAnsi="Consolas"/>
          <w:sz w:val="18"/>
          <w:szCs w:val="18"/>
        </w:rPr>
        <w:t xml:space="preserve">standstill_respected if {</w:t>
      </w:r>
      <w:r>
        <w:br/>
      </w:r>
      <w:r>
        <w:rPr>
          <w:rFonts w:ascii="Consolas" w:cs="Consolas" w:eastAsia="Consolas" w:hAnsi="Consolas"/>
          <w:sz w:val="18"/>
          <w:szCs w:val="18"/>
        </w:rPr>
        <w:t xml:space="preserve">    time.parse_rfc3339_ns(input.cutover.activated_at) &gt;=</w:t>
      </w:r>
      <w:r>
        <w:br/>
      </w:r>
      <w:r>
        <w:rPr>
          <w:rFonts w:ascii="Consolas" w:cs="Consolas" w:eastAsia="Consolas" w:hAnsi="Consolas"/>
          <w:sz w:val="18"/>
          <w:szCs w:val="18"/>
        </w:rPr>
        <w:t xml:space="preserve">    time.parse_rfc3339_ns(input.cutover.effective_date)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7. Cipher-suite minimum cannot be reduced silently — explicit reduction</w:t>
      </w:r>
      <w:r>
        <w:br/>
      </w:r>
      <w:r>
        <w:rPr>
          <w:rFonts w:ascii="Consolas" w:cs="Consolas" w:eastAsia="Consolas" w:hAnsi="Consolas"/>
          <w:sz w:val="18"/>
          <w:szCs w:val="18"/>
        </w:rPr>
        <w:t xml:space="preserve">#    requires a time-boxed regulatory exception artifact.</w:t>
      </w:r>
      <w:r>
        <w:br/>
      </w:r>
      <w:r>
        <w:rPr>
          <w:rFonts w:ascii="Consolas" w:cs="Consolas" w:eastAsia="Consolas" w:hAnsi="Consolas"/>
          <w:sz w:val="18"/>
          <w:szCs w:val="18"/>
        </w:rPr>
        <w:t xml:space="preserve">cipher_suite_change_authorised if {</w:t>
      </w:r>
      <w:r>
        <w:br/>
      </w:r>
      <w:r>
        <w:rPr>
          <w:rFonts w:ascii="Consolas" w:cs="Consolas" w:eastAsia="Consolas" w:hAnsi="Consolas"/>
          <w:sz w:val="18"/>
          <w:szCs w:val="18"/>
        </w:rPr>
        <w:t xml:space="preserve">    input.cp.cipher_suite_change == "raised"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cipher_suite_change_authorised if {</w:t>
      </w:r>
      <w:r>
        <w:br/>
      </w:r>
      <w:r>
        <w:rPr>
          <w:rFonts w:ascii="Consolas" w:cs="Consolas" w:eastAsia="Consolas" w:hAnsi="Consolas"/>
          <w:sz w:val="18"/>
          <w:szCs w:val="18"/>
        </w:rPr>
        <w:t xml:space="preserve">    input.cp.cipher_suite_change == "lowered"</w:t>
      </w:r>
      <w:r>
        <w:br/>
      </w:r>
      <w:r>
        <w:rPr>
          <w:rFonts w:ascii="Consolas" w:cs="Consolas" w:eastAsia="Consolas" w:hAnsi="Consolas"/>
          <w:sz w:val="18"/>
          <w:szCs w:val="18"/>
        </w:rPr>
        <w:t xml:space="preserve">    input.cp.regulatory_exception.id != ""</w:t>
      </w:r>
      <w:r>
        <w:br/>
      </w:r>
      <w:r>
        <w:rPr>
          <w:rFonts w:ascii="Consolas" w:cs="Consolas" w:eastAsia="Consolas" w:hAnsi="Consolas"/>
          <w:sz w:val="18"/>
          <w:szCs w:val="18"/>
        </w:rPr>
        <w:t xml:space="preserve">    time.parse_rfc3339_ns(input.cp.regulatory_exception.expires_at) &gt;</w:t>
      </w:r>
      <w:r>
        <w:br/>
      </w:r>
      <w:r>
        <w:rPr>
          <w:rFonts w:ascii="Consolas" w:cs="Consolas" w:eastAsia="Consolas" w:hAnsi="Consolas"/>
          <w:sz w:val="18"/>
          <w:szCs w:val="18"/>
        </w:rPr>
        <w:t xml:space="preserve">        time.now_ns()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8. CDR carries a valid ACS-C threshold proof; default-deny otherwise.</w:t>
      </w:r>
      <w:r>
        <w:br/>
      </w:r>
      <w:r>
        <w:rPr>
          <w:rFonts w:ascii="Consolas" w:cs="Consolas" w:eastAsia="Consolas" w:hAnsi="Consolas"/>
          <w:sz w:val="18"/>
          <w:szCs w:val="18"/>
        </w:rPr>
        <w:t xml:space="preserve">acs_c_threshold_valid if {</w:t>
      </w:r>
      <w:r>
        <w:br/>
      </w:r>
      <w:r>
        <w:rPr>
          <w:rFonts w:ascii="Consolas" w:cs="Consolas" w:eastAsia="Consolas" w:hAnsi="Consolas"/>
          <w:sz w:val="18"/>
          <w:szCs w:val="18"/>
        </w:rPr>
        <w:t xml:space="preserve">    input.cdr.acs_c_proof.scheme == "frost-ed25519+ml-dsa-65"</w:t>
      </w:r>
      <w:r>
        <w:br/>
      </w:r>
      <w:r>
        <w:rPr>
          <w:rFonts w:ascii="Consolas" w:cs="Consolas" w:eastAsia="Consolas" w:hAnsi="Consolas"/>
          <w:sz w:val="18"/>
          <w:szCs w:val="18"/>
        </w:rPr>
        <w:t xml:space="preserve">    input.cdr.acs_c_proof.t == input.cdr.constitution_size  # OHSHAT/HIGH</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Default-deny: any deny msg blocks the cutover.</w:t>
      </w:r>
      <w:r>
        <w:br/>
      </w:r>
      <w:r>
        <w:rPr>
          <w:rFonts w:ascii="Consolas" w:cs="Consolas" w:eastAsia="Consolas" w:hAnsi="Consolas"/>
          <w:sz w:val="18"/>
          <w:szCs w:val="18"/>
        </w:rPr>
        <w:t xml:space="preserve">default allow := false</w:t>
      </w:r>
      <w:r>
        <w:br/>
      </w:r>
      <w:r>
        <w:rPr>
          <w:rFonts w:ascii="Consolas" w:cs="Consolas" w:eastAsia="Consolas" w:hAnsi="Consolas"/>
          <w:sz w:val="18"/>
          <w:szCs w:val="18"/>
        </w:rPr>
        <w:t xml:space="preserve">allow if {</w:t>
      </w:r>
      <w:r>
        <w:br/>
      </w:r>
      <w:r>
        <w:rPr>
          <w:rFonts w:ascii="Consolas" w:cs="Consolas" w:eastAsia="Consolas" w:hAnsi="Consolas"/>
          <w:sz w:val="18"/>
          <w:szCs w:val="18"/>
        </w:rPr>
        <w:t xml:space="preserve">    sponsor_present</w:t>
      </w:r>
      <w:r>
        <w:br/>
      </w:r>
      <w:r>
        <w:rPr>
          <w:rFonts w:ascii="Consolas" w:cs="Consolas" w:eastAsia="Consolas" w:hAnsi="Consolas"/>
          <w:sz w:val="18"/>
          <w:szCs w:val="18"/>
        </w:rPr>
        <w:t xml:space="preserve">    excluded_uses_intact</w:t>
      </w:r>
      <w:r>
        <w:br/>
      </w:r>
      <w:r>
        <w:rPr>
          <w:rFonts w:ascii="Consolas" w:cs="Consolas" w:eastAsia="Consolas" w:hAnsi="Consolas"/>
          <w:sz w:val="18"/>
          <w:szCs w:val="18"/>
        </w:rPr>
        <w:t xml:space="preserve">    sponsor_is_human</w:t>
      </w:r>
      <w:r>
        <w:br/>
      </w:r>
      <w:r>
        <w:rPr>
          <w:rFonts w:ascii="Consolas" w:cs="Consolas" w:eastAsia="Consolas" w:hAnsi="Consolas"/>
          <w:sz w:val="18"/>
          <w:szCs w:val="18"/>
        </w:rPr>
        <w:t xml:space="preserve">    dual_author_satisfied</w:t>
      </w:r>
      <w:r>
        <w:br/>
      </w:r>
      <w:r>
        <w:rPr>
          <w:rFonts w:ascii="Consolas" w:cs="Consolas" w:eastAsia="Consolas" w:hAnsi="Consolas"/>
          <w:sz w:val="18"/>
          <w:szCs w:val="18"/>
        </w:rPr>
        <w:t xml:space="preserve">    quorum_met</w:t>
      </w:r>
      <w:r>
        <w:br/>
      </w:r>
      <w:r>
        <w:rPr>
          <w:rFonts w:ascii="Consolas" w:cs="Consolas" w:eastAsia="Consolas" w:hAnsi="Consolas"/>
          <w:sz w:val="18"/>
          <w:szCs w:val="18"/>
        </w:rPr>
        <w:t xml:space="preserve">    standstill_respected</w:t>
      </w:r>
      <w:r>
        <w:br/>
      </w:r>
      <w:r>
        <w:rPr>
          <w:rFonts w:ascii="Consolas" w:cs="Consolas" w:eastAsia="Consolas" w:hAnsi="Consolas"/>
          <w:sz w:val="18"/>
          <w:szCs w:val="18"/>
        </w:rPr>
        <w:t xml:space="preserve">    cipher_suite_change_authorised</w:t>
      </w:r>
      <w:r>
        <w:br/>
      </w:r>
      <w:r>
        <w:rPr>
          <w:rFonts w:ascii="Consolas" w:cs="Consolas" w:eastAsia="Consolas" w:hAnsi="Consolas"/>
          <w:sz w:val="18"/>
          <w:szCs w:val="18"/>
        </w:rPr>
        <w:t xml:space="preserve">    acs_c_threshold_valid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deny contains msg if { not sponsor_present;            msg := "no Director sponsor on AR" }</w:t>
      </w:r>
      <w:r>
        <w:br/>
      </w:r>
      <w:r>
        <w:rPr>
          <w:rFonts w:ascii="Consolas" w:cs="Consolas" w:eastAsia="Consolas" w:hAnsi="Consolas"/>
          <w:sz w:val="18"/>
          <w:szCs w:val="18"/>
        </w:rPr>
        <w:t xml:space="preserve">deny contains msg if { not excluded_uses_intact;       msg := "amendment touches Excluded Uses" }</w:t>
      </w:r>
      <w:r>
        <w:br/>
      </w:r>
      <w:r>
        <w:rPr>
          <w:rFonts w:ascii="Consolas" w:cs="Consolas" w:eastAsia="Consolas" w:hAnsi="Consolas"/>
          <w:sz w:val="18"/>
          <w:szCs w:val="18"/>
        </w:rPr>
        <w:t xml:space="preserve">deny contains msg if { not sponsor_is_human;           msg := "sponsor is an agent identity" }</w:t>
      </w:r>
      <w:r>
        <w:br/>
      </w:r>
      <w:r>
        <w:rPr>
          <w:rFonts w:ascii="Consolas" w:cs="Consolas" w:eastAsia="Consolas" w:hAnsi="Consolas"/>
          <w:sz w:val="18"/>
          <w:szCs w:val="18"/>
        </w:rPr>
        <w:t xml:space="preserve">deny contains msg if { not dual_author_satisfied;      msg := "dual-author rule violated" }</w:t>
      </w:r>
      <w:r>
        <w:br/>
      </w:r>
      <w:r>
        <w:rPr>
          <w:rFonts w:ascii="Consolas" w:cs="Consolas" w:eastAsia="Consolas" w:hAnsi="Consolas"/>
          <w:sz w:val="18"/>
          <w:szCs w:val="18"/>
        </w:rPr>
        <w:t xml:space="preserve">deny contains msg if { not quorum_met;                 msg := "constitutional quorum not met" }</w:t>
      </w:r>
      <w:r>
        <w:br/>
      </w:r>
      <w:r>
        <w:rPr>
          <w:rFonts w:ascii="Consolas" w:cs="Consolas" w:eastAsia="Consolas" w:hAnsi="Consolas"/>
          <w:sz w:val="18"/>
          <w:szCs w:val="18"/>
        </w:rPr>
        <w:t xml:space="preserve">deny contains msg if { not standstill_respected;       msg := "standstill window violated" }</w:t>
      </w:r>
      <w:r>
        <w:br/>
      </w:r>
      <w:r>
        <w:rPr>
          <w:rFonts w:ascii="Consolas" w:cs="Consolas" w:eastAsia="Consolas" w:hAnsi="Consolas"/>
          <w:sz w:val="18"/>
          <w:szCs w:val="18"/>
        </w:rPr>
        <w:t xml:space="preserve">deny contains msg if { not cipher_suite_change_authorised; msg := "cipher-suite lowering not authorised" }</w:t>
      </w:r>
      <w:r>
        <w:br/>
      </w:r>
      <w:r>
        <w:rPr>
          <w:rFonts w:ascii="Consolas" w:cs="Consolas" w:eastAsia="Consolas" w:hAnsi="Consolas"/>
          <w:sz w:val="18"/>
          <w:szCs w:val="18"/>
        </w:rPr>
        <w:t xml:space="preserve">deny contains msg if { not acs_c_threshold_valid;      msg := "ACS-C threshold proof invalid" }</w:t>
      </w:r>
    </w:p>
    <w:p>
      <w:pPr>
        <w:pStyle w:val="Heading2"/>
        <w:spacing w:after="140" w:before="240"/>
      </w:pPr>
      <w:r>
        <w:rPr>
          <w:b/>
          <w:bCs/>
        </w:rPr>
        <w:t xml:space="preserve">7.8 Acceptance criteria (Definition of Done)</w:t>
      </w:r>
    </w:p>
    <w:p>
      <w:pPr>
        <w:pStyle w:val="ListParagraph"/>
        <w:numPr>
          <w:ilvl w:val="0"/>
          <w:numId w:val="2"/>
        </w:numPr>
        <w:spacing w:after="80" w:line="280"/>
      </w:pPr>
      <w:r>
        <w:t xml:space="preserve">AR-#, IA-#, CDR-#, CP-#, BFM-#, RR-# artifacts are present in the Flight Recorder for every successful amendment, hash-linked, hybrid-signed, and externally anchored.</w:t>
      </w:r>
    </w:p>
    <w:p>
      <w:pPr>
        <w:pStyle w:val="ListParagraph"/>
        <w:numPr>
          <w:ilvl w:val="0"/>
          <w:numId w:val="2"/>
        </w:numPr>
        <w:spacing w:after="80" w:line="280"/>
      </w:pPr>
      <w:r>
        <w:t xml:space="preserve">The amendment Rego module passes the preflight Rego validator with zero defects under --v1-compatible; the seven hard rules are satisfied.</w:t>
      </w:r>
    </w:p>
    <w:p>
      <w:pPr>
        <w:pStyle w:val="ListParagraph"/>
        <w:numPr>
          <w:ilvl w:val="0"/>
          <w:numId w:val="2"/>
        </w:numPr>
        <w:spacing w:after="80" w:line="280"/>
      </w:pPr>
      <w:r>
        <w:t xml:space="preserve">The amendment lifecycle harness layer4_doctrine_amendment_lifecycle returns 0 failures across the happy path, the Excluded-Uses refusal, the sole-author refusal, the agent-sponsor refusal, the cipher-suite-downgrade gating, and the emergency auto-revert.</w:t>
      </w:r>
    </w:p>
    <w:p>
      <w:pPr>
        <w:pStyle w:val="ListParagraph"/>
        <w:numPr>
          <w:ilvl w:val="0"/>
          <w:numId w:val="2"/>
        </w:numPr>
        <w:spacing w:after="80" w:line="280"/>
      </w:pPr>
      <w:r>
        <w:t xml:space="preserve">Doctrine version pin appears in every BOSS provenance record produced after the effective date; replay of any prior record under its pinned doctrine version reproduces the original score within ULP-equivalent floating-point tolerance.</w:t>
      </w:r>
    </w:p>
    <w:p>
      <w:pPr>
        <w:pStyle w:val="ListParagraph"/>
        <w:numPr>
          <w:ilvl w:val="0"/>
          <w:numId w:val="2"/>
        </w:numPr>
        <w:spacing w:after="80" w:line="280"/>
      </w:pPr>
      <w:r>
        <w:t xml:space="preserve">Variance between Stage 2 prediction and Stage 5 actual within declared bands; out-of-band variance auto-opens a Doctrine Conflict Record.</w:t>
      </w:r>
    </w:p>
    <w:p>
      <w:pPr>
        <w:pStyle w:val="ListParagraph"/>
        <w:numPr>
          <w:ilvl w:val="0"/>
          <w:numId w:val="2"/>
        </w:numPr>
        <w:spacing w:after="80" w:line="280"/>
      </w:pPr>
      <w:r>
        <w:t xml:space="preserve">OSCAL profile component for the new doctrine version is published, signed, and ingestible by FedRAMP 20x continuous-assurance pipelines (where applicable).</w:t>
      </w:r>
    </w:p>
    <w:p>
      <w:pPr>
        <w:pStyle w:val="ListParagraph"/>
        <w:numPr>
          <w:ilvl w:val="0"/>
          <w:numId w:val="2"/>
        </w:numPr>
        <w:spacing w:after="80" w:line="280"/>
      </w:pPr>
      <w:r>
        <w:t xml:space="preserve">Director Dashboard exposes the live amendment lifecycle: AR queue, IA queue, CDR queue, cutover countdown, backfill progress, replay variance, rollback status.</w:t>
      </w:r>
    </w:p>
    <w:p>
      <w:pPr>
        <w:pStyle w:val="Heading1"/>
        <w:pageBreakBefore/>
        <w:spacing w:after="200" w:before="320"/>
      </w:pPr>
      <w:r>
        <w:rPr>
          <w:b/>
          <w:bCs/>
        </w:rPr>
        <w:t xml:space="preserve">Part VIII — Implementation Roadmap and Companion Specifications</w:t>
      </w:r>
    </w:p>
    <w:p>
      <w:pPr>
        <w:pStyle w:val="Heading2"/>
        <w:spacing w:after="140" w:before="240"/>
      </w:pPr>
      <w:r>
        <w:rPr>
          <w:b/>
          <w:bCs/>
        </w:rPr>
        <w:t xml:space="preserve">8.1 90-day milestones</w:t>
      </w:r>
    </w:p>
    <w:p>
      <w:pPr>
        <w:pStyle w:val="ListParagraph"/>
        <w:numPr>
          <w:ilvl w:val="0"/>
          <w:numId w:val="2"/>
        </w:numPr>
        <w:spacing w:after="80" w:line="280"/>
      </w:pPr>
      <w:r>
        <w:t xml:space="preserve">AR / IA / CDR / CP / BFM / RR JSON schemas published in the SpecPack and validated.</w:t>
      </w:r>
    </w:p>
    <w:p>
      <w:pPr>
        <w:pStyle w:val="ListParagraph"/>
        <w:numPr>
          <w:ilvl w:val="0"/>
          <w:numId w:val="2"/>
        </w:numPr>
        <w:spacing w:after="80" w:line="280"/>
      </w:pPr>
      <w:r>
        <w:t xml:space="preserve">Reference Rego module in this document deployed as the L4 amendment-lifecycle policy bundle and accepted by the preflight validator.</w:t>
      </w:r>
    </w:p>
    <w:p>
      <w:pPr>
        <w:pStyle w:val="ListParagraph"/>
        <w:numPr>
          <w:ilvl w:val="0"/>
          <w:numId w:val="2"/>
        </w:numPr>
        <w:spacing w:after="80" w:line="280"/>
      </w:pPr>
      <w:r>
        <w:t xml:space="preserve">Director Dashboard amendment lifecycle widget shipped (AR queue, IA queue, CDR queue, cutover countdown, backfill progress).</w:t>
      </w:r>
    </w:p>
    <w:p>
      <w:pPr>
        <w:pStyle w:val="ListParagraph"/>
        <w:numPr>
          <w:ilvl w:val="0"/>
          <w:numId w:val="2"/>
        </w:numPr>
        <w:spacing w:after="80" w:line="280"/>
      </w:pPr>
      <w:r>
        <w:t xml:space="preserve">qa_doctrine_amendment.py harness landed and green; layered into qa_360.py.</w:t>
      </w:r>
    </w:p>
    <w:p>
      <w:pPr>
        <w:pStyle w:val="ListParagraph"/>
        <w:numPr>
          <w:ilvl w:val="0"/>
          <w:numId w:val="2"/>
        </w:numPr>
        <w:spacing w:after="80" w:line="280"/>
      </w:pPr>
      <w:r>
        <w:t xml:space="preserve">Class-A and Class-B end-to-end synthetic exercise on the canonical NetStreamX deployment, with twin-replay confidence band reported.</w:t>
      </w:r>
    </w:p>
    <w:p>
      <w:pPr>
        <w:pStyle w:val="Heading2"/>
        <w:spacing w:after="140" w:before="240"/>
      </w:pPr>
      <w:r>
        <w:rPr>
          <w:b/>
          <w:bCs/>
        </w:rPr>
        <w:t xml:space="preserve">8.2 180-day milestones</w:t>
      </w:r>
    </w:p>
    <w:p>
      <w:pPr>
        <w:pStyle w:val="ListParagraph"/>
        <w:numPr>
          <w:ilvl w:val="0"/>
          <w:numId w:val="2"/>
        </w:numPr>
        <w:spacing w:after="80" w:line="280"/>
      </w:pPr>
      <w:r>
        <w:t xml:space="preserve">Class-C and Class-D end-to-end synthetic exercises, including a Doctrinal Drift Sentinel proposal that requires Director sponsorship to enter Stage 1.</w:t>
      </w:r>
    </w:p>
    <w:p>
      <w:pPr>
        <w:pStyle w:val="ListParagraph"/>
        <w:numPr>
          <w:ilvl w:val="0"/>
          <w:numId w:val="2"/>
        </w:numPr>
        <w:spacing w:after="80" w:line="280"/>
      </w:pPr>
      <w:r>
        <w:t xml:space="preserve">Emergency-class exercise with confirmation-window and auto-revert paths fully observable in the Flight Recorder.</w:t>
      </w:r>
    </w:p>
    <w:p>
      <w:pPr>
        <w:pStyle w:val="ListParagraph"/>
        <w:numPr>
          <w:ilvl w:val="0"/>
          <w:numId w:val="2"/>
        </w:numPr>
        <w:spacing w:after="80" w:line="280"/>
      </w:pPr>
      <w:r>
        <w:t xml:space="preserve">OSCAL profile generator emits per-doctrine-version SSP components signed by T1.</w:t>
      </w:r>
    </w:p>
    <w:p>
      <w:pPr>
        <w:pStyle w:val="ListParagraph"/>
        <w:numPr>
          <w:ilvl w:val="0"/>
          <w:numId w:val="2"/>
        </w:numPr>
        <w:spacing w:after="80" w:line="280"/>
      </w:pPr>
      <w:r>
        <w:t xml:space="preserve">Cross-deployment replay equivalence verified on Azure, AWS, GCP, Kubernetes (OSS), and Azure Local targets.</w:t>
      </w:r>
    </w:p>
    <w:p>
      <w:pPr>
        <w:pStyle w:val="Heading2"/>
        <w:spacing w:after="140" w:before="240"/>
      </w:pPr>
      <w:r>
        <w:rPr>
          <w:b/>
          <w:bCs/>
        </w:rPr>
        <w:t xml:space="preserve">8.3 12-month milestones</w:t>
      </w:r>
    </w:p>
    <w:p>
      <w:pPr>
        <w:pStyle w:val="ListParagraph"/>
        <w:numPr>
          <w:ilvl w:val="0"/>
          <w:numId w:val="2"/>
        </w:numPr>
        <w:spacing w:after="80" w:line="280"/>
      </w:pPr>
      <w:r>
        <w:t xml:space="preserve">First production amendment of any class executed end-to-end on a regulated deployment; external auditor certification of replay-equivalent backfill.</w:t>
      </w:r>
    </w:p>
    <w:p>
      <w:pPr>
        <w:pStyle w:val="ListParagraph"/>
        <w:numPr>
          <w:ilvl w:val="0"/>
          <w:numId w:val="2"/>
        </w:numPr>
        <w:spacing w:after="80" w:line="280"/>
      </w:pPr>
      <w:r>
        <w:t xml:space="preserve">Cipher-suite minimum amendment exercised on the canonical deployment with hybrid PQC dual-signature and SLH-DSA archival re-anchor.</w:t>
      </w:r>
    </w:p>
    <w:p>
      <w:pPr>
        <w:pStyle w:val="ListParagraph"/>
        <w:numPr>
          <w:ilvl w:val="0"/>
          <w:numId w:val="2"/>
        </w:numPr>
        <w:spacing w:after="80" w:line="280"/>
      </w:pPr>
      <w:r>
        <w:t xml:space="preserve">FedRAMP 20x continuous-assurance evidence stream live for amendment lifecycle artifacts.</w:t>
      </w:r>
    </w:p>
    <w:p>
      <w:pPr>
        <w:pStyle w:val="ListParagraph"/>
        <w:numPr>
          <w:ilvl w:val="0"/>
          <w:numId w:val="2"/>
        </w:numPr>
        <w:spacing w:after="80" w:line="280"/>
      </w:pPr>
      <w:r>
        <w:t xml:space="preserve">Multi-jurisdiction amendment exercised with EU AI Act delegated-act binding effective date and DORA RTS reissue concurrently in flight.</w:t>
      </w:r>
    </w:p>
    <w:p>
      <w:pPr>
        <w:pStyle w:val="Heading2"/>
        <w:spacing w:after="140" w:before="240"/>
      </w:pPr>
      <w:r>
        <w:rPr>
          <w:b/>
          <w:bCs/>
        </w:rPr>
        <w:t xml:space="preserve">8.4 36-month milestones</w:t>
      </w:r>
    </w:p>
    <w:p>
      <w:pPr>
        <w:pStyle w:val="ListParagraph"/>
        <w:numPr>
          <w:ilvl w:val="0"/>
          <w:numId w:val="2"/>
        </w:numPr>
        <w:spacing w:after="80" w:line="280"/>
      </w:pPr>
      <w:r>
        <w:t xml:space="preserve">Doctrine amendment lifecycle exercised across CMMC Level 3 deployment with hardware-HSM substrate; CNSA 2.0 cipher-suite minimum in force.</w:t>
      </w:r>
    </w:p>
    <w:p>
      <w:pPr>
        <w:pStyle w:val="ListParagraph"/>
        <w:numPr>
          <w:ilvl w:val="0"/>
          <w:numId w:val="2"/>
        </w:numPr>
        <w:spacing w:after="80" w:line="280"/>
      </w:pPr>
      <w:r>
        <w:t xml:space="preserve">Convention on AI / OECD / ISO 42001 third-party assurance attestations in steady state.</w:t>
      </w:r>
    </w:p>
    <w:p>
      <w:pPr>
        <w:pStyle w:val="ListParagraph"/>
        <w:numPr>
          <w:ilvl w:val="0"/>
          <w:numId w:val="2"/>
        </w:numPr>
        <w:spacing w:after="80" w:line="280"/>
      </w:pPr>
      <w:r>
        <w:t xml:space="preserve">Doctrine lineage DAG depth ≥ 24 amendment generations on production deployments without verifier complexity growth.</w:t>
      </w:r>
    </w:p>
    <w:p>
      <w:pPr>
        <w:pStyle w:val="Heading2"/>
        <w:spacing w:after="140" w:before="240"/>
      </w:pPr>
      <w:r>
        <w:rPr>
          <w:b/>
          <w:bCs/>
        </w:rPr>
        <w:t xml:space="preserve">8.5 Companion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Document</w:t>
            </w:r>
          </w:p>
        </w:tc>
        <w:tc>
          <w:tcPr>
            <w:tcW w:type="dxa" w:w="624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Role</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Autonomy Doctrine &amp; Architecture Model</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Parent manuscript; states the doctrine non-self-amendment axiom and the architectural anchors this lifecycle binds to.</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Governance Charter and Human Directorship</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Defines the 5/6/7-Director Constitution, reserved decisions per seat, the Trust Gateway model, and OHSHAT escalation; quorum thresholds in Part III §3.4 mirror the Charter.</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Legal and Arbitration Sections (§II)</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Conflict Arbitration Model; Class C amendments arise from a Doctrine Conflict Record resolution.</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BOSS Score Formulas</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Defines provenance chains; every score crossing the cutover boundary uses methodology versioning to remain replayable.</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Intent Object Definition</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Provides the schema this document extends with amendment-specific fields; six-stage pipeline is reused.</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OPA Rego Authoring Standards</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The seven hard rules apply to every Rego module produced by an amendment; the preflight validator is the L4 hard gate.</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Quantum and Cryptographic Security at Scale</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Defines the crypto-agility envelope, the seven-layer defense stack, the cipher-suite profile, and the WORM anchors that this lifecycle reuses.</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Hardware-Free Cryptographic Substrate</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Defines the ACS substrate and the ACS-C threshold ring that binds constitutional quorum to a cryptographic property.</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Keyword Glossary and Complex Definitions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Definitions of doctrine, doctrine version, CDR, AR, IA, BFM, RR, replay equivalence, lineage continuity.</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Copyright and Use Agreement</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Section 12 Excluded Uses are non-amendable; the screen at AR intake is mandatory.</w:t>
            </w:r>
          </w:p>
        </w:tc>
      </w:tr>
    </w:tbl>
    <w:p>
      <w:pPr>
        <w:pStyle w:val="Heading1"/>
        <w:pageBreakBefore/>
        <w:spacing w:after="200" w:before="320"/>
      </w:pPr>
      <w:r>
        <w:rPr>
          <w:b/>
          <w:bCs/>
        </w:rPr>
        <w:t xml:space="preserve">Appendix A — Glossary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Term</w:t>
            </w:r>
          </w:p>
        </w:tc>
        <w:tc>
          <w:tcPr>
            <w:tcW w:type="dxa" w:w="696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Definition</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Amendment Request (AR-#)</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 Class-A Constitutional Intent Object that initiates a doctrine amendment lifecycle. Sponsored by a natural-person Director; rejected at intake if authored by an agent identity.</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Impact Assessment (IA-#)</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Signed analytical artifact addressing eleven analytical surfaces (S1–S11) under twin simulation; binding constraint on the amendment's behaviour through Stage 5.</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Constitutional Decision Receipt (CDR-#)</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Aggregated Director Decision Receipts under the constitutional quorum, signed under the T1 Doctrine Signing Key via an ACS-C threshold proof; the cryptographic act of amendment.</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Cutover Package (CP-#)</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Signed bundle deploying the new doctrine: policy bundles, OPA modules, CORE Graph delta, BOSS calibration, cipher-suite profile, external commitment register, notice artifact.</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Backfill Manifest (BFM-#)</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Plan and execution record for re-scoring in-scope ranges under the new doctrine, distinguishing conserve, re-score (shadow), and re-score (authoritative) scopes.</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Replay Receipt (RR-#)</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Reconciliation artifact comparing Stage 2 simulation predictions to Stage 5 actual outcomes; out-of-band variance auto-opens a Doctrine Conflict Record.</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Sealed Range Pointer (SRP-#)</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Pointer to a Flight Recorder range conserved under prior doctrine without re-scoring; legally settled or expired ranges typically receive an SRP.</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Shadow Score Record (SSR-#)</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Per-action record carrying both the original score and the under-new-doctrine score with the delta and lineage pointers.</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Authoritative Re-score Record (ARR-#)</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Per-action record where the new doctrine score becomes primary for ongoing measurement; requires explicit director order.</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Lineage continuity</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Architectural property that every doctrine version carries a parent pointer and that rollback creates a new lineage rather than deleting.</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Replay equivalence</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Architectural property that replaying any historical action under its pinned doctrine version reproduces the original score, classification, and authorisation.</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Standstill window</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Period between CDR write and effective date during which the new doctrine is loadable in shadow but the prior doctrine remains authoritative.</w:t>
            </w:r>
          </w:p>
        </w:tc>
      </w:tr>
      <w:tr>
        <w:tc>
          <w:tcPr>
            <w:tcW w:type="dxa" w:w="240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Dual-author rule</w:t>
            </w:r>
          </w:p>
        </w:tc>
        <w:tc>
          <w:tcPr>
            <w:tcW w:type="dxa" w:w="696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Architectural invariant that no single Director can author, propose, and approve an amendment alone; quorum is bound by the ACS-C threshold ring.</w:t>
            </w:r>
          </w:p>
        </w:tc>
      </w:tr>
      <w:tr>
        <w:tc>
          <w:tcPr>
            <w:tcW w:type="dxa" w:w="240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Doctrine non-self-amendment axiom</w:t>
            </w:r>
          </w:p>
        </w:tc>
        <w:tc>
          <w:tcPr>
            <w:tcW w:type="dxa" w:w="696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Architectural invariant that the system itself never authors an amendment; meta-governance agents may detect, simulate, and propose, but cannot author.</w:t>
            </w:r>
          </w:p>
        </w:tc>
      </w:tr>
    </w:tbl>
    <w:p>
      <w:pPr>
        <w:pStyle w:val="Heading1"/>
        <w:pageBreakBefore/>
        <w:spacing w:after="200" w:before="320"/>
      </w:pPr>
      <w:r>
        <w:rPr>
          <w:b/>
          <w:bCs/>
        </w:rPr>
        <w:t xml:space="preserve">Appendix B — Document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Reference</w:t>
            </w:r>
          </w:p>
        </w:tc>
        <w:tc>
          <w:tcPr>
            <w:tcW w:type="dxa" w:w="6240"/>
            <w:tcBorders>
              <w:top w:val="single" w:color="BFBFBF" w:sz="1"/>
              <w:left w:val="single" w:color="BFBFBF" w:sz="1"/>
              <w:bottom w:val="single" w:color="BFBFBF" w:sz="1"/>
              <w:right w:val="single" w:color="BFBFBF" w:sz="1"/>
            </w:tcBorders>
            <w:shd w:fill="1F3864" w:color="auto" w:val="clear"/>
            <w:tcMar>
              <w:top w:type="dxa" w:w="90"/>
              <w:left w:type="dxa" w:w="120"/>
              <w:bottom w:type="dxa" w:w="90"/>
              <w:right w:type="dxa" w:w="120"/>
            </w:tcMar>
          </w:tcPr>
          <w:p>
            <w:pPr>
              <w:spacing w:after="0" w:line="260"/>
            </w:pPr>
            <w:r>
              <w:rPr>
                <w:b/>
                <w:bCs/>
                <w:color w:val="FFFFFF"/>
              </w:rPr>
              <w:t xml:space="preserve">Where to look</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Doctrine non-self-amendment axiom</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Legal and Arbitration §II.2</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Doctrine Conflict Arbitration Model</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Legal and Arbitration §II.3–§II.8</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Five/six/seven-Director Constitution; reserved decisions; OHSHAT runbook</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Governance Charter and Human Directorship §A.4–§A.7</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Six-stage Intent Object pipeline; doctrine_version field; previous_intents DAG</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Intent Object Definition</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BOSS provenance chain; Priority Tier weights; methodology versioning</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BOSS Score Formulas</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SOAP→OHSHAT spectrum; Exception Economy; structured exception packets</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main manuscript Part IX</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Crypto-agility envelope; T0–T6 key tiers; ACS-A through ACS-E layers; SLH-DSA archival anchors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Quantum and Cryptographic Security at Scale §3.2–§3.5; ADAM — Hardware-Free Cryptographic Substrate</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Seven hard Rego rules; preflight Rego validator</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OPA Rego Authoring Standards</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Drift Sentinel doctrinal_drift_detected and realignment_delta_proposed events</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Build Card meta-integrity (CORE Graph Integrity / Doctrinal Drift Sentinel Agent)</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Human Trust Gateway verbs (approve / reject / modify / defer / comment); idempotency on action_id; SLA timers</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Build Card hi-gateway (Human Trust Gateway Agent)</w:t>
            </w:r>
          </w:p>
        </w:tc>
      </w:tr>
      <w:tr>
        <w:tc>
          <w:tcPr>
            <w:tcW w:type="dxa" w:w="312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Excluded Uses §12</w:t>
            </w:r>
          </w:p>
        </w:tc>
        <w:tc>
          <w:tcPr>
            <w:tcW w:type="dxa" w:w="6240"/>
            <w:tcBorders>
              <w:top w:val="single" w:color="BFBFBF" w:sz="1"/>
              <w:left w:val="single" w:color="BFBFBF" w:sz="1"/>
              <w:bottom w:val="single" w:color="BFBFBF" w:sz="1"/>
              <w:right w:val="single" w:color="BFBFBF" w:sz="1"/>
            </w:tcBorders>
            <w:tcMar>
              <w:top w:type="dxa" w:w="90"/>
              <w:left w:type="dxa" w:w="120"/>
              <w:bottom w:type="dxa" w:w="90"/>
              <w:right w:type="dxa" w:w="120"/>
            </w:tcMar>
          </w:tcPr>
          <w:p>
            <w:pPr>
              <w:spacing w:after="0" w:line="260"/>
            </w:pPr>
            <w:r>
              <w:t xml:space="preserve">ADAM — Copyright and Use Agreement</w:t>
            </w:r>
          </w:p>
        </w:tc>
      </w:tr>
      <w:tr>
        <w:tc>
          <w:tcPr>
            <w:tcW w:type="dxa" w:w="312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External regulatory crosswalk (NIST AI RMF, ISO/IEC 42001, EU AI Act, DORA, NIS2, NIST FIPS 203/204/205, CNSA 2.0, NY DFS, MAS TRM+FEAT, FFIEC AIO, FedRAMP, OSCAL)</w:t>
            </w:r>
          </w:p>
        </w:tc>
        <w:tc>
          <w:tcPr>
            <w:tcW w:type="dxa" w:w="6240"/>
            <w:tcBorders>
              <w:top w:val="single" w:color="BFBFBF" w:sz="1"/>
              <w:left w:val="single" w:color="BFBFBF" w:sz="1"/>
              <w:bottom w:val="single" w:color="BFBFBF" w:sz="1"/>
              <w:right w:val="single" w:color="BFBFBF" w:sz="1"/>
            </w:tcBorders>
            <w:shd w:fill="F2F2F2" w:color="auto" w:val="clear"/>
            <w:tcMar>
              <w:top w:type="dxa" w:w="90"/>
              <w:left w:type="dxa" w:w="120"/>
              <w:bottom w:type="dxa" w:w="90"/>
              <w:right w:type="dxa" w:w="120"/>
            </w:tcMar>
          </w:tcPr>
          <w:p>
            <w:pPr>
              <w:spacing w:after="0" w:line="260"/>
            </w:pPr>
            <w:r>
              <w:t xml:space="preserve">ADAM — Quantum and Cryptographic Security at Scale Part V; ADAM — Financial Services Security Frameworks</w:t>
            </w:r>
          </w:p>
        </w:tc>
      </w:tr>
    </w:tbl>
    <w:p>
      <w:pPr>
        <w:pStyle w:val="Heading1"/>
        <w:pageBreakBefore/>
        <w:spacing w:after="200" w:before="320"/>
      </w:pPr>
      <w:r>
        <w:rPr>
          <w:b/>
          <w:bCs/>
        </w:rPr>
        <w:t xml:space="preserve">Appendix C — Worked example: EU AI Act Article 9 risk-management uplift</w:t>
      </w:r>
    </w:p>
    <w:p>
      <w:pPr>
        <w:spacing w:after="120" w:line="300"/>
      </w:pPr>
      <w:r>
        <w:t xml:space="preserve">Trigger. The European Commission publishes a delegated act under EU AI Act Article 9 specifying additional risk-management documentation requirements for high-risk AI systems with a binding effective date 90 days from publication.</w:t>
      </w:r>
    </w:p>
    <w:p>
      <w:pPr>
        <w:spacing w:after="120" w:line="300"/>
      </w:pPr>
      <w:r>
        <w:t xml:space="preserve">Class. A — Regulatory-mandated. Sponsor: Legal Director.</w:t>
      </w:r>
    </w:p>
    <w:p>
      <w:pPr>
        <w:spacing w:after="120" w:line="300"/>
      </w:pPr>
      <w:r>
        <w:t xml:space="preserve">Stage 1 (Request). The Regulatory Interface Agent ingests the publication, extracts the structured citation, and routes it to the Legal Director's queue. The Legal Director authors AR-2026-05-08-0001 referencing the delegated act and the affected doctrine areas: core_graph.regulatory.eu_ai_act.article_9, boss.dimension.regulatory.thresholds, policy_bundle.eu_ai_act_high_risk.</w:t>
      </w:r>
    </w:p>
    <w:p>
      <w:pPr>
        <w:spacing w:after="120" w:line="300"/>
      </w:pPr>
      <w:r>
        <w:t xml:space="preserve">Stage 2 (Impact Assessment). The Risk &amp; Compliance Twin and the Operational Twin replay 365 days of in-scope traffic against the proposed new requirements. The CISO co-signs the security delta (no QE change; modest ACE delta from new content-provenance documentation). The CFO co-signs financial delta (new documentation effort; estimated SLA impact on the orch-evidence pipeline). The Legal Director signs the regulatory delta. Composite confidence band 92%.</w:t>
      </w:r>
    </w:p>
    <w:p>
      <w:pPr>
        <w:spacing w:after="120" w:line="300"/>
      </w:pPr>
      <w:r>
        <w:t xml:space="preserve">Stage 3 (Director Quorum). 5-Director Constitution. Legal Director (sponsor) + CEO + CISO + CFO affirm; Market Director comments without objection. CDR-2026-05-12-0014 written under T1 Doctrine Signing Key with ACS-C 3-of-5 threshold proof. Dual-author rule satisfied; standstill window declared from 2026-05-12 to 2026-08-04.</w:t>
      </w:r>
    </w:p>
    <w:p>
      <w:pPr>
        <w:spacing w:after="120" w:line="300"/>
      </w:pPr>
      <w:r>
        <w:t xml:space="preserve">Stage 4 (Cutover). CP-2026-08-04-0001 deployed on 2026-08-04. Preflight Rego validator passes. Canary observation 2026-08-03 to 2026-08-04 shows no out-of-band scoring shifts. Notice published to regulator and downstream partners. Effective date 2026-08-04 00:00 UTC.</w:t>
      </w:r>
    </w:p>
    <w:p>
      <w:pPr>
        <w:spacing w:after="120" w:line="300"/>
      </w:pPr>
      <w:r>
        <w:t xml:space="preserve">Stage 5 (Backfill and Replay). Shadow-score backfill across the prior 365 days completes within 36 hours. RR-2026-08-06-0009 reports variance within the predicted band on every surface. Doctrine version pinned in every BOSS provenance record produced after the effective date as doctrine/2026.08.04-r1 with lineage pointer to the prior version.</w:t>
      </w:r>
    </w:p>
    <w:p>
      <w:pPr>
        <w:pStyle w:val="Heading1"/>
        <w:pageBreakBefore/>
        <w:spacing w:after="200" w:before="320"/>
      </w:pPr>
      <w:r>
        <w:rPr>
          <w:b/>
          <w:bCs/>
        </w:rPr>
        <w:t xml:space="preserve">Appendix D — Worked example: DORA RTS reissue</w:t>
      </w:r>
    </w:p>
    <w:p>
      <w:pPr>
        <w:spacing w:after="120" w:line="300"/>
      </w:pPr>
      <w:r>
        <w:t xml:space="preserve">Trigger. The European Supervisory Authorities reissue a Regulatory Technical Standard under DORA Article 15 with a 60-day implementation window.</w:t>
      </w:r>
    </w:p>
    <w:p>
      <w:pPr>
        <w:spacing w:after="120" w:line="300"/>
      </w:pPr>
      <w:r>
        <w:t xml:space="preserve">Class. A — Regulatory-mandated. Sponsor: Legal Director, with CISO co-signature on cipher-suite-relevant elements.</w:t>
      </w:r>
    </w:p>
    <w:p>
      <w:pPr>
        <w:spacing w:after="120" w:line="300"/>
      </w:pPr>
      <w:r>
        <w:t xml:space="preserve">Highlights. The reissue tightens cryptographic controls under DORA Article 9, requiring T1 Doctrine Signing Key rotation cadence to be reduced. The amendment package therefore includes both a doctrine version bump and a CAV substrate operational change. The Stage 2 assessment's QE-delta surface is mandatory; the CISO produces the surface jointly with the Legal Director. The cutover timing is set so that the new rotation cadence is in force on the regulatory effective date with at least 24 hours of canary observation. The Stage 5 Replay Receipt verifies replay equivalence under both the prior and new T1 key configurations using the migration_history field of the crypto-agility envelope.</w:t>
      </w:r>
    </w:p>
    <w:p>
      <w:pPr>
        <w:pStyle w:val="Heading1"/>
        <w:pageBreakBefore/>
        <w:spacing w:after="200" w:before="320"/>
      </w:pPr>
      <w:r>
        <w:rPr>
          <w:b/>
          <w:bCs/>
        </w:rPr>
        <w:t xml:space="preserve">Appendix E — Reference Rego predicate set</w:t>
      </w:r>
    </w:p>
    <w:p>
      <w:pPr>
        <w:spacing w:after="120" w:line="300"/>
      </w:pPr>
      <w:r>
        <w:t xml:space="preserve">The reference Rego predicate set in §7.7 is reproduced here for citation by the SpecPack DNA Deployment Tool. It is the L4 plane authoritative module for amendment lifecycle enforcement; the DNA Deployment Tool may extend it per deployment but cannot relax it. Per the OPA Rego Authoring Standards, every .rego module in the bundle begins with import rego.v1 and the bundle is loaded with --v1-compatible. The seven hard rules of the OPA Rego Authoring Standards apply unchanged.</w:t>
      </w:r>
    </w:p>
    <w:p>
      <w:pPr>
        <w:spacing w:after="120" w:line="300"/>
      </w:pPr>
      <w: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ADAM SpecPack — Doctrine Amendment Process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ADAM — Doctrine Amendment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Doctrine Amendment Process</dc:title>
  <dc:creator>Michael Lamb</dc:creator>
  <dc:description>ADAM Support Document specifying the human-authored doctrine amendment lifecycle, versioned migrations, replayable backfills, and signed-off impact assessments under the Exception Economy.</dc:description>
  <cp:lastModifiedBy>Un-named</cp:lastModifiedBy>
  <cp:revision>1</cp:revision>
  <dcterms:created xsi:type="dcterms:W3CDTF">2026-05-08T08:10:34.147Z</dcterms:created>
  <dcterms:modified xsi:type="dcterms:W3CDTF">2026-05-08T08:10:34.147Z</dcterms:modified>
</cp:coreProperties>
</file>

<file path=docProps/custom.xml><?xml version="1.0" encoding="utf-8"?>
<Properties xmlns="http://schemas.openxmlformats.org/officeDocument/2006/custom-properties" xmlns:vt="http://schemas.openxmlformats.org/officeDocument/2006/docPropsVTypes"/>
</file>