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40CAF" w14:textId="77777777" w:rsidR="007A4426" w:rsidRPr="007A4426" w:rsidRDefault="007A4426" w:rsidP="00483071">
      <w:pPr>
        <w:pStyle w:val="Heading1"/>
        <w:rPr>
          <w:rFonts w:eastAsia="Times New Roman"/>
        </w:rPr>
      </w:pPr>
      <w:bookmarkStart w:id="0" w:name="_Toc226998462"/>
      <w:r>
        <w:rPr>
          <w:rFonts w:eastAsia="Times New Roman"/>
        </w:rPr>
        <w:t>ADAM Governance Charter</w:t>
      </w:r>
      <w:bookmarkEnd w:id="0"/>
    </w:p>
    <w:p w14:paraId="20479E63" w14:textId="4FE15D53" w:rsidR="002603D7" w:rsidRPr="00FD2619" w:rsidRDefault="007A4426" w:rsidP="00FD2619">
      <w:pPr>
        <w:pStyle w:val="Heading2"/>
        <w:rPr>
          <w:rFonts w:eastAsia="Times New Roman"/>
        </w:rPr>
      </w:pPr>
      <w:bookmarkStart w:id="1" w:name="_Toc226998463"/>
      <w:r>
        <w:rPr>
          <w:rFonts w:eastAsia="Times New Roman"/>
        </w:rPr>
        <w:t>Human Oversight, Accountability, and Director Interface Model</w:t>
      </w:r>
      <w:bookmarkEnd w:id="1"/>
    </w:p>
    <w:p w14:paraId="24D40E09" w14:textId="77777777" w:rsidR="002603D7" w:rsidRDefault="002603D7" w:rsidP="002603D7">
      <w:pPr>
        <w:rPr>
          <w:lang w:val="en-US"/>
        </w:rPr>
      </w:pPr>
    </w:p>
    <w:sdt>
      <w:sdtPr>
        <w:rPr>
          <w:rFonts w:asciiTheme="minorHAnsi" w:eastAsiaTheme="minorHAnsi" w:hAnsiTheme="minorHAnsi" w:cstheme="minorBidi"/>
          <w:color w:val="auto"/>
          <w:kern w:val="2"/>
          <w:sz w:val="24"/>
          <w:szCs w:val="24"/>
          <w:lang/>
          <w14:ligatures w14:val="standardContextual"/>
        </w:rPr>
        <w:id w:val="-1448312069"/>
        <w:docPartObj>
          <w:docPartGallery w:val="Table of Contents"/>
          <w:docPartUnique/>
        </w:docPartObj>
      </w:sdtPr>
      <w:sdtEndPr>
        <w:rPr>
          <w:b/>
          <w:bCs/>
          <w:noProof/>
        </w:rPr>
      </w:sdtEndPr>
      <w:sdtContent>
        <w:p w14:paraId="32DDEF6D" w14:textId="2F9A7DBC" w:rsidR="002603D7" w:rsidRDefault="002603D7">
          <w:pPr>
            <w:pStyle w:val="TOCHeading"/>
          </w:pPr>
          <w:r>
            <w:t>Contents</w:t>
          </w:r>
        </w:p>
        <w:p w14:paraId="4E4451C7" w14:textId="276BF78F" w:rsidR="00386F21" w:rsidRDefault="002603D7">
          <w:pPr>
            <w:pStyle w:val="TOC1"/>
            <w:tabs>
              <w:tab w:val="right" w:leader="dot" w:pos="9016"/>
            </w:tabs>
            <w:rPr>
              <w:rFonts w:eastAsiaTheme="minorEastAsia"/>
              <w:noProof/>
              <w:lang/>
            </w:rPr>
          </w:pPr>
          <w:r>
            <w:fldChar w:fldCharType="begin"/>
          </w:r>
          <w:r>
            <w:instrText xml:space="preserve"> TOC \o "1-3" \h \z \u </w:instrText>
          </w:r>
          <w:r>
            <w:fldChar w:fldCharType="separate"/>
          </w:r>
          <w:hyperlink w:anchor="_Toc226998462" w:history="1">
            <w:r w:rsidR="00386F21" w:rsidRPr="0070533E">
              <w:rPr>
                <w:rStyle w:val="Hyperlink"/>
                <w:rFonts w:eastAsia="Times New Roman"/>
                <w:noProof/>
              </w:rPr>
              <w:t>ADAM Governance Charter</w:t>
            </w:r>
            <w:r w:rsidR="00386F21">
              <w:rPr>
                <w:noProof/>
                <w:webHidden/>
              </w:rPr>
              <w:tab/>
            </w:r>
            <w:r w:rsidR="00386F21">
              <w:rPr>
                <w:noProof/>
                <w:webHidden/>
              </w:rPr>
              <w:fldChar w:fldCharType="begin"/>
            </w:r>
            <w:r w:rsidR="00386F21">
              <w:rPr>
                <w:noProof/>
                <w:webHidden/>
              </w:rPr>
              <w:instrText xml:space="preserve"> PAGEREF _Toc226998462 \h </w:instrText>
            </w:r>
            <w:r w:rsidR="00386F21">
              <w:rPr>
                <w:noProof/>
                <w:webHidden/>
              </w:rPr>
            </w:r>
            <w:r w:rsidR="00386F21">
              <w:rPr>
                <w:noProof/>
                <w:webHidden/>
              </w:rPr>
              <w:fldChar w:fldCharType="separate"/>
            </w:r>
            <w:r w:rsidR="00386F21">
              <w:rPr>
                <w:noProof/>
                <w:webHidden/>
              </w:rPr>
              <w:t>1</w:t>
            </w:r>
            <w:r w:rsidR="00386F21">
              <w:rPr>
                <w:noProof/>
                <w:webHidden/>
              </w:rPr>
              <w:fldChar w:fldCharType="end"/>
            </w:r>
          </w:hyperlink>
        </w:p>
        <w:p w14:paraId="2E021636" w14:textId="7AE7C37D" w:rsidR="00386F21" w:rsidRDefault="00386F21">
          <w:pPr>
            <w:pStyle w:val="TOC2"/>
            <w:tabs>
              <w:tab w:val="right" w:leader="dot" w:pos="9016"/>
            </w:tabs>
            <w:rPr>
              <w:rFonts w:eastAsiaTheme="minorEastAsia"/>
              <w:noProof/>
              <w:lang/>
            </w:rPr>
          </w:pPr>
          <w:hyperlink w:anchor="_Toc226998463" w:history="1">
            <w:r w:rsidRPr="0070533E">
              <w:rPr>
                <w:rStyle w:val="Hyperlink"/>
                <w:rFonts w:eastAsia="Times New Roman"/>
                <w:noProof/>
              </w:rPr>
              <w:t>Human Oversight, Accountability, and Director Interface Model</w:t>
            </w:r>
            <w:r>
              <w:rPr>
                <w:noProof/>
                <w:webHidden/>
              </w:rPr>
              <w:tab/>
            </w:r>
            <w:r>
              <w:rPr>
                <w:noProof/>
                <w:webHidden/>
              </w:rPr>
              <w:fldChar w:fldCharType="begin"/>
            </w:r>
            <w:r>
              <w:rPr>
                <w:noProof/>
                <w:webHidden/>
              </w:rPr>
              <w:instrText xml:space="preserve"> PAGEREF _Toc226998463 \h </w:instrText>
            </w:r>
            <w:r>
              <w:rPr>
                <w:noProof/>
                <w:webHidden/>
              </w:rPr>
            </w:r>
            <w:r>
              <w:rPr>
                <w:noProof/>
                <w:webHidden/>
              </w:rPr>
              <w:fldChar w:fldCharType="separate"/>
            </w:r>
            <w:r>
              <w:rPr>
                <w:noProof/>
                <w:webHidden/>
              </w:rPr>
              <w:t>1</w:t>
            </w:r>
            <w:r>
              <w:rPr>
                <w:noProof/>
                <w:webHidden/>
              </w:rPr>
              <w:fldChar w:fldCharType="end"/>
            </w:r>
          </w:hyperlink>
        </w:p>
        <w:p w14:paraId="211AE412" w14:textId="42AFEA8B" w:rsidR="00386F21" w:rsidRDefault="00386F21">
          <w:pPr>
            <w:pStyle w:val="TOC2"/>
            <w:tabs>
              <w:tab w:val="right" w:leader="dot" w:pos="9016"/>
            </w:tabs>
            <w:rPr>
              <w:rFonts w:eastAsiaTheme="minorEastAsia"/>
              <w:noProof/>
              <w:lang/>
            </w:rPr>
          </w:pPr>
          <w:hyperlink w:anchor="_Toc226998464" w:history="1">
            <w:r w:rsidRPr="0070533E">
              <w:rPr>
                <w:rStyle w:val="Hyperlink"/>
                <w:rFonts w:eastAsia="Times New Roman"/>
                <w:noProof/>
              </w:rPr>
              <w:t>A.1 Purpose of This Charter</w:t>
            </w:r>
            <w:r>
              <w:rPr>
                <w:noProof/>
                <w:webHidden/>
              </w:rPr>
              <w:tab/>
            </w:r>
            <w:r>
              <w:rPr>
                <w:noProof/>
                <w:webHidden/>
              </w:rPr>
              <w:fldChar w:fldCharType="begin"/>
            </w:r>
            <w:r>
              <w:rPr>
                <w:noProof/>
                <w:webHidden/>
              </w:rPr>
              <w:instrText xml:space="preserve"> PAGEREF _Toc226998464 \h </w:instrText>
            </w:r>
            <w:r>
              <w:rPr>
                <w:noProof/>
                <w:webHidden/>
              </w:rPr>
            </w:r>
            <w:r>
              <w:rPr>
                <w:noProof/>
                <w:webHidden/>
              </w:rPr>
              <w:fldChar w:fldCharType="separate"/>
            </w:r>
            <w:r>
              <w:rPr>
                <w:noProof/>
                <w:webHidden/>
              </w:rPr>
              <w:t>2</w:t>
            </w:r>
            <w:r>
              <w:rPr>
                <w:noProof/>
                <w:webHidden/>
              </w:rPr>
              <w:fldChar w:fldCharType="end"/>
            </w:r>
          </w:hyperlink>
        </w:p>
        <w:p w14:paraId="1FAC40D6" w14:textId="45D45E64" w:rsidR="00386F21" w:rsidRDefault="00386F21">
          <w:pPr>
            <w:pStyle w:val="TOC2"/>
            <w:tabs>
              <w:tab w:val="right" w:leader="dot" w:pos="9016"/>
            </w:tabs>
            <w:rPr>
              <w:rFonts w:eastAsiaTheme="minorEastAsia"/>
              <w:noProof/>
              <w:lang/>
            </w:rPr>
          </w:pPr>
          <w:hyperlink w:anchor="_Toc226998465" w:history="1">
            <w:r w:rsidRPr="0070533E">
              <w:rPr>
                <w:rStyle w:val="Hyperlink"/>
                <w:rFonts w:eastAsia="Times New Roman"/>
                <w:noProof/>
              </w:rPr>
              <w:t>A.2 Governance Philosophy</w:t>
            </w:r>
            <w:r>
              <w:rPr>
                <w:noProof/>
                <w:webHidden/>
              </w:rPr>
              <w:tab/>
            </w:r>
            <w:r>
              <w:rPr>
                <w:noProof/>
                <w:webHidden/>
              </w:rPr>
              <w:fldChar w:fldCharType="begin"/>
            </w:r>
            <w:r>
              <w:rPr>
                <w:noProof/>
                <w:webHidden/>
              </w:rPr>
              <w:instrText xml:space="preserve"> PAGEREF _Toc226998465 \h </w:instrText>
            </w:r>
            <w:r>
              <w:rPr>
                <w:noProof/>
                <w:webHidden/>
              </w:rPr>
            </w:r>
            <w:r>
              <w:rPr>
                <w:noProof/>
                <w:webHidden/>
              </w:rPr>
              <w:fldChar w:fldCharType="separate"/>
            </w:r>
            <w:r>
              <w:rPr>
                <w:noProof/>
                <w:webHidden/>
              </w:rPr>
              <w:t>2</w:t>
            </w:r>
            <w:r>
              <w:rPr>
                <w:noProof/>
                <w:webHidden/>
              </w:rPr>
              <w:fldChar w:fldCharType="end"/>
            </w:r>
          </w:hyperlink>
        </w:p>
        <w:p w14:paraId="2E40115C" w14:textId="55F80534" w:rsidR="00386F21" w:rsidRDefault="00386F21">
          <w:pPr>
            <w:pStyle w:val="TOC2"/>
            <w:tabs>
              <w:tab w:val="right" w:leader="dot" w:pos="9016"/>
            </w:tabs>
            <w:rPr>
              <w:rFonts w:eastAsiaTheme="minorEastAsia"/>
              <w:noProof/>
              <w:lang/>
            </w:rPr>
          </w:pPr>
          <w:hyperlink w:anchor="_Toc226998466" w:history="1">
            <w:r w:rsidRPr="0070533E">
              <w:rPr>
                <w:rStyle w:val="Hyperlink"/>
                <w:noProof/>
              </w:rPr>
              <w:t>A.3 Scope of Human Oversight</w:t>
            </w:r>
            <w:r>
              <w:rPr>
                <w:noProof/>
                <w:webHidden/>
              </w:rPr>
              <w:tab/>
            </w:r>
            <w:r>
              <w:rPr>
                <w:noProof/>
                <w:webHidden/>
              </w:rPr>
              <w:fldChar w:fldCharType="begin"/>
            </w:r>
            <w:r>
              <w:rPr>
                <w:noProof/>
                <w:webHidden/>
              </w:rPr>
              <w:instrText xml:space="preserve"> PAGEREF _Toc226998466 \h </w:instrText>
            </w:r>
            <w:r>
              <w:rPr>
                <w:noProof/>
                <w:webHidden/>
              </w:rPr>
            </w:r>
            <w:r>
              <w:rPr>
                <w:noProof/>
                <w:webHidden/>
              </w:rPr>
              <w:fldChar w:fldCharType="separate"/>
            </w:r>
            <w:r>
              <w:rPr>
                <w:noProof/>
                <w:webHidden/>
              </w:rPr>
              <w:t>2</w:t>
            </w:r>
            <w:r>
              <w:rPr>
                <w:noProof/>
                <w:webHidden/>
              </w:rPr>
              <w:fldChar w:fldCharType="end"/>
            </w:r>
          </w:hyperlink>
        </w:p>
        <w:p w14:paraId="6AE6B210" w14:textId="5BEE3041" w:rsidR="00386F21" w:rsidRDefault="00386F21">
          <w:pPr>
            <w:pStyle w:val="TOC2"/>
            <w:tabs>
              <w:tab w:val="right" w:leader="dot" w:pos="9016"/>
            </w:tabs>
            <w:rPr>
              <w:rFonts w:eastAsiaTheme="minorEastAsia"/>
              <w:noProof/>
              <w:lang/>
            </w:rPr>
          </w:pPr>
          <w:hyperlink w:anchor="_Toc226998467" w:history="1">
            <w:r w:rsidRPr="0070533E">
              <w:rPr>
                <w:rStyle w:val="Hyperlink"/>
                <w:rFonts w:eastAsia="Times New Roman"/>
                <w:noProof/>
              </w:rPr>
              <w:t>A.4 Director</w:t>
            </w:r>
            <w:r w:rsidRPr="0070533E">
              <w:rPr>
                <w:rStyle w:val="Hyperlink"/>
                <w:rFonts w:eastAsia="Times New Roman"/>
                <w:noProof/>
              </w:rPr>
              <w:noBreakHyphen/>
              <w:t>Based Oversight Model</w:t>
            </w:r>
            <w:r>
              <w:rPr>
                <w:noProof/>
                <w:webHidden/>
              </w:rPr>
              <w:tab/>
            </w:r>
            <w:r>
              <w:rPr>
                <w:noProof/>
                <w:webHidden/>
              </w:rPr>
              <w:fldChar w:fldCharType="begin"/>
            </w:r>
            <w:r>
              <w:rPr>
                <w:noProof/>
                <w:webHidden/>
              </w:rPr>
              <w:instrText xml:space="preserve"> PAGEREF _Toc226998467 \h </w:instrText>
            </w:r>
            <w:r>
              <w:rPr>
                <w:noProof/>
                <w:webHidden/>
              </w:rPr>
            </w:r>
            <w:r>
              <w:rPr>
                <w:noProof/>
                <w:webHidden/>
              </w:rPr>
              <w:fldChar w:fldCharType="separate"/>
            </w:r>
            <w:r>
              <w:rPr>
                <w:noProof/>
                <w:webHidden/>
              </w:rPr>
              <w:t>3</w:t>
            </w:r>
            <w:r>
              <w:rPr>
                <w:noProof/>
                <w:webHidden/>
              </w:rPr>
              <w:fldChar w:fldCharType="end"/>
            </w:r>
          </w:hyperlink>
        </w:p>
        <w:p w14:paraId="2F4A0022" w14:textId="26E85F84" w:rsidR="00386F21" w:rsidRDefault="00386F21">
          <w:pPr>
            <w:pStyle w:val="TOC3"/>
            <w:tabs>
              <w:tab w:val="right" w:leader="dot" w:pos="9016"/>
            </w:tabs>
            <w:rPr>
              <w:rFonts w:eastAsiaTheme="minorEastAsia"/>
              <w:noProof/>
              <w:lang/>
            </w:rPr>
          </w:pPr>
          <w:hyperlink w:anchor="_Toc226998468" w:history="1">
            <w:r w:rsidRPr="0070533E">
              <w:rPr>
                <w:rStyle w:val="Hyperlink"/>
                <w:rFonts w:eastAsia="Times New Roman"/>
                <w:noProof/>
              </w:rPr>
              <w:t>A.4.1 Chief Executive Officer (CEO) — Primary Director</w:t>
            </w:r>
            <w:r>
              <w:rPr>
                <w:noProof/>
                <w:webHidden/>
              </w:rPr>
              <w:tab/>
            </w:r>
            <w:r>
              <w:rPr>
                <w:noProof/>
                <w:webHidden/>
              </w:rPr>
              <w:fldChar w:fldCharType="begin"/>
            </w:r>
            <w:r>
              <w:rPr>
                <w:noProof/>
                <w:webHidden/>
              </w:rPr>
              <w:instrText xml:space="preserve"> PAGEREF _Toc226998468 \h </w:instrText>
            </w:r>
            <w:r>
              <w:rPr>
                <w:noProof/>
                <w:webHidden/>
              </w:rPr>
            </w:r>
            <w:r>
              <w:rPr>
                <w:noProof/>
                <w:webHidden/>
              </w:rPr>
              <w:fldChar w:fldCharType="separate"/>
            </w:r>
            <w:r>
              <w:rPr>
                <w:noProof/>
                <w:webHidden/>
              </w:rPr>
              <w:t>3</w:t>
            </w:r>
            <w:r>
              <w:rPr>
                <w:noProof/>
                <w:webHidden/>
              </w:rPr>
              <w:fldChar w:fldCharType="end"/>
            </w:r>
          </w:hyperlink>
        </w:p>
        <w:p w14:paraId="44F3D69E" w14:textId="4975D1EF" w:rsidR="00386F21" w:rsidRDefault="00386F21">
          <w:pPr>
            <w:pStyle w:val="TOC3"/>
            <w:tabs>
              <w:tab w:val="right" w:leader="dot" w:pos="9016"/>
            </w:tabs>
            <w:rPr>
              <w:rFonts w:eastAsiaTheme="minorEastAsia"/>
              <w:noProof/>
              <w:lang/>
            </w:rPr>
          </w:pPr>
          <w:hyperlink w:anchor="_Toc226998469" w:history="1">
            <w:r w:rsidRPr="0070533E">
              <w:rPr>
                <w:rStyle w:val="Hyperlink"/>
                <w:rFonts w:eastAsia="Times New Roman"/>
                <w:noProof/>
              </w:rPr>
              <w:t>A.4.2 Chief Financial Officer (CFO) — Financial Stewardship Director</w:t>
            </w:r>
            <w:r>
              <w:rPr>
                <w:noProof/>
                <w:webHidden/>
              </w:rPr>
              <w:tab/>
            </w:r>
            <w:r>
              <w:rPr>
                <w:noProof/>
                <w:webHidden/>
              </w:rPr>
              <w:fldChar w:fldCharType="begin"/>
            </w:r>
            <w:r>
              <w:rPr>
                <w:noProof/>
                <w:webHidden/>
              </w:rPr>
              <w:instrText xml:space="preserve"> PAGEREF _Toc226998469 \h </w:instrText>
            </w:r>
            <w:r>
              <w:rPr>
                <w:noProof/>
                <w:webHidden/>
              </w:rPr>
            </w:r>
            <w:r>
              <w:rPr>
                <w:noProof/>
                <w:webHidden/>
              </w:rPr>
              <w:fldChar w:fldCharType="separate"/>
            </w:r>
            <w:r>
              <w:rPr>
                <w:noProof/>
                <w:webHidden/>
              </w:rPr>
              <w:t>4</w:t>
            </w:r>
            <w:r>
              <w:rPr>
                <w:noProof/>
                <w:webHidden/>
              </w:rPr>
              <w:fldChar w:fldCharType="end"/>
            </w:r>
          </w:hyperlink>
        </w:p>
        <w:p w14:paraId="597D4310" w14:textId="4F454AC1" w:rsidR="00386F21" w:rsidRDefault="00386F21">
          <w:pPr>
            <w:pStyle w:val="TOC3"/>
            <w:tabs>
              <w:tab w:val="right" w:leader="dot" w:pos="9016"/>
            </w:tabs>
            <w:rPr>
              <w:rFonts w:eastAsiaTheme="minorEastAsia"/>
              <w:noProof/>
              <w:lang/>
            </w:rPr>
          </w:pPr>
          <w:hyperlink w:anchor="_Toc226998470" w:history="1">
            <w:r w:rsidRPr="0070533E">
              <w:rPr>
                <w:rStyle w:val="Hyperlink"/>
                <w:rFonts w:eastAsia="Times New Roman"/>
                <w:noProof/>
              </w:rPr>
              <w:t>A.4.3 Chief Legal Counsel / Director — Legal, Regulatory, Risk &amp; Liability</w:t>
            </w:r>
            <w:r>
              <w:rPr>
                <w:noProof/>
                <w:webHidden/>
              </w:rPr>
              <w:tab/>
            </w:r>
            <w:r>
              <w:rPr>
                <w:noProof/>
                <w:webHidden/>
              </w:rPr>
              <w:fldChar w:fldCharType="begin"/>
            </w:r>
            <w:r>
              <w:rPr>
                <w:noProof/>
                <w:webHidden/>
              </w:rPr>
              <w:instrText xml:space="preserve"> PAGEREF _Toc226998470 \h </w:instrText>
            </w:r>
            <w:r>
              <w:rPr>
                <w:noProof/>
                <w:webHidden/>
              </w:rPr>
            </w:r>
            <w:r>
              <w:rPr>
                <w:noProof/>
                <w:webHidden/>
              </w:rPr>
              <w:fldChar w:fldCharType="separate"/>
            </w:r>
            <w:r>
              <w:rPr>
                <w:noProof/>
                <w:webHidden/>
              </w:rPr>
              <w:t>5</w:t>
            </w:r>
            <w:r>
              <w:rPr>
                <w:noProof/>
                <w:webHidden/>
              </w:rPr>
              <w:fldChar w:fldCharType="end"/>
            </w:r>
          </w:hyperlink>
        </w:p>
        <w:p w14:paraId="3582AA95" w14:textId="47A50D50" w:rsidR="00386F21" w:rsidRDefault="00386F21">
          <w:pPr>
            <w:pStyle w:val="TOC3"/>
            <w:tabs>
              <w:tab w:val="right" w:leader="dot" w:pos="9016"/>
            </w:tabs>
            <w:rPr>
              <w:rFonts w:eastAsiaTheme="minorEastAsia"/>
              <w:noProof/>
              <w:lang/>
            </w:rPr>
          </w:pPr>
          <w:hyperlink w:anchor="_Toc226998471" w:history="1">
            <w:r w:rsidRPr="0070533E">
              <w:rPr>
                <w:rStyle w:val="Hyperlink"/>
                <w:rFonts w:eastAsia="Times New Roman"/>
                <w:noProof/>
              </w:rPr>
              <w:t>A.4.4 Market Director — Strategy, External Negotiation, and Market Posture</w:t>
            </w:r>
            <w:r>
              <w:rPr>
                <w:noProof/>
                <w:webHidden/>
              </w:rPr>
              <w:tab/>
            </w:r>
            <w:r>
              <w:rPr>
                <w:noProof/>
                <w:webHidden/>
              </w:rPr>
              <w:fldChar w:fldCharType="begin"/>
            </w:r>
            <w:r>
              <w:rPr>
                <w:noProof/>
                <w:webHidden/>
              </w:rPr>
              <w:instrText xml:space="preserve"> PAGEREF _Toc226998471 \h </w:instrText>
            </w:r>
            <w:r>
              <w:rPr>
                <w:noProof/>
                <w:webHidden/>
              </w:rPr>
            </w:r>
            <w:r>
              <w:rPr>
                <w:noProof/>
                <w:webHidden/>
              </w:rPr>
              <w:fldChar w:fldCharType="separate"/>
            </w:r>
            <w:r>
              <w:rPr>
                <w:noProof/>
                <w:webHidden/>
              </w:rPr>
              <w:t>6</w:t>
            </w:r>
            <w:r>
              <w:rPr>
                <w:noProof/>
                <w:webHidden/>
              </w:rPr>
              <w:fldChar w:fldCharType="end"/>
            </w:r>
          </w:hyperlink>
        </w:p>
        <w:p w14:paraId="70D6F3F0" w14:textId="7118235D" w:rsidR="00386F21" w:rsidRDefault="00386F21">
          <w:pPr>
            <w:pStyle w:val="TOC3"/>
            <w:tabs>
              <w:tab w:val="right" w:leader="dot" w:pos="9016"/>
            </w:tabs>
            <w:rPr>
              <w:rFonts w:eastAsiaTheme="minorEastAsia"/>
              <w:noProof/>
              <w:lang/>
            </w:rPr>
          </w:pPr>
          <w:hyperlink w:anchor="_Toc226998472" w:history="1">
            <w:r w:rsidRPr="0070533E">
              <w:rPr>
                <w:rStyle w:val="Hyperlink"/>
                <w:rFonts w:eastAsia="Times New Roman"/>
                <w:noProof/>
              </w:rPr>
              <w:t>A.4.5 Chief Security &amp; Resilience Director (CISO</w:t>
            </w:r>
            <w:r w:rsidRPr="0070533E">
              <w:rPr>
                <w:rStyle w:val="Hyperlink"/>
                <w:rFonts w:eastAsia="Times New Roman"/>
                <w:noProof/>
              </w:rPr>
              <w:noBreakHyphen/>
              <w:t>Equivalent)</w:t>
            </w:r>
            <w:r>
              <w:rPr>
                <w:noProof/>
                <w:webHidden/>
              </w:rPr>
              <w:tab/>
            </w:r>
            <w:r>
              <w:rPr>
                <w:noProof/>
                <w:webHidden/>
              </w:rPr>
              <w:fldChar w:fldCharType="begin"/>
            </w:r>
            <w:r>
              <w:rPr>
                <w:noProof/>
                <w:webHidden/>
              </w:rPr>
              <w:instrText xml:space="preserve"> PAGEREF _Toc226998472 \h </w:instrText>
            </w:r>
            <w:r>
              <w:rPr>
                <w:noProof/>
                <w:webHidden/>
              </w:rPr>
            </w:r>
            <w:r>
              <w:rPr>
                <w:noProof/>
                <w:webHidden/>
              </w:rPr>
              <w:fldChar w:fldCharType="separate"/>
            </w:r>
            <w:r>
              <w:rPr>
                <w:noProof/>
                <w:webHidden/>
              </w:rPr>
              <w:t>7</w:t>
            </w:r>
            <w:r>
              <w:rPr>
                <w:noProof/>
                <w:webHidden/>
              </w:rPr>
              <w:fldChar w:fldCharType="end"/>
            </w:r>
          </w:hyperlink>
        </w:p>
        <w:p w14:paraId="015927EA" w14:textId="2C23A1F9" w:rsidR="00386F21" w:rsidRDefault="00386F21">
          <w:pPr>
            <w:pStyle w:val="TOC2"/>
            <w:tabs>
              <w:tab w:val="right" w:leader="dot" w:pos="9016"/>
            </w:tabs>
            <w:rPr>
              <w:rFonts w:eastAsiaTheme="minorEastAsia"/>
              <w:noProof/>
              <w:lang/>
            </w:rPr>
          </w:pPr>
          <w:hyperlink w:anchor="_Toc226998473" w:history="1">
            <w:r w:rsidRPr="0070533E">
              <w:rPr>
                <w:rStyle w:val="Hyperlink"/>
                <w:rFonts w:eastAsia="Times New Roman"/>
                <w:noProof/>
              </w:rPr>
              <w:t>A.4.6 Optional Extended Directorship: CPO and/or CTO</w:t>
            </w:r>
            <w:r>
              <w:rPr>
                <w:noProof/>
                <w:webHidden/>
              </w:rPr>
              <w:tab/>
            </w:r>
            <w:r>
              <w:rPr>
                <w:noProof/>
                <w:webHidden/>
              </w:rPr>
              <w:fldChar w:fldCharType="begin"/>
            </w:r>
            <w:r>
              <w:rPr>
                <w:noProof/>
                <w:webHidden/>
              </w:rPr>
              <w:instrText xml:space="preserve"> PAGEREF _Toc226998473 \h </w:instrText>
            </w:r>
            <w:r>
              <w:rPr>
                <w:noProof/>
                <w:webHidden/>
              </w:rPr>
            </w:r>
            <w:r>
              <w:rPr>
                <w:noProof/>
                <w:webHidden/>
              </w:rPr>
              <w:fldChar w:fldCharType="separate"/>
            </w:r>
            <w:r>
              <w:rPr>
                <w:noProof/>
                <w:webHidden/>
              </w:rPr>
              <w:t>9</w:t>
            </w:r>
            <w:r>
              <w:rPr>
                <w:noProof/>
                <w:webHidden/>
              </w:rPr>
              <w:fldChar w:fldCharType="end"/>
            </w:r>
          </w:hyperlink>
        </w:p>
        <w:p w14:paraId="545CFADF" w14:textId="7FBDAA4F" w:rsidR="00386F21" w:rsidRDefault="00386F21">
          <w:pPr>
            <w:pStyle w:val="TOC3"/>
            <w:tabs>
              <w:tab w:val="right" w:leader="dot" w:pos="9016"/>
            </w:tabs>
            <w:rPr>
              <w:rFonts w:eastAsiaTheme="minorEastAsia"/>
              <w:noProof/>
              <w:lang/>
            </w:rPr>
          </w:pPr>
          <w:hyperlink w:anchor="_Toc226998474" w:history="1">
            <w:r w:rsidRPr="0070533E">
              <w:rPr>
                <w:rStyle w:val="Hyperlink"/>
                <w:rFonts w:eastAsia="Times New Roman"/>
                <w:noProof/>
              </w:rPr>
              <w:t>A.4.6.1 Chief Product Officer (CPO) — Product Strategy &amp; Innovation Director</w:t>
            </w:r>
            <w:r>
              <w:rPr>
                <w:noProof/>
                <w:webHidden/>
              </w:rPr>
              <w:tab/>
            </w:r>
            <w:r>
              <w:rPr>
                <w:noProof/>
                <w:webHidden/>
              </w:rPr>
              <w:fldChar w:fldCharType="begin"/>
            </w:r>
            <w:r>
              <w:rPr>
                <w:noProof/>
                <w:webHidden/>
              </w:rPr>
              <w:instrText xml:space="preserve"> PAGEREF _Toc226998474 \h </w:instrText>
            </w:r>
            <w:r>
              <w:rPr>
                <w:noProof/>
                <w:webHidden/>
              </w:rPr>
            </w:r>
            <w:r>
              <w:rPr>
                <w:noProof/>
                <w:webHidden/>
              </w:rPr>
              <w:fldChar w:fldCharType="separate"/>
            </w:r>
            <w:r>
              <w:rPr>
                <w:noProof/>
                <w:webHidden/>
              </w:rPr>
              <w:t>9</w:t>
            </w:r>
            <w:r>
              <w:rPr>
                <w:noProof/>
                <w:webHidden/>
              </w:rPr>
              <w:fldChar w:fldCharType="end"/>
            </w:r>
          </w:hyperlink>
        </w:p>
        <w:p w14:paraId="0E112611" w14:textId="4AD5EE21" w:rsidR="00386F21" w:rsidRDefault="00386F21">
          <w:pPr>
            <w:pStyle w:val="TOC3"/>
            <w:tabs>
              <w:tab w:val="right" w:leader="dot" w:pos="9016"/>
            </w:tabs>
            <w:rPr>
              <w:rFonts w:eastAsiaTheme="minorEastAsia"/>
              <w:noProof/>
              <w:lang/>
            </w:rPr>
          </w:pPr>
          <w:hyperlink w:anchor="_Toc226998475" w:history="1">
            <w:r w:rsidRPr="0070533E">
              <w:rPr>
                <w:rStyle w:val="Hyperlink"/>
                <w:rFonts w:eastAsia="Times New Roman"/>
                <w:noProof/>
              </w:rPr>
              <w:t>A.4.6.2 Chief Technology Officer (CTO) — Technology Architecture &amp; Platform Director</w:t>
            </w:r>
            <w:r>
              <w:rPr>
                <w:noProof/>
                <w:webHidden/>
              </w:rPr>
              <w:tab/>
            </w:r>
            <w:r>
              <w:rPr>
                <w:noProof/>
                <w:webHidden/>
              </w:rPr>
              <w:fldChar w:fldCharType="begin"/>
            </w:r>
            <w:r>
              <w:rPr>
                <w:noProof/>
                <w:webHidden/>
              </w:rPr>
              <w:instrText xml:space="preserve"> PAGEREF _Toc226998475 \h </w:instrText>
            </w:r>
            <w:r>
              <w:rPr>
                <w:noProof/>
                <w:webHidden/>
              </w:rPr>
            </w:r>
            <w:r>
              <w:rPr>
                <w:noProof/>
                <w:webHidden/>
              </w:rPr>
              <w:fldChar w:fldCharType="separate"/>
            </w:r>
            <w:r>
              <w:rPr>
                <w:noProof/>
                <w:webHidden/>
              </w:rPr>
              <w:t>10</w:t>
            </w:r>
            <w:r>
              <w:rPr>
                <w:noProof/>
                <w:webHidden/>
              </w:rPr>
              <w:fldChar w:fldCharType="end"/>
            </w:r>
          </w:hyperlink>
        </w:p>
        <w:p w14:paraId="42EE0C14" w14:textId="5C8F6FDD" w:rsidR="00386F21" w:rsidRDefault="00386F21">
          <w:pPr>
            <w:pStyle w:val="TOC3"/>
            <w:tabs>
              <w:tab w:val="right" w:leader="dot" w:pos="9016"/>
            </w:tabs>
            <w:rPr>
              <w:rFonts w:eastAsiaTheme="minorEastAsia"/>
              <w:noProof/>
              <w:lang/>
            </w:rPr>
          </w:pPr>
          <w:hyperlink w:anchor="_Toc226998476" w:history="1">
            <w:r w:rsidRPr="0070533E">
              <w:rPr>
                <w:rStyle w:val="Hyperlink"/>
                <w:rFonts w:eastAsia="Times New Roman"/>
                <w:noProof/>
              </w:rPr>
              <w:t>A.4.6.3 Combined CPO/CTO Role (6</w:t>
            </w:r>
            <w:r w:rsidRPr="0070533E">
              <w:rPr>
                <w:rStyle w:val="Hyperlink"/>
                <w:rFonts w:ascii="Cambria Math" w:eastAsia="Times New Roman" w:hAnsi="Cambria Math" w:cs="Cambria Math"/>
                <w:noProof/>
              </w:rPr>
              <w:t>‑</w:t>
            </w:r>
            <w:r w:rsidRPr="0070533E">
              <w:rPr>
                <w:rStyle w:val="Hyperlink"/>
                <w:rFonts w:eastAsia="Times New Roman"/>
                <w:noProof/>
              </w:rPr>
              <w:t>Director Configuration)</w:t>
            </w:r>
            <w:r>
              <w:rPr>
                <w:noProof/>
                <w:webHidden/>
              </w:rPr>
              <w:tab/>
            </w:r>
            <w:r>
              <w:rPr>
                <w:noProof/>
                <w:webHidden/>
              </w:rPr>
              <w:fldChar w:fldCharType="begin"/>
            </w:r>
            <w:r>
              <w:rPr>
                <w:noProof/>
                <w:webHidden/>
              </w:rPr>
              <w:instrText xml:space="preserve"> PAGEREF _Toc226998476 \h </w:instrText>
            </w:r>
            <w:r>
              <w:rPr>
                <w:noProof/>
                <w:webHidden/>
              </w:rPr>
            </w:r>
            <w:r>
              <w:rPr>
                <w:noProof/>
                <w:webHidden/>
              </w:rPr>
              <w:fldChar w:fldCharType="separate"/>
            </w:r>
            <w:r>
              <w:rPr>
                <w:noProof/>
                <w:webHidden/>
              </w:rPr>
              <w:t>11</w:t>
            </w:r>
            <w:r>
              <w:rPr>
                <w:noProof/>
                <w:webHidden/>
              </w:rPr>
              <w:fldChar w:fldCharType="end"/>
            </w:r>
          </w:hyperlink>
        </w:p>
        <w:p w14:paraId="4152340E" w14:textId="317BECE9" w:rsidR="00386F21" w:rsidRDefault="00386F21">
          <w:pPr>
            <w:pStyle w:val="TOC3"/>
            <w:tabs>
              <w:tab w:val="right" w:leader="dot" w:pos="9016"/>
            </w:tabs>
            <w:rPr>
              <w:rFonts w:eastAsiaTheme="minorEastAsia"/>
              <w:noProof/>
              <w:lang/>
            </w:rPr>
          </w:pPr>
          <w:hyperlink w:anchor="_Toc226998477" w:history="1">
            <w:r w:rsidRPr="0070533E">
              <w:rPr>
                <w:rStyle w:val="Hyperlink"/>
                <w:rFonts w:eastAsia="Times New Roman"/>
                <w:noProof/>
              </w:rPr>
              <w:t>A.4.6.4 When to Activate the Extended Directorship</w:t>
            </w:r>
            <w:r>
              <w:rPr>
                <w:noProof/>
                <w:webHidden/>
              </w:rPr>
              <w:tab/>
            </w:r>
            <w:r>
              <w:rPr>
                <w:noProof/>
                <w:webHidden/>
              </w:rPr>
              <w:fldChar w:fldCharType="begin"/>
            </w:r>
            <w:r>
              <w:rPr>
                <w:noProof/>
                <w:webHidden/>
              </w:rPr>
              <w:instrText xml:space="preserve"> PAGEREF _Toc226998477 \h </w:instrText>
            </w:r>
            <w:r>
              <w:rPr>
                <w:noProof/>
                <w:webHidden/>
              </w:rPr>
            </w:r>
            <w:r>
              <w:rPr>
                <w:noProof/>
                <w:webHidden/>
              </w:rPr>
              <w:fldChar w:fldCharType="separate"/>
            </w:r>
            <w:r>
              <w:rPr>
                <w:noProof/>
                <w:webHidden/>
              </w:rPr>
              <w:t>12</w:t>
            </w:r>
            <w:r>
              <w:rPr>
                <w:noProof/>
                <w:webHidden/>
              </w:rPr>
              <w:fldChar w:fldCharType="end"/>
            </w:r>
          </w:hyperlink>
        </w:p>
        <w:p w14:paraId="09A3E04B" w14:textId="7987FB5A" w:rsidR="00386F21" w:rsidRDefault="00386F21">
          <w:pPr>
            <w:pStyle w:val="TOC2"/>
            <w:tabs>
              <w:tab w:val="right" w:leader="dot" w:pos="9016"/>
            </w:tabs>
            <w:rPr>
              <w:rFonts w:eastAsiaTheme="minorEastAsia"/>
              <w:noProof/>
              <w:lang/>
            </w:rPr>
          </w:pPr>
          <w:hyperlink w:anchor="_Toc226998478" w:history="1">
            <w:r w:rsidRPr="0070533E">
              <w:rPr>
                <w:rStyle w:val="Hyperlink"/>
                <w:rFonts w:eastAsia="Times New Roman"/>
                <w:noProof/>
              </w:rPr>
              <w:t>A.5 Interaction Model Between Humans and ADAM</w:t>
            </w:r>
            <w:r>
              <w:rPr>
                <w:noProof/>
                <w:webHidden/>
              </w:rPr>
              <w:tab/>
            </w:r>
            <w:r>
              <w:rPr>
                <w:noProof/>
                <w:webHidden/>
              </w:rPr>
              <w:fldChar w:fldCharType="begin"/>
            </w:r>
            <w:r>
              <w:rPr>
                <w:noProof/>
                <w:webHidden/>
              </w:rPr>
              <w:instrText xml:space="preserve"> PAGEREF _Toc226998478 \h </w:instrText>
            </w:r>
            <w:r>
              <w:rPr>
                <w:noProof/>
                <w:webHidden/>
              </w:rPr>
            </w:r>
            <w:r>
              <w:rPr>
                <w:noProof/>
                <w:webHidden/>
              </w:rPr>
              <w:fldChar w:fldCharType="separate"/>
            </w:r>
            <w:r>
              <w:rPr>
                <w:noProof/>
                <w:webHidden/>
              </w:rPr>
              <w:t>12</w:t>
            </w:r>
            <w:r>
              <w:rPr>
                <w:noProof/>
                <w:webHidden/>
              </w:rPr>
              <w:fldChar w:fldCharType="end"/>
            </w:r>
          </w:hyperlink>
        </w:p>
        <w:p w14:paraId="6EE0639A" w14:textId="759FFB70" w:rsidR="00386F21" w:rsidRDefault="00386F21">
          <w:pPr>
            <w:pStyle w:val="TOC2"/>
            <w:tabs>
              <w:tab w:val="right" w:leader="dot" w:pos="9016"/>
            </w:tabs>
            <w:rPr>
              <w:rFonts w:eastAsiaTheme="minorEastAsia"/>
              <w:noProof/>
              <w:lang/>
            </w:rPr>
          </w:pPr>
          <w:hyperlink w:anchor="_Toc226998479" w:history="1">
            <w:r w:rsidRPr="0070533E">
              <w:rPr>
                <w:rStyle w:val="Hyperlink"/>
                <w:rFonts w:eastAsia="Times New Roman"/>
                <w:noProof/>
              </w:rPr>
              <w:t>A.6 Accountability and Auditability</w:t>
            </w:r>
            <w:r>
              <w:rPr>
                <w:noProof/>
                <w:webHidden/>
              </w:rPr>
              <w:tab/>
            </w:r>
            <w:r>
              <w:rPr>
                <w:noProof/>
                <w:webHidden/>
              </w:rPr>
              <w:fldChar w:fldCharType="begin"/>
            </w:r>
            <w:r>
              <w:rPr>
                <w:noProof/>
                <w:webHidden/>
              </w:rPr>
              <w:instrText xml:space="preserve"> PAGEREF _Toc226998479 \h </w:instrText>
            </w:r>
            <w:r>
              <w:rPr>
                <w:noProof/>
                <w:webHidden/>
              </w:rPr>
            </w:r>
            <w:r>
              <w:rPr>
                <w:noProof/>
                <w:webHidden/>
              </w:rPr>
              <w:fldChar w:fldCharType="separate"/>
            </w:r>
            <w:r>
              <w:rPr>
                <w:noProof/>
                <w:webHidden/>
              </w:rPr>
              <w:t>12</w:t>
            </w:r>
            <w:r>
              <w:rPr>
                <w:noProof/>
                <w:webHidden/>
              </w:rPr>
              <w:fldChar w:fldCharType="end"/>
            </w:r>
          </w:hyperlink>
        </w:p>
        <w:p w14:paraId="3159FA4A" w14:textId="1D0332EC" w:rsidR="00386F21" w:rsidRDefault="00386F21">
          <w:pPr>
            <w:pStyle w:val="TOC2"/>
            <w:tabs>
              <w:tab w:val="right" w:leader="dot" w:pos="9016"/>
            </w:tabs>
            <w:rPr>
              <w:rFonts w:eastAsiaTheme="minorEastAsia"/>
              <w:noProof/>
              <w:lang/>
            </w:rPr>
          </w:pPr>
          <w:hyperlink w:anchor="_Toc226998480" w:history="1">
            <w:r w:rsidRPr="0070533E">
              <w:rPr>
                <w:rStyle w:val="Hyperlink"/>
                <w:rFonts w:eastAsia="Times New Roman"/>
                <w:noProof/>
              </w:rPr>
              <w:t>A.7 Why This Model Is Canonical</w:t>
            </w:r>
            <w:r>
              <w:rPr>
                <w:noProof/>
                <w:webHidden/>
              </w:rPr>
              <w:tab/>
            </w:r>
            <w:r>
              <w:rPr>
                <w:noProof/>
                <w:webHidden/>
              </w:rPr>
              <w:fldChar w:fldCharType="begin"/>
            </w:r>
            <w:r>
              <w:rPr>
                <w:noProof/>
                <w:webHidden/>
              </w:rPr>
              <w:instrText xml:space="preserve"> PAGEREF _Toc226998480 \h </w:instrText>
            </w:r>
            <w:r>
              <w:rPr>
                <w:noProof/>
                <w:webHidden/>
              </w:rPr>
            </w:r>
            <w:r>
              <w:rPr>
                <w:noProof/>
                <w:webHidden/>
              </w:rPr>
              <w:fldChar w:fldCharType="separate"/>
            </w:r>
            <w:r>
              <w:rPr>
                <w:noProof/>
                <w:webHidden/>
              </w:rPr>
              <w:t>13</w:t>
            </w:r>
            <w:r>
              <w:rPr>
                <w:noProof/>
                <w:webHidden/>
              </w:rPr>
              <w:fldChar w:fldCharType="end"/>
            </w:r>
          </w:hyperlink>
        </w:p>
        <w:p w14:paraId="63E3BFB9" w14:textId="113AE43F" w:rsidR="00386F21" w:rsidRDefault="00386F21">
          <w:pPr>
            <w:pStyle w:val="TOC2"/>
            <w:tabs>
              <w:tab w:val="right" w:leader="dot" w:pos="9016"/>
            </w:tabs>
            <w:rPr>
              <w:rFonts w:eastAsiaTheme="minorEastAsia"/>
              <w:noProof/>
              <w:lang/>
            </w:rPr>
          </w:pPr>
          <w:hyperlink w:anchor="_Toc226998481" w:history="1">
            <w:r w:rsidRPr="0070533E">
              <w:rPr>
                <w:rStyle w:val="Hyperlink"/>
                <w:rFonts w:eastAsia="Times New Roman"/>
                <w:noProof/>
              </w:rPr>
              <w:t>A.8 Final Declaration</w:t>
            </w:r>
            <w:r>
              <w:rPr>
                <w:noProof/>
                <w:webHidden/>
              </w:rPr>
              <w:tab/>
            </w:r>
            <w:r>
              <w:rPr>
                <w:noProof/>
                <w:webHidden/>
              </w:rPr>
              <w:fldChar w:fldCharType="begin"/>
            </w:r>
            <w:r>
              <w:rPr>
                <w:noProof/>
                <w:webHidden/>
              </w:rPr>
              <w:instrText xml:space="preserve"> PAGEREF _Toc226998481 \h </w:instrText>
            </w:r>
            <w:r>
              <w:rPr>
                <w:noProof/>
                <w:webHidden/>
              </w:rPr>
            </w:r>
            <w:r>
              <w:rPr>
                <w:noProof/>
                <w:webHidden/>
              </w:rPr>
              <w:fldChar w:fldCharType="separate"/>
            </w:r>
            <w:r>
              <w:rPr>
                <w:noProof/>
                <w:webHidden/>
              </w:rPr>
              <w:t>13</w:t>
            </w:r>
            <w:r>
              <w:rPr>
                <w:noProof/>
                <w:webHidden/>
              </w:rPr>
              <w:fldChar w:fldCharType="end"/>
            </w:r>
          </w:hyperlink>
        </w:p>
        <w:p w14:paraId="0736E4D8" w14:textId="333F0A0E" w:rsidR="002603D7" w:rsidRDefault="002603D7">
          <w:r>
            <w:rPr>
              <w:b/>
              <w:bCs/>
              <w:noProof/>
            </w:rPr>
            <w:fldChar w:fldCharType="end"/>
          </w:r>
        </w:p>
      </w:sdtContent>
    </w:sdt>
    <w:p w14:paraId="2C6BF19D" w14:textId="6046F1CC" w:rsidR="002603D7" w:rsidRDefault="002603D7">
      <w:pPr>
        <w:rPr>
          <w:rFonts w:eastAsia="Times New Roman"/>
        </w:rPr>
      </w:pPr>
    </w:p>
    <w:p w14:paraId="191C19D3" w14:textId="77777777" w:rsidR="00483071" w:rsidRDefault="00483071">
      <w:pPr>
        <w:rPr>
          <w:rFonts w:asciiTheme="majorHAnsi" w:eastAsia="Times New Roman" w:hAnsiTheme="majorHAnsi" w:cstheme="majorBidi"/>
          <w:color w:val="2F5496" w:themeColor="accent1" w:themeShade="BF"/>
          <w:sz w:val="32"/>
          <w:szCs w:val="32"/>
        </w:rPr>
      </w:pPr>
    </w:p>
    <w:p w14:paraId="5FE756F9" w14:textId="77777777" w:rsidR="008C1DC9" w:rsidRDefault="008C1DC9">
      <w:pPr>
        <w:rPr>
          <w:rFonts w:asciiTheme="majorHAnsi" w:eastAsia="Times New Roman" w:hAnsiTheme="majorHAnsi" w:cstheme="majorBidi"/>
          <w:color w:val="2F5496" w:themeColor="accent1" w:themeShade="BF"/>
          <w:sz w:val="32"/>
          <w:szCs w:val="32"/>
        </w:rPr>
      </w:pPr>
      <w:r>
        <w:rPr>
          <w:rFonts w:eastAsia="Times New Roman"/>
        </w:rPr>
        <w:br w:type="page"/>
      </w:r>
    </w:p>
    <w:p w14:paraId="1F68CC89" w14:textId="50EE4559" w:rsidR="007A4426" w:rsidRPr="007A4426" w:rsidRDefault="007A4426" w:rsidP="00483071">
      <w:pPr>
        <w:pStyle w:val="Heading2"/>
        <w:rPr>
          <w:rFonts w:eastAsia="Times New Roman"/>
        </w:rPr>
      </w:pPr>
      <w:bookmarkStart w:id="2" w:name="_Toc226998464"/>
      <w:r>
        <w:rPr>
          <w:rFonts w:eastAsia="Times New Roman"/>
        </w:rPr>
        <w:lastRenderedPageBreak/>
        <w:t>A.1 Purpose of This Charter</w:t>
      </w:r>
      <w:bookmarkEnd w:id="2"/>
    </w:p>
    <w:p w14:paraId="127B59F2" w14:textId="77777777" w:rsidR="007A4426" w:rsidRPr="008C1DC9" w:rsidRDefault="007A4426"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This Governance Charter defines the human oversight structure, accountability model, and interaction boundaries for ADAM (Autonomy Doctrine &amp; Architecture Model) when operating as a fully autonomous enterprise system.</w:t>
      </w:r>
    </w:p>
    <w:p w14:paraId="213658E8" w14:textId="77777777" w:rsidR="007A4426" w:rsidRPr="007A4426" w:rsidRDefault="007A4426"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The purpose of this charter is to:</w:t>
      </w:r>
    </w:p>
    <w:p w14:paraId="3CFD7467" w14:textId="77777777" w:rsidR="007A4426" w:rsidRPr="008C1DC9" w:rsidRDefault="007A4426" w:rsidP="007A4426">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Establish clear human accountability for autonomous actions</w:t>
      </w:r>
    </w:p>
    <w:p w14:paraId="62676F21" w14:textId="77777777" w:rsidR="007A4426" w:rsidRPr="008C1DC9" w:rsidRDefault="007A4426" w:rsidP="007A4426">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Define who governs intent, not execution</w:t>
      </w:r>
    </w:p>
    <w:p w14:paraId="351F2B6B" w14:textId="77777777" w:rsidR="007A4426" w:rsidRPr="008C1DC9" w:rsidRDefault="007A4426" w:rsidP="007A4426">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Prevent ambiguity in responsibility as autonomy scales</w:t>
      </w:r>
    </w:p>
    <w:p w14:paraId="07D166F7" w14:textId="77777777" w:rsidR="007A4426" w:rsidRPr="008C1DC9" w:rsidRDefault="007A4426" w:rsidP="007A4426">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Ensure ADAM remains legitimate, auditable, and trusted by regulators, boards, and society</w:t>
      </w:r>
    </w:p>
    <w:p w14:paraId="0767C2F6" w14:textId="77777777" w:rsidR="007A4426" w:rsidRPr="007A4426" w:rsidRDefault="007A4426"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This charter is mandatory for any ADAM deployment operating at </w:t>
      </w:r>
      <w:r>
        <w:rPr>
          <w:rFonts w:ascii="Segoe UI" w:eastAsia="Times New Roman" w:hAnsi="Segoe UI" w:cs="Segoe UI"/>
          <w:b/>
          <w:bCs/>
          <w:kern w:val="0"/>
          <w:sz w:val="21"/>
          <w:szCs w:val="21"/>
          <w14:ligatures w14:val="none"/>
        </w:rPr>
        <w:t>high or full autonomy</w:t>
      </w:r>
      <w:r>
        <w:rPr>
          <w:rFonts w:ascii="Segoe UI" w:eastAsia="Times New Roman" w:hAnsi="Segoe UI" w:cs="Segoe UI"/>
          <w:kern w:val="0"/>
          <w:sz w:val="21"/>
          <w:szCs w:val="21"/>
          <w14:ligatures w14:val="none"/>
        </w:rPr>
        <w:t>.</w:t>
      </w:r>
    </w:p>
    <w:p w14:paraId="02311BC5" w14:textId="77777777" w:rsidR="007A4426" w:rsidRPr="007A4426" w:rsidRDefault="007A4426" w:rsidP="00483071">
      <w:pPr>
        <w:pStyle w:val="Heading2"/>
        <w:rPr>
          <w:rFonts w:eastAsia="Times New Roman"/>
        </w:rPr>
      </w:pPr>
      <w:bookmarkStart w:id="3" w:name="_Toc226998465"/>
      <w:r>
        <w:rPr>
          <w:rFonts w:eastAsia="Times New Roman"/>
        </w:rPr>
        <w:t>A.2 Governance Philosophy</w:t>
      </w:r>
      <w:bookmarkEnd w:id="3"/>
    </w:p>
    <w:p w14:paraId="3103178E" w14:textId="77777777" w:rsidR="007A4426" w:rsidRPr="00342836" w:rsidRDefault="007A4426"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ADAM is designed as a self</w:t>
      </w:r>
      <w:r>
        <w:rPr>
          <w:rFonts w:ascii="Segoe UI" w:eastAsia="Times New Roman" w:hAnsi="Segoe UI" w:cs="Segoe UI"/>
          <w:kern w:val="0"/>
          <w:sz w:val="21"/>
          <w:szCs w:val="21"/>
          <w14:ligatures w14:val="none"/>
        </w:rPr>
        <w:noBreakHyphen/>
        <w:t>governing, intent</w:t>
      </w:r>
      <w:r>
        <w:rPr>
          <w:rFonts w:ascii="Segoe UI" w:eastAsia="Times New Roman" w:hAnsi="Segoe UI" w:cs="Segoe UI"/>
          <w:kern w:val="0"/>
          <w:sz w:val="21"/>
          <w:szCs w:val="21"/>
          <w14:ligatures w14:val="none"/>
        </w:rPr>
        <w:noBreakHyphen/>
        <w:t>driven system, not a human</w:t>
      </w:r>
      <w:r>
        <w:rPr>
          <w:rFonts w:ascii="Segoe UI" w:eastAsia="Times New Roman" w:hAnsi="Segoe UI" w:cs="Segoe UI"/>
          <w:kern w:val="0"/>
          <w:sz w:val="21"/>
          <w:szCs w:val="21"/>
          <w14:ligatures w14:val="none"/>
        </w:rPr>
        <w:noBreakHyphen/>
        <w:t>operated organization. Accordingly:</w:t>
      </w:r>
    </w:p>
    <w:p w14:paraId="5EAB64E6" w14:textId="77777777" w:rsidR="007A4426" w:rsidRPr="007A4426" w:rsidRDefault="007A4426" w:rsidP="007A4426">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Humans </w:t>
      </w:r>
      <w:r>
        <w:rPr>
          <w:rFonts w:ascii="Segoe UI" w:eastAsia="Times New Roman" w:hAnsi="Segoe UI" w:cs="Segoe UI"/>
          <w:b/>
          <w:bCs/>
          <w:kern w:val="0"/>
          <w:sz w:val="21"/>
          <w:szCs w:val="21"/>
          <w14:ligatures w14:val="none"/>
        </w:rPr>
        <w:t>do not manage workflows</w:t>
      </w:r>
    </w:p>
    <w:p w14:paraId="704AB2E1" w14:textId="77777777" w:rsidR="007A4426" w:rsidRPr="007A4426" w:rsidRDefault="007A4426" w:rsidP="007A4426">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Humans </w:t>
      </w:r>
      <w:r>
        <w:rPr>
          <w:rFonts w:ascii="Segoe UI" w:eastAsia="Times New Roman" w:hAnsi="Segoe UI" w:cs="Segoe UI"/>
          <w:b/>
          <w:bCs/>
          <w:kern w:val="0"/>
          <w:sz w:val="21"/>
          <w:szCs w:val="21"/>
          <w14:ligatures w14:val="none"/>
        </w:rPr>
        <w:t>do not intervene in routine operations</w:t>
      </w:r>
    </w:p>
    <w:p w14:paraId="7CBD4E15" w14:textId="77777777" w:rsidR="007A4426" w:rsidRPr="007A4426" w:rsidRDefault="007A4426" w:rsidP="007A4426">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Humans </w:t>
      </w:r>
      <w:r>
        <w:rPr>
          <w:rFonts w:ascii="Segoe UI" w:eastAsia="Times New Roman" w:hAnsi="Segoe UI" w:cs="Segoe UI"/>
          <w:b/>
          <w:bCs/>
          <w:kern w:val="0"/>
          <w:sz w:val="21"/>
          <w:szCs w:val="21"/>
          <w14:ligatures w14:val="none"/>
        </w:rPr>
        <w:t>do not override execution paths</w:t>
      </w:r>
    </w:p>
    <w:p w14:paraId="05696EA6" w14:textId="77777777" w:rsidR="007A4426" w:rsidRPr="007A4426" w:rsidRDefault="007A4426"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Instead, humans:</w:t>
      </w:r>
    </w:p>
    <w:p w14:paraId="38C682E3" w14:textId="77777777" w:rsidR="007A4426" w:rsidRPr="007A4426" w:rsidRDefault="007A4426" w:rsidP="007A4426">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Define </w:t>
      </w:r>
      <w:r>
        <w:rPr>
          <w:rFonts w:ascii="Segoe UI" w:eastAsia="Times New Roman" w:hAnsi="Segoe UI" w:cs="Segoe UI"/>
          <w:b/>
          <w:bCs/>
          <w:kern w:val="0"/>
          <w:sz w:val="21"/>
          <w:szCs w:val="21"/>
          <w14:ligatures w14:val="none"/>
        </w:rPr>
        <w:t>intent, constraints, and risk tolerance</w:t>
      </w:r>
    </w:p>
    <w:p w14:paraId="32981B3A" w14:textId="77777777" w:rsidR="007A4426" w:rsidRPr="007A4426" w:rsidRDefault="007A4426" w:rsidP="007A4426">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Accept </w:t>
      </w:r>
      <w:r>
        <w:rPr>
          <w:rFonts w:ascii="Segoe UI" w:eastAsia="Times New Roman" w:hAnsi="Segoe UI" w:cs="Segoe UI"/>
          <w:b/>
          <w:bCs/>
          <w:kern w:val="0"/>
          <w:sz w:val="21"/>
          <w:szCs w:val="21"/>
          <w14:ligatures w14:val="none"/>
        </w:rPr>
        <w:t>accountability for outcomes</w:t>
      </w:r>
    </w:p>
    <w:p w14:paraId="105954F8" w14:textId="77777777" w:rsidR="007A4426" w:rsidRPr="007A4426" w:rsidRDefault="007A4426" w:rsidP="007A4426">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Serve as </w:t>
      </w:r>
      <w:r>
        <w:rPr>
          <w:rFonts w:ascii="Segoe UI" w:eastAsia="Times New Roman" w:hAnsi="Segoe UI" w:cs="Segoe UI"/>
          <w:b/>
          <w:bCs/>
          <w:kern w:val="0"/>
          <w:sz w:val="21"/>
          <w:szCs w:val="21"/>
          <w14:ligatures w14:val="none"/>
        </w:rPr>
        <w:t>final escalation authorities</w:t>
      </w:r>
    </w:p>
    <w:p w14:paraId="4E1D59DA" w14:textId="77777777" w:rsidR="007A4426" w:rsidRPr="00342836" w:rsidRDefault="007A4426"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This philosophy reflects the widely recognized principle that agentic AI represents a transfer of decision rights, not merely an automation of tasks, and therefore requires explicit, auditable human ownership at the governance level.</w:t>
      </w:r>
    </w:p>
    <w:p w14:paraId="238857C5" w14:textId="77777777" w:rsidR="007A4426" w:rsidRPr="00483071" w:rsidRDefault="007A4426" w:rsidP="00483071">
      <w:pPr>
        <w:pStyle w:val="Heading2"/>
      </w:pPr>
      <w:bookmarkStart w:id="4" w:name="_Toc226998466"/>
      <w:r>
        <w:t>A.3 Scope of Human Oversight</w:t>
      </w:r>
      <w:bookmarkEnd w:id="4"/>
    </w:p>
    <w:p w14:paraId="409BEE91" w14:textId="77777777" w:rsidR="007A4426" w:rsidRPr="007A4426" w:rsidRDefault="007A4426"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Human oversight in ADAM applies only to:</w:t>
      </w:r>
    </w:p>
    <w:p w14:paraId="391C0DE3" w14:textId="77777777" w:rsidR="007A4426" w:rsidRPr="00485CAC" w:rsidRDefault="007A4426" w:rsidP="007A4426">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Intent authorization</w:t>
      </w:r>
    </w:p>
    <w:p w14:paraId="044D95CF" w14:textId="77777777" w:rsidR="007A4426" w:rsidRPr="00485CAC" w:rsidRDefault="007A4426" w:rsidP="007A4426">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Risk appetite definition</w:t>
      </w:r>
    </w:p>
    <w:p w14:paraId="2F78DF98" w14:textId="77777777" w:rsidR="007A4426" w:rsidRPr="00485CAC" w:rsidRDefault="007A4426" w:rsidP="007A4426">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Policy and constraint approval</w:t>
      </w:r>
    </w:p>
    <w:p w14:paraId="4B26A94D" w14:textId="77777777" w:rsidR="007A4426" w:rsidRPr="00485CAC" w:rsidRDefault="007A4426" w:rsidP="007A4426">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Exceptional escalation and existential risk</w:t>
      </w:r>
    </w:p>
    <w:p w14:paraId="2539DC12" w14:textId="77777777" w:rsidR="007A4426" w:rsidRPr="00485CAC" w:rsidRDefault="007A4426" w:rsidP="007A4426">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Board</w:t>
      </w:r>
      <w:r>
        <w:rPr>
          <w:rFonts w:ascii="Segoe UI" w:eastAsia="Times New Roman" w:hAnsi="Segoe UI" w:cs="Segoe UI"/>
          <w:kern w:val="0"/>
          <w:sz w:val="21"/>
          <w:szCs w:val="21"/>
          <w14:ligatures w14:val="none"/>
        </w:rPr>
        <w:noBreakHyphen/>
        <w:t>level fiduciary responsibility</w:t>
      </w:r>
    </w:p>
    <w:p w14:paraId="37BC6400" w14:textId="2C49337A" w:rsidR="007A4426" w:rsidRPr="007A4426" w:rsidRDefault="007A4426"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lastRenderedPageBreak/>
        <w:t xml:space="preserve">Humans are </w:t>
      </w:r>
      <w:r>
        <w:rPr>
          <w:rFonts w:ascii="Segoe UI" w:eastAsia="Times New Roman" w:hAnsi="Segoe UI" w:cs="Segoe UI"/>
          <w:b/>
          <w:bCs/>
          <w:kern w:val="0"/>
          <w:sz w:val="21"/>
          <w:szCs w:val="21"/>
          <w14:ligatures w14:val="none"/>
        </w:rPr>
        <w:t>never in the execution loop</w:t>
      </w:r>
      <w:r>
        <w:rPr>
          <w:rFonts w:ascii="Segoe UI" w:eastAsia="Times New Roman" w:hAnsi="Segoe UI" w:cs="Segoe UI"/>
          <w:kern w:val="0"/>
          <w:sz w:val="21"/>
          <w:szCs w:val="21"/>
          <w14:ligatures w14:val="none"/>
        </w:rPr>
        <w:t>, consistent with high</w:t>
      </w:r>
      <w:r>
        <w:rPr>
          <w:rFonts w:ascii="Segoe UI" w:eastAsia="Times New Roman" w:hAnsi="Segoe UI" w:cs="Segoe UI"/>
          <w:kern w:val="0"/>
          <w:sz w:val="21"/>
          <w:szCs w:val="21"/>
          <w14:ligatures w14:val="none"/>
        </w:rPr>
        <w:noBreakHyphen/>
        <w:t>autonomy (</w:t>
      </w:r>
      <w:r>
        <w:rPr>
          <w:rFonts w:ascii="Segoe UI" w:eastAsia="Times New Roman" w:hAnsi="Segoe UI" w:cs="Segoe UI"/>
          <w:kern w:val="0"/>
          <w:sz w:val="21"/>
          <w:szCs w:val="21"/>
          <w:lang w:val="en-US"/>
          <w14:ligatures w14:val="none"/>
        </w:rPr>
        <w:t xml:space="preserve">TM Forum </w:t>
      </w:r>
      <w:r>
        <w:rPr>
          <w:rFonts w:ascii="Segoe UI" w:eastAsia="Times New Roman" w:hAnsi="Segoe UI" w:cs="Segoe UI"/>
          <w:kern w:val="0"/>
          <w:sz w:val="21"/>
          <w:szCs w:val="21"/>
          <w14:ligatures w14:val="none"/>
        </w:rPr>
        <w:t>L4–L5) operating models.</w:t>
      </w:r>
    </w:p>
    <w:p w14:paraId="483D2BC6" w14:textId="77777777" w:rsidR="007A4426" w:rsidRPr="007A4426" w:rsidRDefault="007A4426" w:rsidP="00483071">
      <w:pPr>
        <w:pStyle w:val="Heading2"/>
        <w:rPr>
          <w:rFonts w:eastAsia="Times New Roman"/>
        </w:rPr>
      </w:pPr>
      <w:bookmarkStart w:id="5" w:name="_Toc226998467"/>
      <w:r>
        <w:rPr>
          <w:rFonts w:eastAsia="Times New Roman"/>
        </w:rPr>
        <w:t>A.4 Director</w:t>
      </w:r>
      <w:r>
        <w:rPr>
          <w:rFonts w:eastAsia="Times New Roman"/>
        </w:rPr>
        <w:noBreakHyphen/>
        <w:t>Based Oversight Model</w:t>
      </w:r>
      <w:bookmarkEnd w:id="5"/>
    </w:p>
    <w:p w14:paraId="6DC52657" w14:textId="77777777" w:rsidR="007A4426" w:rsidRPr="00963709" w:rsidRDefault="007A4426"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ADAM adopts a multi</w:t>
      </w:r>
      <w:r>
        <w:rPr>
          <w:rFonts w:ascii="Segoe UI" w:eastAsia="Times New Roman" w:hAnsi="Segoe UI" w:cs="Segoe UI"/>
          <w:kern w:val="0"/>
          <w:sz w:val="21"/>
          <w:szCs w:val="21"/>
          <w14:ligatures w14:val="none"/>
        </w:rPr>
        <w:noBreakHyphen/>
        <w:t>director governance model consisting of a CEO and four mandatory domain directors, with provision for up to two optional directors (CPO and/or CTO) as the enterprise scales. The five mandatory directors form the canonical minimum and map directly to external accountability surfaces that cannot be delegated to machines. The optional Product and Technology directors are activated through the DNA Questionnaire when the enterprise requires dedicated innovation governance, M&amp;A oversight, or rapid technology scaling. ADAM therefore operates with 5, 6, or 7 human directors depending on organizational maturity and operational scope.</w:t>
      </w:r>
    </w:p>
    <w:p w14:paraId="3F5CC886" w14:textId="77777777" w:rsidR="007A4426" w:rsidRPr="007A4426" w:rsidRDefault="007A4426" w:rsidP="00483071">
      <w:pPr>
        <w:pStyle w:val="Heading3"/>
        <w:rPr>
          <w:rFonts w:eastAsia="Times New Roman"/>
        </w:rPr>
      </w:pPr>
      <w:bookmarkStart w:id="6" w:name="_Toc226998468"/>
      <w:r>
        <w:rPr>
          <w:rFonts w:eastAsia="Times New Roman"/>
        </w:rPr>
        <w:t>A.4.1 Chief Executive Officer (CEO) — Primary Director</w:t>
      </w:r>
      <w:bookmarkEnd w:id="6"/>
    </w:p>
    <w:p w14:paraId="65858C54" w14:textId="00C260CB" w:rsidR="007A4426" w:rsidRPr="007A4426" w:rsidRDefault="007A4426"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Role in ADAM</w:t>
      </w:r>
      <w:r>
        <w:rPr>
          <w:rFonts w:ascii="Segoe UI" w:eastAsia="Times New Roman" w:hAnsi="Segoe UI" w:cs="Segoe UI"/>
          <w:b/>
          <w:bCs/>
          <w:kern w:val="0"/>
          <w:sz w:val="21"/>
          <w:szCs w:val="21"/>
          <w:lang w:val="en-US"/>
          <w14:ligatures w14:val="none"/>
        </w:rPr>
        <w:t>:</w:t>
      </w:r>
      <w:r>
        <w:rPr>
          <w:rFonts w:ascii="Segoe UI" w:eastAsia="Times New Roman" w:hAnsi="Segoe UI" w:cs="Segoe UI"/>
          <w:kern w:val="0"/>
          <w:sz w:val="21"/>
          <w:szCs w:val="21"/>
          <w14:ligatures w14:val="none"/>
        </w:rPr>
        <w:t xml:space="preserve"> The CEO is the </w:t>
      </w:r>
      <w:r>
        <w:rPr>
          <w:rFonts w:ascii="Segoe UI" w:eastAsia="Times New Roman" w:hAnsi="Segoe UI" w:cs="Segoe UI"/>
          <w:b/>
          <w:bCs/>
          <w:kern w:val="0"/>
          <w:sz w:val="21"/>
          <w:szCs w:val="21"/>
          <w14:ligatures w14:val="none"/>
        </w:rPr>
        <w:t>primary human authority</w:t>
      </w:r>
      <w:r>
        <w:rPr>
          <w:rFonts w:ascii="Segoe UI" w:eastAsia="Times New Roman" w:hAnsi="Segoe UI" w:cs="Segoe UI"/>
          <w:kern w:val="0"/>
          <w:sz w:val="21"/>
          <w:szCs w:val="21"/>
          <w14:ligatures w14:val="none"/>
        </w:rPr>
        <w:t xml:space="preserve"> for ADAM and the ultimate accountable party for all autonomous outcomes.</w:t>
      </w:r>
    </w:p>
    <w:p w14:paraId="10000001" w14:textId="20000001" w:rsidR="00000000" w:rsidRDefault="00000000"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The CEO interfaces with ADAM exclusively through the Corporate Governance Interface&amp;#x2014;a board&amp;#x2013;facing agentic work group that produces fiduciary&amp;#x2013;grade reporting, regulatory disclosures, and governance evidence. The CEO does not manage agents, select execution paths, or intervene in operational workflows. Instead, the CEO defines enterprise&amp;#x2013;level intent through formal Intent Objects, sets the organization&amp;#x2019;s overall risk appetite, and serves as the singular escalation authority</w:t>
      </w:r>
      <w:r>
        <w:rPr>
          <w:rFonts w:ascii="Segoe UI" w:eastAsia="Times New Roman" w:hAnsi="Segoe UI" w:cs="Segoe UI"/>
          <w:kern w:val="0"/>
          <w:sz w:val="21"/>
          <w:szCs w:val="21"/>
          <w14:ligatures w14:val="none"/>
        </w:rPr>
        <w:t xml:space="preserve"> when ADAM&amp;#x2019;s BOSS scoring triggers an OHSHAT&amp;#x2013;level (76&amp;#x2013;100) exception requiring all&amp;#x2013;director engagement.</w:t>
      </w:r>
    </w:p>
    <w:p w14:paraId="10000002" w14:textId="20000002" w:rsidR="00000000" w:rsidRDefault="00000000"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The CEO is the only director whose authority spans all five Governor Agent domains&amp;#x2014;Financial Governance, Legal &amp;amp; Compliance, Enterprise Risk, Market &amp;amp; Ecosystem, and Enterprise Strategy. When Governor Agents produce conflicting assessments during intent evaluation, the CEO holds final arbitration authority. The CEO also owns the relationship between ADAM and its board of directors, ensuring that autonomous outcomes are translatable into fiduciary language and that the organization&amp;#x2019;s go</w:t>
      </w:r>
      <w:r>
        <w:rPr>
          <w:rFonts w:ascii="Segoe UI" w:eastAsia="Times New Roman" w:hAnsi="Segoe UI" w:cs="Segoe UI"/>
          <w:kern w:val="0"/>
          <w:sz w:val="21"/>
          <w:szCs w:val="21"/>
          <w14:ligatures w14:val="none"/>
        </w:rPr>
        <w:t>vernance posture satisfies external audit, regulatory inspection, and investor scrutiny.</w:t>
      </w:r>
    </w:p>
    <w:p w14:paraId="4F654F93" w14:textId="77777777" w:rsidR="007A4426" w:rsidRPr="007A4426" w:rsidRDefault="007A4426"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Governance Responsibilities</w:t>
      </w:r>
    </w:p>
    <w:p w14:paraId="7CAAAB2B" w14:textId="77777777" w:rsidR="007A4426" w:rsidRPr="007A4426" w:rsidRDefault="007A4426" w:rsidP="007A4426">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Ownership of the Corporate Governance Interface</w:t>
      </w:r>
    </w:p>
    <w:p w14:paraId="3A75789F" w14:textId="77777777" w:rsidR="007A4426" w:rsidRPr="007A4426" w:rsidRDefault="007A4426" w:rsidP="007A4426">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Board</w:t>
      </w:r>
      <w:r>
        <w:rPr>
          <w:rFonts w:ascii="Segoe UI" w:eastAsia="Times New Roman" w:hAnsi="Segoe UI" w:cs="Segoe UI"/>
          <w:kern w:val="0"/>
          <w:sz w:val="21"/>
          <w:szCs w:val="21"/>
          <w14:ligatures w14:val="none"/>
        </w:rPr>
        <w:noBreakHyphen/>
        <w:t>level reporting and fiduciary accountability</w:t>
      </w:r>
    </w:p>
    <w:p w14:paraId="47A14A19" w14:textId="77777777" w:rsidR="007A4426" w:rsidRPr="007A4426" w:rsidRDefault="007A4426" w:rsidP="007A4426">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Approval authority for enterprise</w:t>
      </w:r>
      <w:r>
        <w:rPr>
          <w:rFonts w:ascii="Segoe UI" w:eastAsia="Times New Roman" w:hAnsi="Segoe UI" w:cs="Segoe UI"/>
          <w:kern w:val="0"/>
          <w:sz w:val="21"/>
          <w:szCs w:val="21"/>
          <w14:ligatures w14:val="none"/>
        </w:rPr>
        <w:noBreakHyphen/>
        <w:t>level intent</w:t>
      </w:r>
    </w:p>
    <w:p w14:paraId="11A46EDC" w14:textId="77777777" w:rsidR="007A4426" w:rsidRPr="007A4426" w:rsidRDefault="007A4426" w:rsidP="007A4426">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Final escalation authority for existential risk</w:t>
      </w:r>
    </w:p>
    <w:p w14:paraId="10000003" w14:textId="20000003" w:rsidR="00000000" w:rsidRDefault="00000000"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Rationale:</w:t>
      </w:r>
      <w:r>
        <w:rPr>
          <w:rFonts w:ascii="Segoe UI" w:eastAsia="Times New Roman" w:hAnsi="Segoe UI" w:cs="Segoe UI"/>
          <w:kern w:val="0"/>
          <w:sz w:val="21"/>
          <w:szCs w:val="21"/>
          <w14:ligatures w14:val="none"/>
        </w:rPr>
        <w:t xml:space="preserve"> Agentic governance research consistently identifies the CEO as the only role that can legitimately retain end–to–end accountability for autonomous systems at scale. Accountability cannot be fragmented without undermining trust or regulatory legitimacy.</w:t>
      </w:r>
    </w:p>
    <w:p w14:paraId="10000004" w14:textId="20000004" w:rsidR="00000000" w:rsidRDefault="00000000"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lastRenderedPageBreak/>
        <w:t>Under the EU AI Act’s high–risk classification framework and DORA’s ICT risk governance requirements, regulators expect a named natural person to bear ultimate responsibility for autonomous decision outcomes. In ADAM, that person is the CEO. The CEO does not need to understand every agent interaction or BOSS scoring calculation—but the CEO must be able to explain, through the Explain–Back Interface, why ADAM acted as it did and what governance constraints were in force at the time. This is the essence of AD</w:t>
      </w:r>
      <w:r>
        <w:rPr>
          <w:rFonts w:ascii="Segoe UI" w:eastAsia="Times New Roman" w:hAnsi="Segoe UI" w:cs="Segoe UI"/>
          <w:kern w:val="0"/>
          <w:sz w:val="21"/>
          <w:szCs w:val="21"/>
          <w14:ligatures w14:val="none"/>
        </w:rPr>
        <w:t>AM’s principle that autonomy replaces management, not responsibility. The CEO is the human embodiment of that principle: the person who stands behind the machine when the machine must answer to the world.</w:t>
      </w:r>
    </w:p>
    <w:p w14:paraId="7BF19190" w14:textId="77777777" w:rsidR="007A4426" w:rsidRPr="007A4426" w:rsidRDefault="007A4426" w:rsidP="00483071">
      <w:pPr>
        <w:pStyle w:val="Heading3"/>
        <w:rPr>
          <w:rFonts w:eastAsia="Times New Roman"/>
        </w:rPr>
      </w:pPr>
      <w:bookmarkStart w:id="7" w:name="_Toc226998469"/>
      <w:r>
        <w:rPr>
          <w:rFonts w:eastAsia="Times New Roman"/>
        </w:rPr>
        <w:t>A.4.2 Chief Financial Officer (CFO) — Financial Stewardship Director</w:t>
      </w:r>
      <w:bookmarkEnd w:id="7"/>
    </w:p>
    <w:p w14:paraId="10000005" w14:textId="20000005" w:rsidR="00000000" w:rsidRDefault="00000000"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Role in ADAM:</w:t>
      </w:r>
      <w:r>
        <w:rPr>
          <w:rFonts w:ascii="Segoe UI" w:eastAsia="Times New Roman" w:hAnsi="Segoe UI" w:cs="Segoe UI"/>
          <w:kern w:val="0"/>
          <w:sz w:val="21"/>
          <w:szCs w:val="21"/>
          <w14:ligatures w14:val="none"/>
        </w:rPr>
        <w:t xml:space="preserve"> The CFO is the </w:t>
      </w:r>
      <w:r>
        <w:rPr>
          <w:rFonts w:ascii="Segoe UI" w:eastAsia="Times New Roman" w:hAnsi="Segoe UI" w:cs="Segoe UI"/>
          <w:b/>
          <w:bCs/>
          <w:kern w:val="0"/>
          <w:sz w:val="21"/>
          <w:szCs w:val="21"/>
          <w14:ligatures w14:val="none"/>
        </w:rPr>
        <w:t>accountable human authority for all financial governance, capital allocation, and economic risk</w:t>
      </w:r>
      <w:r>
        <w:rPr>
          <w:rFonts w:ascii="Segoe UI" w:eastAsia="Times New Roman" w:hAnsi="Segoe UI" w:cs="Segoe UI"/>
          <w:kern w:val="0"/>
          <w:sz w:val="21"/>
          <w:szCs w:val="21"/>
          <w14:ligatures w14:val="none"/>
        </w:rPr>
        <w:t xml:space="preserve"> within ADAM. The CFO ensures that autonomous financial decisions—transaction processing, budgeting, forecasting, capital deployment, and economic optimization—remain within externally regulated, taxable, and auditable boundaries while preserving the organization’s financial integrity and value realization objectives.</w:t>
      </w:r>
    </w:p>
    <w:p w14:paraId="10000006" w14:textId="20000006" w:rsidR="00000000" w:rsidRDefault="00000000"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The CFO interfaces with ADAM through the Financial Stewardship Agentic Work Group and the Financial Governance Governor Agent. The Financial Governance Governor Agent governs all financial stewardship flows as a single economic system—enforcing capital constraints, resolving trade–offs between efficiency, growth, and risk, and ensuring financial determinism under autonomy. The CFO defines financial autonomy thresholds through the CORE Graph, sets capital allocation boundaries, and serves as the escalation a</w:t>
      </w:r>
      <w:r>
        <w:rPr>
          <w:rFonts w:ascii="Segoe UI" w:eastAsia="Times New Roman" w:hAnsi="Segoe UI" w:cs="Segoe UI"/>
          <w:kern w:val="0"/>
          <w:sz w:val="21"/>
          <w:szCs w:val="21"/>
          <w14:ligatures w14:val="none"/>
        </w:rPr>
        <w:t>uthority when the BOSS score’s Financial Exposure dimension triggers HIGH (51–75) or OHSHAT–level (76–100) exceptions. The CFO does not approve individual transactions or manage financial workflows—ADAM’s financial agents execute autonomously within the constraints the CFO has established.</w:t>
      </w:r>
    </w:p>
    <w:p w14:paraId="7D6A2AF5" w14:textId="77777777" w:rsidR="007A4426" w:rsidRPr="007A4426" w:rsidRDefault="007A4426"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ADAM Interface</w:t>
      </w:r>
    </w:p>
    <w:p w14:paraId="6CFEFDB3" w14:textId="77777777" w:rsidR="007A4426" w:rsidRPr="007A4426" w:rsidRDefault="007A4426" w:rsidP="007A4426">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Financial Stewardship Agentic Work Group</w:t>
      </w:r>
    </w:p>
    <w:p w14:paraId="0D57B03F" w14:textId="0E761E2D" w:rsidR="007A4426" w:rsidRPr="007A4426" w:rsidRDefault="007A4426" w:rsidP="007A4426">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Financial Governance Governor Agent</w:t>
      </w:r>
    </w:p>
    <w:p w14:paraId="781109DF" w14:textId="77777777" w:rsidR="007A4426" w:rsidRPr="007A4426" w:rsidRDefault="007A4426"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Governance Responsibilities</w:t>
      </w:r>
    </w:p>
    <w:p w14:paraId="40B49790" w14:textId="77777777" w:rsidR="007A4426" w:rsidRPr="007A4426" w:rsidRDefault="007A4426" w:rsidP="007A4426">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Approval of financial autonomy thresholds</w:t>
      </w:r>
    </w:p>
    <w:p w14:paraId="6B274A59" w14:textId="77777777" w:rsidR="007A4426" w:rsidRPr="007A4426" w:rsidRDefault="007A4426" w:rsidP="007A4426">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Oversight of capital allocation logic</w:t>
      </w:r>
    </w:p>
    <w:p w14:paraId="5D5C2CC5" w14:textId="77777777" w:rsidR="007A4426" w:rsidRPr="007A4426" w:rsidRDefault="007A4426" w:rsidP="007A4426">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Validation of financial risk exposure</w:t>
      </w:r>
    </w:p>
    <w:p w14:paraId="342E65E5" w14:textId="77777777" w:rsidR="007A4426" w:rsidRPr="007A4426" w:rsidRDefault="007A4426" w:rsidP="007A4426">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Acceptance of economic outcomes generated by ADAM</w:t>
      </w:r>
    </w:p>
    <w:p w14:paraId="1000000D" w14:textId="2000000D" w:rsidR="00000000" w:rsidRDefault="00000000"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Rationale:</w:t>
      </w:r>
      <w:r>
        <w:rPr>
          <w:rFonts w:ascii="Segoe UI" w:eastAsia="Times New Roman" w:hAnsi="Segoe UI" w:cs="Segoe UI"/>
          <w:kern w:val="0"/>
          <w:sz w:val="21"/>
          <w:szCs w:val="21"/>
          <w14:ligatures w14:val="none"/>
        </w:rPr>
        <w:t xml:space="preserve"> Financial decisions remain externally regulated, taxable, and auditable. While ADAM executes financial logic autonomously, human ownership of financial risk and value realization remains mandatory.</w:t>
      </w:r>
    </w:p>
    <w:p w14:paraId="1000000E" w14:textId="2000000E" w:rsidR="00000000" w:rsidRDefault="00000000"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Money is the one domain where external reality is absolute: tax authorities, auditors, regulators, and counterparties all demand a named human who owns financial outcomes. ADAM’s Financial Stewardship Work Group autonomously handles transaction processing, reconciliation, </w:t>
      </w:r>
      <w:r>
        <w:rPr>
          <w:rFonts w:ascii="Segoe UI" w:eastAsia="Times New Roman" w:hAnsi="Segoe UI" w:cs="Segoe UI"/>
          <w:kern w:val="0"/>
          <w:sz w:val="21"/>
          <w:szCs w:val="21"/>
          <w14:ligatures w14:val="none"/>
        </w:rPr>
        <w:lastRenderedPageBreak/>
        <w:t>budgeting, forecasting, fraud detection, and audit preparation—but the outputs of those processes carry legal weight that only a human can accept. The CFO’s role maps directly to the Financial Exposure dimension of the BOSS Score (weighted Very High at 4.0 in the default configuration) and aligns with FAIR+COSO risk quantification frameworks. Under DORA (Digital Operational Resilience Act) and EU AI Act requirements, financial decisions made by autonomous systems must trace to a human authority who accepted</w:t>
      </w:r>
      <w:r>
        <w:rPr>
          <w:rFonts w:ascii="Segoe UI" w:eastAsia="Times New Roman" w:hAnsi="Segoe UI" w:cs="Segoe UI"/>
          <w:kern w:val="0"/>
          <w:sz w:val="21"/>
          <w:szCs w:val="21"/>
          <w14:ligatures w14:val="none"/>
        </w:rPr>
        <w:t xml:space="preserve"> the risk parameters under which those decisions were made. The CFO is that authority. Without a dedicated financial director, capital allocation logic, financial risk exposure, and economic outcome acceptance would fragment across the CEO and other directors—creating accountability gaps that regulators and auditors would immediately flag.</w:t>
      </w:r>
    </w:p>
    <w:p w14:paraId="16F22119" w14:textId="77777777" w:rsidR="007A4426" w:rsidRPr="007A4426" w:rsidRDefault="007A4426" w:rsidP="00483071">
      <w:pPr>
        <w:pStyle w:val="Heading3"/>
        <w:rPr>
          <w:rFonts w:eastAsia="Times New Roman"/>
        </w:rPr>
      </w:pPr>
      <w:bookmarkStart w:id="8" w:name="_Toc226998470"/>
      <w:r>
        <w:rPr>
          <w:rFonts w:eastAsia="Times New Roman"/>
        </w:rPr>
        <w:t>A.4.3 Chief Legal Counsel / Director — Legal, Regulatory, Risk &amp; Liability</w:t>
      </w:r>
      <w:bookmarkEnd w:id="8"/>
    </w:p>
    <w:p w14:paraId="10000007" w14:textId="20000007" w:rsidR="00000000" w:rsidRDefault="00000000"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Role in ADAM:</w:t>
      </w:r>
      <w:r>
        <w:rPr>
          <w:rFonts w:ascii="Segoe UI" w:eastAsia="Times New Roman" w:hAnsi="Segoe UI" w:cs="Segoe UI"/>
          <w:kern w:val="0"/>
          <w:sz w:val="21"/>
          <w:szCs w:val="21"/>
          <w14:ligatures w14:val="none"/>
        </w:rPr>
        <w:t xml:space="preserve"> The Legal Director is the </w:t>
      </w:r>
      <w:r>
        <w:rPr>
          <w:rFonts w:ascii="Segoe UI" w:eastAsia="Times New Roman" w:hAnsi="Segoe UI" w:cs="Segoe UI"/>
          <w:b/>
          <w:bCs/>
          <w:kern w:val="0"/>
          <w:sz w:val="21"/>
          <w:szCs w:val="21"/>
          <w14:ligatures w14:val="none"/>
        </w:rPr>
        <w:t>accountable human authority for legal legitimacy, regulatory compliance, jurisdictional risk, and enterprise liability</w:t>
      </w:r>
      <w:r>
        <w:rPr>
          <w:rFonts w:ascii="Segoe UI" w:eastAsia="Times New Roman" w:hAnsi="Segoe UI" w:cs="Segoe UI"/>
          <w:kern w:val="0"/>
          <w:sz w:val="21"/>
          <w:szCs w:val="21"/>
          <w14:ligatures w14:val="none"/>
        </w:rPr>
        <w:t xml:space="preserve"> within ADAM. The Legal Director ensures that autonomous actions—contract execution, regulatory interpretation, compliance monitoring, jurisdictional logic, and legal risk assessment—remain defensible under law across every jurisdiction in which the enterprise operates.</w:t>
      </w:r>
    </w:p>
    <w:p w14:paraId="10000008" w14:textId="20000008" w:rsidR="00000000" w:rsidRDefault="00000000"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The Legal Director interfaces with ADAM through two agentic work groups—Legal &amp; Regulatory Authority and Enterprise Risk &amp; Liability—and two Governor Agents—Legal &amp; Compliance and Enterprise Risk. The Legal &amp; Compliance Governor Agent acts as the final legal authority inside ADAM, arbitrating conflicts between regulations and business objectives, applying jurisdictional precedence, blocking illegal but locally optimal actions, and certifying compliance readiness states. The Enterprise Risk Governor Agent co</w:t>
      </w:r>
      <w:r>
        <w:rPr>
          <w:rFonts w:ascii="Segoe UI" w:eastAsia="Times New Roman" w:hAnsi="Segoe UI" w:cs="Segoe UI"/>
          <w:kern w:val="0"/>
          <w:sz w:val="21"/>
          <w:szCs w:val="21"/>
          <w14:ligatures w14:val="none"/>
        </w:rPr>
        <w:t>rrelates financial, legal, operational, and AI risks at the enterprise level, adjusting autonomy budgets dynamically under stress and escalating existential risk conditions. The Legal Director defines legal risk appetite through the CORE Graph, approves regulatory interpretations that affect ADAM’s autonomous behavior, and serves as the escalation authority when the BOSS score’s Regulatory Impact dimension triggers HIGH or OHSHAT–level exceptions.</w:t>
      </w:r>
    </w:p>
    <w:p w14:paraId="61EC6E22" w14:textId="77777777" w:rsidR="007A4426" w:rsidRPr="007A4426" w:rsidRDefault="007A4426"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ADAM Interface</w:t>
      </w:r>
    </w:p>
    <w:p w14:paraId="4649F514" w14:textId="77777777" w:rsidR="007A4426" w:rsidRPr="007A4426" w:rsidRDefault="007A4426" w:rsidP="007A4426">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Legal &amp; Regulatory Authority Agentic Work Group</w:t>
      </w:r>
    </w:p>
    <w:p w14:paraId="1E4BDB3B" w14:textId="77777777" w:rsidR="007A4426" w:rsidRPr="007A4426" w:rsidRDefault="007A4426" w:rsidP="007A4426">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Enterprise Risk &amp; Liability Agentic Work Group</w:t>
      </w:r>
    </w:p>
    <w:p w14:paraId="5F262D8A" w14:textId="46B1F6A2" w:rsidR="007A4426" w:rsidRPr="007A4426" w:rsidRDefault="007A4426" w:rsidP="007A4426">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Legal &amp; Compliance Governor Agent</w:t>
      </w:r>
    </w:p>
    <w:p w14:paraId="56ADEF6F" w14:textId="6796EB29" w:rsidR="007A4426" w:rsidRPr="007A4426" w:rsidRDefault="007A4426" w:rsidP="007A4426">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Enterprise Risk Governor Agent</w:t>
      </w:r>
    </w:p>
    <w:p w14:paraId="69C7492B" w14:textId="77777777" w:rsidR="007A4426" w:rsidRPr="007A4426" w:rsidRDefault="007A4426"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Governance Responsibilities</w:t>
      </w:r>
    </w:p>
    <w:p w14:paraId="1D4EDA47" w14:textId="77777777" w:rsidR="007A4426" w:rsidRPr="007A4426" w:rsidRDefault="007A4426" w:rsidP="007A4426">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Approval of regulatory interpretations</w:t>
      </w:r>
    </w:p>
    <w:p w14:paraId="75189F98" w14:textId="77777777" w:rsidR="007A4426" w:rsidRPr="007A4426" w:rsidRDefault="007A4426" w:rsidP="007A4426">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Definition of legal risk appetite</w:t>
      </w:r>
    </w:p>
    <w:p w14:paraId="4CAF8733" w14:textId="77777777" w:rsidR="007A4426" w:rsidRPr="007A4426" w:rsidRDefault="007A4426" w:rsidP="007A4426">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Ownership of jurisdictional ambiguity resolution</w:t>
      </w:r>
    </w:p>
    <w:p w14:paraId="04E28879" w14:textId="77777777" w:rsidR="007A4426" w:rsidRPr="007A4426" w:rsidRDefault="007A4426" w:rsidP="007A4426">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Accountability for compliance outcomes</w:t>
      </w:r>
    </w:p>
    <w:p w14:paraId="1000000F" w14:textId="2000000F" w:rsidR="00000000" w:rsidRDefault="00000000"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lastRenderedPageBreak/>
        <w:t>Rationale:</w:t>
      </w:r>
      <w:r>
        <w:rPr>
          <w:rFonts w:ascii="Segoe UI" w:eastAsia="Times New Roman" w:hAnsi="Segoe UI" w:cs="Segoe UI"/>
          <w:kern w:val="0"/>
          <w:sz w:val="21"/>
          <w:szCs w:val="21"/>
          <w14:ligatures w14:val="none"/>
        </w:rPr>
        <w:t xml:space="preserve"> Legal legitimacy and regulatory accountability cannot be automated away. This role ensures that ADAM’s autonomous actions remain defensible under law, even as execution becomes machine–driven.</w:t>
      </w:r>
    </w:p>
    <w:p w14:paraId="10000010" w14:textId="20000010" w:rsidR="00000000" w:rsidRDefault="00000000"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Autonomous systems operate across jurisdictional boundaries where legal frameworks differ, conflict, and evolve. ADAM’s Legal &amp; Regulatory Authority Work Group autonomously manages contract lifecycle, regulatory rule interpretation, compliance monitoring, legal risk analysis, and jurisdictional logic—but the interpretation of ambiguous regulations, the acceptance of legal risk in novel situations, and the resolution of jurisdictional conflicts require human judgment that cannot be delegated to machines. The</w:t>
      </w:r>
      <w:r>
        <w:rPr>
          <w:rFonts w:ascii="Segoe UI" w:eastAsia="Times New Roman" w:hAnsi="Segoe UI" w:cs="Segoe UI"/>
          <w:kern w:val="0"/>
          <w:sz w:val="21"/>
          <w:szCs w:val="21"/>
          <w14:ligatures w14:val="none"/>
        </w:rPr>
        <w:t xml:space="preserve"> Legal Director’s role maps directly to the Regulatory Impact dimension of the BOSS Score (weighted High at 3.0 in the default configuration) and aligns with EU AI Act high–risk classification requirements, DORA operational resilience mandates, and NIS2 cybersecurity directives. Under the EU AI Act, providers and deployers of high–risk AI systems must designate human oversight roles with the authority to override or halt autonomous operations when legal boundaries are at risk. The Legal Director is that aut</w:t>
      </w:r>
      <w:r>
        <w:rPr>
          <w:rFonts w:ascii="Segoe UI" w:eastAsia="Times New Roman" w:hAnsi="Segoe UI" w:cs="Segoe UI"/>
          <w:kern w:val="0"/>
          <w:sz w:val="21"/>
          <w:szCs w:val="21"/>
          <w14:ligatures w14:val="none"/>
        </w:rPr>
        <w:t>hority within ADAM. Without a dedicated legal director, regulatory interpretations and liability acceptance would fragment across the CEO and CISO—neither of whom possesses the specialized legal competency required for jurisdictional arbitration at enterprise scale.</w:t>
      </w:r>
    </w:p>
    <w:p w14:paraId="62D19801" w14:textId="77777777" w:rsidR="007A4426" w:rsidRPr="007A4426" w:rsidRDefault="007A4426" w:rsidP="00483071">
      <w:pPr>
        <w:pStyle w:val="Heading3"/>
        <w:rPr>
          <w:rFonts w:eastAsia="Times New Roman"/>
        </w:rPr>
      </w:pPr>
      <w:bookmarkStart w:id="9" w:name="_Toc226998471"/>
      <w:r>
        <w:rPr>
          <w:rFonts w:eastAsia="Times New Roman"/>
        </w:rPr>
        <w:t>A.4.4 Market Director — Strategy, External Negotiation, and Market Posture</w:t>
      </w:r>
      <w:bookmarkEnd w:id="9"/>
    </w:p>
    <w:p w14:paraId="10000009" w14:textId="20000009" w:rsidR="00000000" w:rsidRDefault="00000000"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Role in ADAM:</w:t>
      </w:r>
      <w:r>
        <w:rPr>
          <w:rFonts w:ascii="Segoe UI" w:eastAsia="Times New Roman" w:hAnsi="Segoe UI" w:cs="Segoe UI"/>
          <w:kern w:val="0"/>
          <w:sz w:val="21"/>
          <w:szCs w:val="21"/>
          <w14:ligatures w14:val="none"/>
        </w:rPr>
        <w:t xml:space="preserve"> The Market Director is the </w:t>
      </w:r>
      <w:r>
        <w:rPr>
          <w:rFonts w:ascii="Segoe UI" w:eastAsia="Times New Roman" w:hAnsi="Segoe UI" w:cs="Segoe UI"/>
          <w:b/>
          <w:bCs/>
          <w:kern w:val="0"/>
          <w:sz w:val="21"/>
          <w:szCs w:val="21"/>
          <w14:ligatures w14:val="none"/>
        </w:rPr>
        <w:t>accountable human authority for market strategy, external negotiation, competitive posture, reputational governance, and—in the default 5‑Director configuration—innovation governance</w:t>
      </w:r>
      <w:r>
        <w:rPr>
          <w:rFonts w:ascii="Segoe UI" w:eastAsia="Times New Roman" w:hAnsi="Segoe UI" w:cs="Segoe UI"/>
          <w:kern w:val="0"/>
          <w:sz w:val="21"/>
          <w:szCs w:val="21"/>
          <w14:ligatures w14:val="none"/>
        </w:rPr>
        <w:t xml:space="preserve"> within ADAM. The Market Director ensures that autonomous market‑facing decisions—pricing, partner negotiations, competitive positioning, customer commitments, and demand signal responses—remain strategically coherent and reputationally defensible in the external environment.</w:t>
      </w:r>
    </w:p>
    <w:p w14:paraId="1000000A" w14:textId="2000000A" w:rsidR="00000000" w:rsidRDefault="00000000"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The Market Director interfaces with ADAM through the Market Interface Agentic Work Group and two Governor Agents—Market &amp; Ecosystem and Enterprise Strategy. The Market &amp; Ecosystem Governor Agent maintains external coherence by arbitrating pricing versus reputation versus growth trade–offs, coordinating customer, partner, and market agents, detecting market regime shifts, and preventing locally rational but globally damaging behaviors. The Enterprise Strategy Governor Agent translates long–horizon intent int</w:t>
      </w:r>
      <w:r>
        <w:rPr>
          <w:rFonts w:ascii="Segoe UI" w:eastAsia="Times New Roman" w:hAnsi="Segoe UI" w:cs="Segoe UI"/>
          <w:kern w:val="0"/>
          <w:sz w:val="21"/>
          <w:szCs w:val="21"/>
          <w14:ligatures w14:val="none"/>
        </w:rPr>
        <w:t>o executable constraints, reconciles innovation with operational stability, governs scenario selection, and anchors CORE Graph objectives over time. The Market Director defines market risk appetite, approves high–impact external negotiations, and serves as the escalation authority when the BOSS score’s Reputational Risk dimension triggers HIGH or OHSHAT–level exceptions. The Market Director does not negotiate deals or set prices directly—ADAM’s market agents execute autonomously within the strategic constra</w:t>
      </w:r>
      <w:r>
        <w:rPr>
          <w:rFonts w:ascii="Segoe UI" w:eastAsia="Times New Roman" w:hAnsi="Segoe UI" w:cs="Segoe UI"/>
          <w:kern w:val="0"/>
          <w:sz w:val="21"/>
          <w:szCs w:val="21"/>
          <w14:ligatures w14:val="none"/>
        </w:rPr>
        <w:t>ints the Market Director has codified. In the default 5‑Director configuration, the Market Director also holds interim governance authority over the Innovation Work Group (Part XII of ADAM) and the Product &amp; Innovation Governor Agent, providing human oversight of innovation pipeline proposals, capability launches, and Innovation Engine outputs until a dedicated CPO or combined CPO/CTO is activated through the DNA Questionnaire. This ensures that innovation governance is never orphaned—even in ADAM’s minimum</w:t>
      </w:r>
      <w:r>
        <w:rPr>
          <w:rFonts w:ascii="Segoe UI" w:eastAsia="Times New Roman" w:hAnsi="Segoe UI" w:cs="Segoe UI"/>
          <w:kern w:val="0"/>
          <w:sz w:val="21"/>
          <w:szCs w:val="21"/>
          <w14:ligatures w14:val="none"/>
        </w:rPr>
        <w:t xml:space="preserve"> directorship configuration, a named human director is accountable for autonomous innovation decisions.</w:t>
      </w:r>
    </w:p>
    <w:p w14:paraId="1DC13984" w14:textId="77777777" w:rsidR="007A4426" w:rsidRPr="007A4426" w:rsidRDefault="007A4426"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lastRenderedPageBreak/>
        <w:t>ADAM Interface</w:t>
      </w:r>
    </w:p>
    <w:p w14:paraId="18C84257" w14:textId="77777777" w:rsidR="007A4426" w:rsidRPr="007A4426" w:rsidRDefault="007A4426" w:rsidP="007A4426">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Market Interface Agentic Work Group</w:t>
      </w:r>
    </w:p>
    <w:p w14:paraId="55A5BEB9" w14:textId="5E300860" w:rsidR="007A4426" w:rsidRPr="007A4426" w:rsidRDefault="007A4426" w:rsidP="007A4426">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Market &amp; Ecosystem Governor Agent</w:t>
      </w:r>
    </w:p>
    <w:p w14:paraId="5292A51C" w14:textId="608D9269" w:rsidR="007A4426" w:rsidRPr="007A4426" w:rsidRDefault="007A4426" w:rsidP="007A4426">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Enterprise Strategy Governor Agent</w:t>
      </w:r>
    </w:p>
    <w:p w14:paraId="30000001" w14:textId="40000001" w:rsidR="00000000" w:rsidRDefault="00000000" w:rsidP="007A4426">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Innovation Work Group and Product &amp; Innovation Governor Agent (5‑Director configuration only; transfers to CPO or CPO/CTO when activated)</w:t>
      </w:r>
    </w:p>
    <w:p w14:paraId="5ED4FE35" w14:textId="77777777" w:rsidR="007A4426" w:rsidRPr="007A4426" w:rsidRDefault="007A4426"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Governance Responsibilities</w:t>
      </w:r>
    </w:p>
    <w:p w14:paraId="2C292BB2" w14:textId="77777777" w:rsidR="007A4426" w:rsidRPr="007A4426" w:rsidRDefault="007A4426" w:rsidP="007A4426">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Oversight of market commitments and positioning</w:t>
      </w:r>
    </w:p>
    <w:p w14:paraId="427E097B" w14:textId="77777777" w:rsidR="007A4426" w:rsidRPr="007A4426" w:rsidRDefault="007A4426" w:rsidP="007A4426">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Approval of high</w:t>
      </w:r>
      <w:r>
        <w:rPr>
          <w:rFonts w:ascii="Segoe UI" w:eastAsia="Times New Roman" w:hAnsi="Segoe UI" w:cs="Segoe UI"/>
          <w:kern w:val="0"/>
          <w:sz w:val="21"/>
          <w:szCs w:val="21"/>
          <w14:ligatures w14:val="none"/>
        </w:rPr>
        <w:noBreakHyphen/>
        <w:t>impact external negotiations</w:t>
      </w:r>
    </w:p>
    <w:p w14:paraId="783E87E6" w14:textId="77777777" w:rsidR="007A4426" w:rsidRPr="007A4426" w:rsidRDefault="007A4426" w:rsidP="007A4426">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Arbitration of growth vs reputation trade</w:t>
      </w:r>
      <w:r>
        <w:rPr>
          <w:rFonts w:ascii="Segoe UI" w:eastAsia="Times New Roman" w:hAnsi="Segoe UI" w:cs="Segoe UI"/>
          <w:kern w:val="0"/>
          <w:sz w:val="21"/>
          <w:szCs w:val="21"/>
          <w14:ligatures w14:val="none"/>
        </w:rPr>
        <w:noBreakHyphen/>
        <w:t>offs</w:t>
      </w:r>
    </w:p>
    <w:p w14:paraId="11F0890E" w14:textId="77777777" w:rsidR="007A4426" w:rsidRPr="007A4426" w:rsidRDefault="007A4426" w:rsidP="007A4426">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Acceptance of competitive and reputational risk</w:t>
      </w:r>
    </w:p>
    <w:p w14:paraId="30000002" w14:textId="1A403BAE" w:rsidR="00000000" w:rsidRDefault="001A2D4C" w:rsidP="007A4426">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lang w:val="en-US"/>
          <w14:ligatures w14:val="none"/>
        </w:rPr>
        <w:t>O</w:t>
      </w:r>
      <w:r w:rsidR="00000000">
        <w:rPr>
          <w:rFonts w:ascii="Segoe UI" w:eastAsia="Times New Roman" w:hAnsi="Segoe UI" w:cs="Segoe UI"/>
          <w:kern w:val="0"/>
          <w:sz w:val="21"/>
          <w:szCs w:val="21"/>
          <w14:ligatures w14:val="none"/>
        </w:rPr>
        <w:t>versight of innovation pipeline governance, Innovation Engine proposals, and product capability launches (5‑Director configuration only; this responsibility transfers to the CPO or CPO/CTO upon activation)</w:t>
      </w:r>
    </w:p>
    <w:p w14:paraId="10000011" w14:textId="20000011" w:rsidR="00000000" w:rsidRDefault="00000000"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Rationale:</w:t>
      </w:r>
      <w:r>
        <w:rPr>
          <w:rFonts w:ascii="Segoe UI" w:eastAsia="Times New Roman" w:hAnsi="Segoe UI" w:cs="Segoe UI"/>
          <w:kern w:val="0"/>
          <w:sz w:val="21"/>
          <w:szCs w:val="21"/>
          <w14:ligatures w14:val="none"/>
        </w:rPr>
        <w:t xml:space="preserve"> Autonomous market behavior can produce locally rational but globally harmful outcomes. Human oversight is required where external perception, trust, and strategic posture are at stake.</w:t>
      </w:r>
    </w:p>
    <w:p w14:paraId="10000012" w14:textId="20000012" w:rsidR="00000000" w:rsidRDefault="00000000"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Markets are inherently adversarial, relational, and perception–driven environments where autonomous agents optimizing for measurable objectives can produce unintended strategic consequences. An autonomous pricing agent maximizing short–term revenue might trigger a price war; an autonomous negotiation agent optimizing contract terms might damage a critical partnership; an autonomous competitive response agent might commit the enterprise to a market position that conflicts with long–term strategy. The Market </w:t>
      </w:r>
      <w:r>
        <w:rPr>
          <w:rFonts w:ascii="Segoe UI" w:eastAsia="Times New Roman" w:hAnsi="Segoe UI" w:cs="Segoe UI"/>
          <w:kern w:val="0"/>
          <w:sz w:val="21"/>
          <w:szCs w:val="21"/>
          <w14:ligatures w14:val="none"/>
        </w:rPr>
        <w:t>Director’s role maps directly to the Reputational Risk dimension of the BOSS Score (weighted High at 3.0 in the default configuration) and aligns with RepTrak and SASB reputational risk frameworks. ADAM’s Market Interface Work Group autonomously manages customer interactions, partner and vendor coordination, market intelligence, demand signals, and reputation monitoring—but the strategic judgment required to balance growth against reputation, short–term gains against long–term positioning, and competitive a</w:t>
      </w:r>
      <w:r>
        <w:rPr>
          <w:rFonts w:ascii="Segoe UI" w:eastAsia="Times New Roman" w:hAnsi="Segoe UI" w:cs="Segoe UI"/>
          <w:kern w:val="0"/>
          <w:sz w:val="21"/>
          <w:szCs w:val="21"/>
          <w14:ligatures w14:val="none"/>
        </w:rPr>
        <w:t>ggression against ecosystem health demands a human authority who understands the external landscape in ways that autonomous agents cannot fully model. Without a dedicated market director, strategic market accountability would default to the CEO—overloading the primary director with operational market decisions that require specialized domain expertise.</w:t>
      </w:r>
    </w:p>
    <w:p w14:paraId="773E144F" w14:textId="77777777" w:rsidR="007A4426" w:rsidRPr="007A4426" w:rsidRDefault="007A4426" w:rsidP="00483071">
      <w:pPr>
        <w:pStyle w:val="Heading3"/>
        <w:rPr>
          <w:rFonts w:eastAsia="Times New Roman"/>
        </w:rPr>
      </w:pPr>
      <w:bookmarkStart w:id="10" w:name="_Toc226998472"/>
      <w:r>
        <w:rPr>
          <w:rFonts w:eastAsia="Times New Roman"/>
        </w:rPr>
        <w:t>A.4.5 Chief Security &amp; Resilience Director (CISO</w:t>
      </w:r>
      <w:r>
        <w:rPr>
          <w:rFonts w:eastAsia="Times New Roman"/>
        </w:rPr>
        <w:noBreakHyphen/>
        <w:t>Equivalent)</w:t>
      </w:r>
      <w:bookmarkEnd w:id="10"/>
    </w:p>
    <w:p w14:paraId="1000000B" w14:textId="2000000B" w:rsidR="00000000" w:rsidRDefault="00000000"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Role in ADAM:</w:t>
      </w:r>
      <w:r>
        <w:rPr>
          <w:rFonts w:ascii="Segoe UI" w:eastAsia="Times New Roman" w:hAnsi="Segoe UI" w:cs="Segoe UI"/>
          <w:kern w:val="0"/>
          <w:sz w:val="21"/>
          <w:szCs w:val="21"/>
          <w14:ligatures w14:val="none"/>
        </w:rPr>
        <w:t xml:space="preserve"> The CISO is the </w:t>
      </w:r>
      <w:r>
        <w:rPr>
          <w:rFonts w:ascii="Segoe UI" w:eastAsia="Times New Roman" w:hAnsi="Segoe UI" w:cs="Segoe UI"/>
          <w:b/>
          <w:bCs/>
          <w:kern w:val="0"/>
          <w:sz w:val="21"/>
          <w:szCs w:val="21"/>
          <w14:ligatures w14:val="none"/>
        </w:rPr>
        <w:t>accountable human authority for security posture, operational resilience, trust enforcement, and cyber–physical risk governance</w:t>
      </w:r>
      <w:r>
        <w:rPr>
          <w:rFonts w:ascii="Segoe UI" w:eastAsia="Times New Roman" w:hAnsi="Segoe UI" w:cs="Segoe UI"/>
          <w:kern w:val="0"/>
          <w:sz w:val="21"/>
          <w:szCs w:val="21"/>
          <w14:ligatures w14:val="none"/>
        </w:rPr>
        <w:t xml:space="preserve"> within ADAM. The CISO ensures that autonomous security and resilience decisions—threat detection and response, identity and access governance, incident forensics, security policy enforcement, </w:t>
      </w:r>
      <w:r>
        <w:rPr>
          <w:rFonts w:ascii="Segoe UI" w:eastAsia="Times New Roman" w:hAnsi="Segoe UI" w:cs="Segoe UI"/>
          <w:kern w:val="0"/>
          <w:sz w:val="21"/>
          <w:szCs w:val="21"/>
          <w14:ligatures w14:val="none"/>
        </w:rPr>
        <w:lastRenderedPageBreak/>
        <w:t>business continuity, and catastrophic scenario handling—maintain system integrity, trust boundaries, and operational continuity across all domains.</w:t>
      </w:r>
    </w:p>
    <w:p w14:paraId="1000000C" w14:textId="2000000C" w:rsidR="00000000" w:rsidRDefault="00000000"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The CISO interfaces with ADAM through two agentic work groups—Security &amp; Trust Enforcement and Operational Continuity &amp; Resilience—and the Autonomy Governance Division, which manages autonomy budgets, authority boundaries, trust zones, and decision gating across the entire agent mesh. The CISO is unique among the five base directors in that the CISO’s governance scope extends beyond a single Governor Agent domain to encompass the systemic security and resilience posture of the autonomous system itself. The </w:t>
      </w:r>
      <w:r>
        <w:rPr>
          <w:rFonts w:ascii="Segoe UI" w:eastAsia="Times New Roman" w:hAnsi="Segoe UI" w:cs="Segoe UI"/>
          <w:kern w:val="0"/>
          <w:sz w:val="21"/>
          <w:szCs w:val="21"/>
          <w14:ligatures w14:val="none"/>
        </w:rPr>
        <w:t>CISO defines security and resilience thresholds through the CORE Graph, approves emergency autonomy throttling when ADAM’s operational integrity is at risk, and serves as the escalation authority when the BOSS score’s Security Impact dimension—weighted Top priority (5.0) in the default configuration and the only dimension permitted to hold that weight—triggers HIGH or OHSHAT–level exceptions. The CISO also owns incident disclosure and response, ensuring that breaches, failures, or resilience events are comm</w:t>
      </w:r>
      <w:r>
        <w:rPr>
          <w:rFonts w:ascii="Segoe UI" w:eastAsia="Times New Roman" w:hAnsi="Segoe UI" w:cs="Segoe UI"/>
          <w:kern w:val="0"/>
          <w:sz w:val="21"/>
          <w:szCs w:val="21"/>
          <w14:ligatures w14:val="none"/>
        </w:rPr>
        <w:t>unicated to regulators, boards, and affected parties within required timeframes.</w:t>
      </w:r>
    </w:p>
    <w:p w14:paraId="239E1848" w14:textId="77777777" w:rsidR="007A4426" w:rsidRPr="007A4426" w:rsidRDefault="007A4426"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ADAM Interface</w:t>
      </w:r>
    </w:p>
    <w:p w14:paraId="0316461F" w14:textId="77777777" w:rsidR="007A4426" w:rsidRPr="007A4426" w:rsidRDefault="007A4426" w:rsidP="007A4426">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Security &amp; Trust Enforcement Agentic Work Group</w:t>
      </w:r>
    </w:p>
    <w:p w14:paraId="088CBD13" w14:textId="77777777" w:rsidR="007A4426" w:rsidRPr="007A4426" w:rsidRDefault="007A4426" w:rsidP="007A4426">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Operational Continuity &amp; Resilience Agentic Work Group</w:t>
      </w:r>
    </w:p>
    <w:p w14:paraId="1A3E4305" w14:textId="77777777" w:rsidR="007A4426" w:rsidRPr="007A4426" w:rsidRDefault="007A4426" w:rsidP="007A4426">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Autonomy Governance Division</w:t>
      </w:r>
    </w:p>
    <w:p w14:paraId="619DDB5D" w14:textId="77777777" w:rsidR="007A4426" w:rsidRPr="007A4426" w:rsidRDefault="007A4426"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Governance Responsibilities</w:t>
      </w:r>
    </w:p>
    <w:p w14:paraId="7FF57774" w14:textId="77777777" w:rsidR="007A4426" w:rsidRPr="007A4426" w:rsidRDefault="007A4426" w:rsidP="007A4426">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Definition of security and resilience thresholds</w:t>
      </w:r>
    </w:p>
    <w:p w14:paraId="06F49E9F" w14:textId="77777777" w:rsidR="007A4426" w:rsidRPr="007A4426" w:rsidRDefault="007A4426" w:rsidP="007A4426">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Approval of emergency autonomy throttling</w:t>
      </w:r>
    </w:p>
    <w:p w14:paraId="7175E870" w14:textId="77777777" w:rsidR="007A4426" w:rsidRPr="007A4426" w:rsidRDefault="007A4426" w:rsidP="007A4426">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Oversight of incident disclosure and response</w:t>
      </w:r>
    </w:p>
    <w:p w14:paraId="5363171C" w14:textId="77777777" w:rsidR="007A4426" w:rsidRPr="007A4426" w:rsidRDefault="007A4426" w:rsidP="007A4426">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Acceptance of cyber</w:t>
      </w:r>
      <w:r>
        <w:rPr>
          <w:rFonts w:ascii="Segoe UI" w:eastAsia="Times New Roman" w:hAnsi="Segoe UI" w:cs="Segoe UI"/>
          <w:kern w:val="0"/>
          <w:sz w:val="21"/>
          <w:szCs w:val="21"/>
          <w14:ligatures w14:val="none"/>
        </w:rPr>
        <w:noBreakHyphen/>
        <w:t>physical risk exposure</w:t>
      </w:r>
    </w:p>
    <w:p w14:paraId="10000013" w14:textId="20000013" w:rsidR="00000000" w:rsidRDefault="00000000"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Rationale:</w:t>
      </w:r>
      <w:r>
        <w:rPr>
          <w:rFonts w:ascii="Segoe UI" w:eastAsia="Times New Roman" w:hAnsi="Segoe UI" w:cs="Segoe UI"/>
          <w:kern w:val="0"/>
          <w:sz w:val="21"/>
          <w:szCs w:val="21"/>
          <w14:ligatures w14:val="none"/>
        </w:rPr>
        <w:t xml:space="preserve"> At high autonomy, security and resilience become systemic rather than operational concerns. A single human authority is required for escalation and external accountability.</w:t>
      </w:r>
    </w:p>
    <w:p w14:paraId="10000014" w14:textId="20000014" w:rsidR="00000000" w:rsidRDefault="00000000"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In a fully autonomous enterprise, the security surface area is the entire system. Every agent, every communication channel, every data flow, and every external interface is a potential attack vector or failure point. ADAM’s Security &amp; Trust Enforcement Work Group autonomously manages identity and access governance, threat detection and response, security policy enforcement, and incident forensics, while the Operational Continuity Work Group handles cross–system dependency awareness, failure recovery orchest</w:t>
      </w:r>
      <w:r>
        <w:rPr>
          <w:rFonts w:ascii="Segoe UI" w:eastAsia="Times New Roman" w:hAnsi="Segoe UI" w:cs="Segoe UI"/>
          <w:kern w:val="0"/>
          <w:sz w:val="21"/>
          <w:szCs w:val="21"/>
          <w14:ligatures w14:val="none"/>
        </w:rPr>
        <w:t>ration, business continuity, resilience testing, and catastrophic scenario handling. The CISO’s role maps directly to the Security Impact dimension of the BOSS Score—the only dimension permitted to hold Top priority weighting (5.0) in the default configuration—and aligns with NIST Cybersecurity Framework, MITRE ATT&amp;CK, CMMC, and NIS2 directive requirements. Under NIS2, essential and important entities must designate a management–level authority responsible for cybersecurity risk management and incident repo</w:t>
      </w:r>
      <w:r>
        <w:rPr>
          <w:rFonts w:ascii="Segoe UI" w:eastAsia="Times New Roman" w:hAnsi="Segoe UI" w:cs="Segoe UI"/>
          <w:kern w:val="0"/>
          <w:sz w:val="21"/>
          <w:szCs w:val="21"/>
          <w14:ligatures w14:val="none"/>
        </w:rPr>
        <w:t xml:space="preserve">rting. The CISO is that authority within ADAM. The CISO also governs the Autonomy Governance Division—the meta–layer that controls how much autonomy ADAM’s agents are </w:t>
      </w:r>
      <w:r>
        <w:rPr>
          <w:rFonts w:ascii="Segoe UI" w:eastAsia="Times New Roman" w:hAnsi="Segoe UI" w:cs="Segoe UI"/>
          <w:kern w:val="0"/>
          <w:sz w:val="21"/>
          <w:szCs w:val="21"/>
          <w14:ligatures w14:val="none"/>
        </w:rPr>
        <w:lastRenderedPageBreak/>
        <w:t xml:space="preserve">permitted to exercise—making the CISO the ultimate guardian of the system’s own operational boundaries. Without a dedicated security and resilience director, these systemic concerns would be subsumed into the CEO’s already broad accountability, or fragmented across directors who lack the specialized security and resilience competency required </w:t>
      </w:r>
      <w:r>
        <w:rPr>
          <w:rFonts w:ascii="Segoe UI" w:eastAsia="Times New Roman" w:hAnsi="Segoe UI" w:cs="Segoe UI"/>
          <w:kern w:val="0"/>
          <w:sz w:val="21"/>
          <w:szCs w:val="21"/>
          <w14:ligatures w14:val="none"/>
        </w:rPr>
        <w:t>to govern an autonomous system’s trust boundaries.</w:t>
      </w:r>
    </w:p>
    <w:p w14:paraId="21B00001" w14:textId="21B00001" w:rsidR="00A955DD" w:rsidRDefault="00000000" w:rsidP="00483071">
      <w:pPr>
        <w:pStyle w:val="Heading2"/>
        <w:rPr>
          <w:rFonts w:eastAsia="Times New Roman"/>
        </w:rPr>
      </w:pPr>
      <w:bookmarkStart w:id="11" w:name="_Toc226998473"/>
      <w:r>
        <w:rPr>
          <w:rFonts w:eastAsia="Times New Roman"/>
        </w:rPr>
        <w:t>A.4.6 Optional Extended Directorship: CPO and/or CTO</w:t>
      </w:r>
      <w:bookmarkEnd w:id="11"/>
    </w:p>
    <w:p w14:paraId="21B00002" w14:textId="21B00002" w:rsidR="00A955DD" w:rsidRDefault="00000000"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The five mandatory directors defined in A.4.1 through A.4.5 form ADAM’s canonical governance minimum. However, as enterprises grow in scale, enter new markets, pursue mergers and acquisitions, or accelerate innovation cycles, the governance surface area expands beyond what the original five directors can effectively cover without overloading individual accountability boundaries.</w:t>
      </w:r>
    </w:p>
    <w:p w14:paraId="21B00003" w14:textId="21B00003" w:rsidR="00A955DD" w:rsidRDefault="00000000"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ADAM therefore provides two optional director roles—the Chief Product Officer (CPO) and the Chief Technology Officer (CTO)—that may be activated individually, combined into a single CPO/CTO role, or omitted entirely based on organizational need. Activation is configured during ADAM deployment through the DNA Questionnaire (Section 2: Governance Model) and recorded in the CORE Graph as a governance configuration event.</w:t>
      </w:r>
    </w:p>
    <w:p w14:paraId="21B00004" w14:textId="21B00004" w:rsidR="00A955DD" w:rsidRDefault="00000000" w:rsidP="007A4426">
      <w:pPr>
        <w:spacing w:before="100" w:beforeAutospacing="1" w:after="100" w:afterAutospacing="1" w:line="300" w:lineRule="atLeast"/>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t>Deployment Configurations</w:t>
      </w:r>
    </w:p>
    <w:p w14:paraId="21B00005" w14:textId="21B00005" w:rsidR="00A955DD" w:rsidRDefault="00000000" w:rsidP="007A4426">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5‑Director Model (Default):</w:t>
      </w:r>
      <w:r>
        <w:rPr>
          <w:rFonts w:ascii="Segoe UI" w:eastAsia="Times New Roman" w:hAnsi="Segoe UI" w:cs="Segoe UI"/>
          <w:kern w:val="0"/>
          <w:sz w:val="21"/>
          <w:szCs w:val="21"/>
          <w14:ligatures w14:val="none"/>
        </w:rPr>
        <w:t xml:space="preserve"> CEO, CFO, Legal Director, Market Director, CISO. Product and technology accountability is distributed across existing directors (typically CEO and Market Director). Innovation governance—including oversight of the Innovation Work Group and the Product &amp; Innovation Governor Agent—is held by the Market Director until a dedicated CPO or CPO/CTO is activated.</w:t>
      </w:r>
    </w:p>
    <w:p w14:paraId="21B00006" w14:textId="21B00006" w:rsidR="00A955DD" w:rsidRDefault="00000000" w:rsidP="007A4426">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6‑Director Model (Combined CPO/CTO):</w:t>
      </w:r>
      <w:r>
        <w:rPr>
          <w:rFonts w:ascii="Segoe UI" w:eastAsia="Times New Roman" w:hAnsi="Segoe UI" w:cs="Segoe UI"/>
          <w:kern w:val="0"/>
          <w:sz w:val="21"/>
          <w:szCs w:val="21"/>
          <w14:ligatures w14:val="none"/>
        </w:rPr>
        <w:t xml:space="preserve"> Adds a single CPO/CTO director who holds combined product and technology accountability. Appropriate for mid‑tier enterprises requiring dedicated innovation governance without the overhead of two additional directors.</w:t>
      </w:r>
    </w:p>
    <w:p w14:paraId="21B00007" w14:textId="21B00007" w:rsidR="00A955DD" w:rsidRDefault="00000000" w:rsidP="007A4426">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7‑Director Model (Separate CPO + CTO):</w:t>
      </w:r>
      <w:r>
        <w:rPr>
          <w:rFonts w:ascii="Segoe UI" w:eastAsia="Times New Roman" w:hAnsi="Segoe UI" w:cs="Segoe UI"/>
          <w:kern w:val="0"/>
          <w:sz w:val="21"/>
          <w:szCs w:val="21"/>
          <w14:ligatures w14:val="none"/>
        </w:rPr>
        <w:t xml:space="preserve"> Adds both directors as independent roles. Appropriate for large enterprises undergoing rapid innovation, M&amp;A activity, or significant technology platform transformation where product strategy and technology execution demand separate accountability chains.</w:t>
      </w:r>
    </w:p>
    <w:p w14:paraId="21B00008" w14:textId="21B00008" w:rsidR="00A955DD" w:rsidRDefault="00000000" w:rsidP="00483071">
      <w:pPr>
        <w:pStyle w:val="Heading3"/>
        <w:rPr>
          <w:rFonts w:eastAsia="Times New Roman"/>
        </w:rPr>
      </w:pPr>
      <w:bookmarkStart w:id="12" w:name="_Toc226998474"/>
      <w:r>
        <w:rPr>
          <w:rFonts w:eastAsia="Times New Roman"/>
        </w:rPr>
        <w:t>A.4.6.1 Chief Product Officer (CPO) — Product Strategy &amp; Innovation Director</w:t>
      </w:r>
      <w:bookmarkEnd w:id="12"/>
    </w:p>
    <w:p w14:paraId="21B00009" w14:textId="21B00009" w:rsidR="00A955DD" w:rsidRDefault="00000000"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Role in ADAM:</w:t>
      </w:r>
      <w:r>
        <w:rPr>
          <w:rFonts w:ascii="Segoe UI" w:eastAsia="Times New Roman" w:hAnsi="Segoe UI" w:cs="Segoe UI"/>
          <w:kern w:val="0"/>
          <w:sz w:val="21"/>
          <w:szCs w:val="21"/>
          <w14:ligatures w14:val="none"/>
        </w:rPr>
        <w:t xml:space="preserve"> The CPO is the </w:t>
      </w:r>
      <w:r>
        <w:rPr>
          <w:rFonts w:ascii="Segoe UI" w:eastAsia="Times New Roman" w:hAnsi="Segoe UI" w:cs="Segoe UI"/>
          <w:b/>
          <w:bCs/>
          <w:kern w:val="0"/>
          <w:sz w:val="21"/>
          <w:szCs w:val="21"/>
          <w14:ligatures w14:val="none"/>
        </w:rPr>
        <w:t>accountable human authority for product strategy, innovation governance, and customer‑facing capability evolution</w:t>
      </w:r>
      <w:r>
        <w:rPr>
          <w:rFonts w:ascii="Segoe UI" w:eastAsia="Times New Roman" w:hAnsi="Segoe UI" w:cs="Segoe UI"/>
          <w:kern w:val="0"/>
          <w:sz w:val="21"/>
          <w:szCs w:val="21"/>
          <w14:ligatures w14:val="none"/>
        </w:rPr>
        <w:t xml:space="preserve"> within ADAM. The CPO ensures that autonomous product decisions—feature launches, capability additions, product lifecycle management, and innovation pipeline governance—remain aligned with market intent, customer value, and the CORE doctrine.</w:t>
      </w:r>
    </w:p>
    <w:p w14:paraId="21B0000A" w14:textId="21B0000A" w:rsidR="00A955DD" w:rsidRDefault="00000000" w:rsidP="007A4426">
      <w:pPr>
        <w:spacing w:before="100" w:beforeAutospacing="1" w:after="100" w:afterAutospacing="1" w:line="300" w:lineRule="atLeast"/>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t>ADAM Interface</w:t>
      </w:r>
    </w:p>
    <w:p w14:paraId="21B0000B" w14:textId="21B0000B" w:rsidR="00A955DD" w:rsidRDefault="00000000" w:rsidP="007A4426">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lastRenderedPageBreak/>
        <w:t>Innovation Work Group (Part XII of ADAM)</w:t>
      </w:r>
    </w:p>
    <w:p w14:paraId="21B0000C" w14:textId="001D01F4" w:rsidR="00A955DD" w:rsidRDefault="00000000" w:rsidP="007A4426">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Product &amp; Innovation Governor  Agent</w:t>
      </w:r>
    </w:p>
    <w:p w14:paraId="21B0000D" w14:textId="21B0000D" w:rsidR="00A955DD" w:rsidRDefault="00000000" w:rsidP="007A4426">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Customer &amp; Market Alignment Agentic Work Group</w:t>
      </w:r>
    </w:p>
    <w:p w14:paraId="21B0000E" w14:textId="21B0000E" w:rsidR="00A955DD" w:rsidRDefault="00000000" w:rsidP="007A4426">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Tiered Digital Twin Control Plane (Product and Operational Twins)</w:t>
      </w:r>
    </w:p>
    <w:p w14:paraId="21B0000F" w14:textId="21B0000F" w:rsidR="00A955DD" w:rsidRDefault="00000000" w:rsidP="007A4426">
      <w:pPr>
        <w:spacing w:before="100" w:beforeAutospacing="1" w:after="100" w:afterAutospacing="1" w:line="300" w:lineRule="atLeast"/>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t>Governance Responsibilities</w:t>
      </w:r>
    </w:p>
    <w:p w14:paraId="21B00010" w14:textId="21B00010" w:rsidR="00A955DD" w:rsidRDefault="00000000" w:rsidP="007A4426">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Ownership of product strategy intent and product roadmap doctrine</w:t>
      </w:r>
    </w:p>
    <w:p w14:paraId="21B00011" w14:textId="21B00011" w:rsidR="00A955DD" w:rsidRDefault="00000000" w:rsidP="007A4426">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Approval authority for Innovation Engine proposals exceeding product‑domain BOSS thresholds</w:t>
      </w:r>
    </w:p>
    <w:p w14:paraId="21B00012" w14:textId="21B00012" w:rsidR="00A955DD" w:rsidRDefault="00000000" w:rsidP="007A4426">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Oversight of customer‑facing capability launches and product lifecycle governance</w:t>
      </w:r>
    </w:p>
    <w:p w14:paraId="21B00013" w14:textId="21B00013" w:rsidR="00A955DD" w:rsidRDefault="00000000" w:rsidP="007A4426">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Accountability for M&amp;A product integration strategy and portfolio rationalization</w:t>
      </w:r>
    </w:p>
    <w:p w14:paraId="21B00014" w14:textId="21B00014" w:rsidR="00A955DD" w:rsidRDefault="00000000" w:rsidP="007A4426">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Validation of product‑domain risk exposure across Reputational Risk and Rights Certainty BOSS dimensions</w:t>
      </w:r>
    </w:p>
    <w:p w14:paraId="21B00015" w14:textId="21B00015" w:rsidR="00A955DD" w:rsidRDefault="00000000"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Rationale</w:t>
      </w:r>
      <w:r>
        <w:rPr>
          <w:rFonts w:ascii="Segoe UI" w:eastAsia="Times New Roman" w:hAnsi="Segoe UI" w:cs="Segoe UI"/>
          <w:kern w:val="0"/>
          <w:sz w:val="21"/>
          <w:szCs w:val="21"/>
          <w14:ligatures w14:val="none"/>
        </w:rPr>
        <w:t xml:space="preserve"> As enterprises scale, product decisions carry increasing strategic, reputational, and financial weight. Autonomous product agents may launch features, modify pricing structures, or retire capabilities based on doctrine and BOSS scoring alone. At scale, these decisions aggregate into market‑defining actions that demand dedicated human accountability separate from the Market Director’s external‑negotiation focus. The CPO provides focused product‑domain governance, ensuring that innovation velocity does not outpace strategic coherence or customer trust.</w:t>
      </w:r>
    </w:p>
    <w:p w14:paraId="21B00016" w14:textId="21B00016" w:rsidR="00A955DD" w:rsidRDefault="00000000" w:rsidP="00483071">
      <w:pPr>
        <w:pStyle w:val="Heading3"/>
        <w:rPr>
          <w:rFonts w:eastAsia="Times New Roman"/>
        </w:rPr>
      </w:pPr>
      <w:bookmarkStart w:id="13" w:name="_Toc226998475"/>
      <w:r>
        <w:rPr>
          <w:rFonts w:eastAsia="Times New Roman"/>
        </w:rPr>
        <w:t>A.4.6.2 Chief Technology Officer (CTO) — Technology Architecture &amp; Platform Director</w:t>
      </w:r>
      <w:bookmarkEnd w:id="13"/>
    </w:p>
    <w:p w14:paraId="21B00017" w14:textId="21B00017" w:rsidR="00A955DD" w:rsidRDefault="00000000"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Role in ADAM:</w:t>
      </w:r>
      <w:r>
        <w:rPr>
          <w:rFonts w:ascii="Segoe UI" w:eastAsia="Times New Roman" w:hAnsi="Segoe UI" w:cs="Segoe UI"/>
          <w:kern w:val="0"/>
          <w:sz w:val="21"/>
          <w:szCs w:val="21"/>
          <w14:ligatures w14:val="none"/>
        </w:rPr>
        <w:t xml:space="preserve"> The CTO is the </w:t>
      </w:r>
      <w:r>
        <w:rPr>
          <w:rFonts w:ascii="Segoe UI" w:eastAsia="Times New Roman" w:hAnsi="Segoe UI" w:cs="Segoe UI"/>
          <w:b/>
          <w:bCs/>
          <w:kern w:val="0"/>
          <w:sz w:val="21"/>
          <w:szCs w:val="21"/>
          <w14:ligatures w14:val="none"/>
        </w:rPr>
        <w:t>accountable human authority for technology platform decisions, architectural evolution, and infrastructure sovereignty</w:t>
      </w:r>
      <w:r>
        <w:rPr>
          <w:rFonts w:ascii="Segoe UI" w:eastAsia="Times New Roman" w:hAnsi="Segoe UI" w:cs="Segoe UI"/>
          <w:kern w:val="0"/>
          <w:sz w:val="21"/>
          <w:szCs w:val="21"/>
          <w14:ligatures w14:val="none"/>
        </w:rPr>
        <w:t xml:space="preserve"> within ADAM. The CTO ensures that autonomous platform decisions—infrastructure scaling, technology stack evolution, agent runtime updates, cloud migration, and multi‑cloud failover configuration—remain architecturally sound, sovereignty‑compliant, and aligned with the SEAL framework objectives. In the 7‑Director configuration, the CTO also provides the technology enablement layer for innovation—owning the infrastructure, simulation environments, and AI model stewardship that the Innovation Work Group and the CPO’s product innovation pipeline depend upon. While the CPO governs what gets innovated (product strategy and capability launches), the CTO governs how innovation is technically enabled, tested, and safely deployed at scale.</w:t>
      </w:r>
    </w:p>
    <w:p w14:paraId="21B00018" w14:textId="21B00018" w:rsidR="00A955DD" w:rsidRDefault="00000000" w:rsidP="007A4426">
      <w:pPr>
        <w:spacing w:before="100" w:beforeAutospacing="1" w:after="100" w:afterAutospacing="1" w:line="300" w:lineRule="atLeast"/>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t>ADAM Interface</w:t>
      </w:r>
    </w:p>
    <w:p w14:paraId="21B00019" w14:textId="21B00019" w:rsidR="00A955DD" w:rsidRDefault="00000000" w:rsidP="007A4426">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Platform Engineering &amp; Architecture Agentic Work Group</w:t>
      </w:r>
    </w:p>
    <w:p w14:paraId="21B0001A" w14:textId="21B0001A" w:rsidR="00A955DD" w:rsidRDefault="00000000" w:rsidP="007A4426">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Model Stewardship &amp; AI‑Centric Division</w:t>
      </w:r>
    </w:p>
    <w:p w14:paraId="21B0001B" w14:textId="21B0001B" w:rsidR="00A955DD" w:rsidRDefault="00000000" w:rsidP="007A4426">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Stability &amp; Drift Plane (architectural drift detection)</w:t>
      </w:r>
    </w:p>
    <w:p w14:paraId="21B0001C" w14:textId="21B0001C" w:rsidR="00A955DD" w:rsidRDefault="00000000" w:rsidP="007A4426">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Interoperability Plane (vendor and protocol governance)</w:t>
      </w:r>
    </w:p>
    <w:p w14:paraId="30000003" w14:textId="40000003" w:rsidR="00000000" w:rsidRDefault="00000000" w:rsidP="007A4426">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Innovation Work Group (technology enablement layer; in 7‑Director configuration, provides infrastructure and simulation support for CPO‑governed innovation pipeline)</w:t>
      </w:r>
    </w:p>
    <w:p w14:paraId="21B0001D" w14:textId="21B0001D" w:rsidR="00A955DD" w:rsidRDefault="00000000" w:rsidP="007A4426">
      <w:pPr>
        <w:spacing w:before="100" w:beforeAutospacing="1" w:after="100" w:afterAutospacing="1" w:line="300" w:lineRule="atLeast"/>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lastRenderedPageBreak/>
        <w:t>Governance Responsibilities</w:t>
      </w:r>
    </w:p>
    <w:p w14:paraId="21B0001E" w14:textId="21B0001E" w:rsidR="00A955DD" w:rsidRDefault="00000000" w:rsidP="007A4426">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Ownership of technology platform architecture and infrastructure evolution strategy</w:t>
      </w:r>
    </w:p>
    <w:p w14:paraId="21B0001F" w14:textId="21B0001F" w:rsidR="00A955DD" w:rsidRDefault="00000000" w:rsidP="007A4426">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Approval authority for multi‑cloud failover configuration changes and cloud provider transitions</w:t>
      </w:r>
    </w:p>
    <w:p w14:paraId="21B00020" w14:textId="21B00020" w:rsidR="00A955DD" w:rsidRDefault="00000000" w:rsidP="007A4426">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Oversight of AI model stewardship, agent runtime updates, and vendor‑neutral interoperability</w:t>
      </w:r>
    </w:p>
    <w:p w14:paraId="21B00021" w14:textId="21B00021" w:rsidR="00A955DD" w:rsidRDefault="00000000" w:rsidP="007A4426">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Accountability for SEAL sovereignty compliance at the infrastructure layer (SOV‑5 Supply Chain, SOV‑6 Technology)</w:t>
      </w:r>
    </w:p>
    <w:p w14:paraId="21B00022" w14:textId="21B00022" w:rsidR="00A955DD" w:rsidRDefault="00000000" w:rsidP="007A4426">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Validation of technology‑domain risk exposure across Sovereignty Action and Doctrinal Alignment BOSS dimensions</w:t>
      </w:r>
    </w:p>
    <w:p w14:paraId="30000004" w14:textId="40000004" w:rsidR="00000000" w:rsidRDefault="00000000" w:rsidP="007A4426">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Technology enablement of the innovation pipeline—ensuring that simulation environments, AI model infrastructure, and agent runtime capabilities support the CPO’s innovation governance objectives (7‑Director configuration)</w:t>
      </w:r>
    </w:p>
    <w:p w14:paraId="21B00023" w14:textId="21B00023" w:rsidR="00A955DD" w:rsidRDefault="00000000"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Rationale</w:t>
      </w:r>
      <w:r>
        <w:rPr>
          <w:rFonts w:ascii="Segoe UI" w:eastAsia="Times New Roman" w:hAnsi="Segoe UI" w:cs="Segoe UI"/>
          <w:kern w:val="0"/>
          <w:sz w:val="21"/>
          <w:szCs w:val="21"/>
          <w14:ligatures w14:val="none"/>
        </w:rPr>
        <w:t xml:space="preserve"> At enterprise scale, technology platform decisions—cloud provider selection, agent runtime architecture, AI model procurement, and multi‑cloud failover strategy—carry existential sovereignty and financial risk. These decisions directly impact SEAL compliance (SOV‑5 Supply Chain Sovereignty, SOV‑6 Technology Sovereignty) and the Doctrinal Alignment BOSS dimension. Without a dedicated technology director, platform accountability fragments across the CISO (security) and CFO (cost), creating governance gaps in architectural evolution, vendor lock‑in risk, and technology debt accumulation. The CTO provides the singular human authority for technology platform integrity, ensuring that autonomous infrastructure decisions remain sovereignty‑compliant, architecturally coherent, and aligned with long‑term enterprise capability requirements.</w:t>
      </w:r>
    </w:p>
    <w:p w14:paraId="21B00024" w14:textId="21B00024" w:rsidR="00A955DD" w:rsidRDefault="00000000" w:rsidP="00483071">
      <w:pPr>
        <w:pStyle w:val="Heading3"/>
        <w:rPr>
          <w:rFonts w:eastAsia="Times New Roman"/>
        </w:rPr>
      </w:pPr>
      <w:bookmarkStart w:id="14" w:name="_Toc226998476"/>
      <w:r>
        <w:rPr>
          <w:rFonts w:eastAsia="Times New Roman"/>
        </w:rPr>
        <w:t>A.4.6.3 Combined CPO/CTO Role (6‑Director Configuration)</w:t>
      </w:r>
      <w:bookmarkEnd w:id="14"/>
    </w:p>
    <w:p w14:paraId="21B00025" w14:textId="21B00025" w:rsidR="00A955DD" w:rsidRDefault="00000000"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When deployed as a combined role, the CPO/CTO holds the full governance responsibilities of both A.4.6.1 and A.4.6.2. This configuration is appropriate when:</w:t>
      </w:r>
    </w:p>
    <w:p w14:paraId="21B00026" w14:textId="21B00026" w:rsidR="00A955DD" w:rsidRDefault="00000000" w:rsidP="007A4426">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Product and technology strategy are tightly coupled and a single leader can maintain coherent oversight of both</w:t>
      </w:r>
    </w:p>
    <w:p w14:paraId="21B00027" w14:textId="21B00027" w:rsidR="00A955DD" w:rsidRDefault="00000000" w:rsidP="007A4426">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The enterprise has not yet reached the scale where product and platform decisions generate conflicting governance demands</w:t>
      </w:r>
    </w:p>
    <w:p w14:paraId="21B00028" w14:textId="21B00028" w:rsidR="00A955DD" w:rsidRDefault="00000000" w:rsidP="007A4426">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The organization desires dedicated innovation governance without expanding the directorship to seven members</w:t>
      </w:r>
    </w:p>
    <w:p w14:paraId="21B00029" w14:textId="21B00029" w:rsidR="00A955DD" w:rsidRDefault="00000000"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When the combined role is activated, the CPO/CTO interfaces with all ADAM agent groups and planes listed in both A.4.6.1 and A.4.6.2, and holds unified escalation authority for both product‑domain and technology‑domain exceptions. The BOSS routing engine recognizes the combined role and routes exceptions from both domains to a single director queue. Critically, the combined CPO/CTO assumes full governance authority over the Innovation Work Group and the Product &amp; Innovation Governor Agent—responsibilities that in the 5‑Director configuration are held by the Market Director on an interim basis. Upon CPO/CTO activation, innovation pipeline governance, Innovation Engine proposal approval, and product capability launch oversight </w:t>
      </w:r>
      <w:r>
        <w:rPr>
          <w:rFonts w:ascii="Segoe UI" w:eastAsia="Times New Roman" w:hAnsi="Segoe UI" w:cs="Segoe UI"/>
          <w:kern w:val="0"/>
          <w:sz w:val="21"/>
          <w:szCs w:val="21"/>
          <w14:ligatures w14:val="none"/>
        </w:rPr>
        <w:lastRenderedPageBreak/>
        <w:t>formally transfer from the Market Director to the CPO/CTO, allowing the Market Director to focus exclusively on external market strategy and reputational governance.</w:t>
      </w:r>
    </w:p>
    <w:p w14:paraId="21B0002A" w14:textId="21B0002A" w:rsidR="00A955DD" w:rsidRDefault="00000000" w:rsidP="00483071">
      <w:pPr>
        <w:pStyle w:val="Heading3"/>
        <w:rPr>
          <w:rFonts w:eastAsia="Times New Roman"/>
        </w:rPr>
      </w:pPr>
      <w:bookmarkStart w:id="15" w:name="_Toc226998477"/>
      <w:r>
        <w:rPr>
          <w:rFonts w:eastAsia="Times New Roman"/>
        </w:rPr>
        <w:t>A.4.6.4 When to Activate the Extended Directorship</w:t>
      </w:r>
      <w:bookmarkEnd w:id="15"/>
    </w:p>
    <w:p w14:paraId="21B0002B" w14:textId="21B0002B" w:rsidR="00A955DD" w:rsidRDefault="00000000"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Organizations should consider activating the CPO and/or CTO director roles when any of the following conditions apply:</w:t>
      </w:r>
    </w:p>
    <w:p w14:paraId="21B0002C" w14:textId="21B0002C" w:rsidR="00A955DD" w:rsidRDefault="00000000" w:rsidP="007A4426">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Rapid innovation cycles</w:t>
      </w:r>
      <w:r>
        <w:rPr>
          <w:rFonts w:ascii="Segoe UI" w:eastAsia="Times New Roman" w:hAnsi="Segoe UI" w:cs="Segoe UI"/>
          <w:kern w:val="0"/>
          <w:sz w:val="21"/>
          <w:szCs w:val="21"/>
          <w14:ligatures w14:val="none"/>
        </w:rPr>
        <w:t xml:space="preserve"> where autonomous product agents are launching features, capabilities, or product variants at a pace that exceeds what the Market Director can govern alongside external negotiation responsibilities</w:t>
      </w:r>
    </w:p>
    <w:p w14:paraId="21B0002D" w14:textId="21B0002D" w:rsidR="00A955DD" w:rsidRDefault="00000000" w:rsidP="007A4426">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Mergers and acquisitions</w:t>
      </w:r>
      <w:r>
        <w:rPr>
          <w:rFonts w:ascii="Segoe UI" w:eastAsia="Times New Roman" w:hAnsi="Segoe UI" w:cs="Segoe UI"/>
          <w:kern w:val="0"/>
          <w:sz w:val="21"/>
          <w:szCs w:val="21"/>
          <w14:ligatures w14:val="none"/>
        </w:rPr>
        <w:t xml:space="preserve"> that introduce new product lines, technology platforms, or integration requirements demanding dedicated product portfolio and technology integration governance</w:t>
      </w:r>
    </w:p>
    <w:p w14:paraId="21B0002E" w14:textId="21B0002E" w:rsidR="00A955DD" w:rsidRDefault="00000000" w:rsidP="007A4426">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Multi‑cloud or hybrid complexity</w:t>
      </w:r>
      <w:r>
        <w:rPr>
          <w:rFonts w:ascii="Segoe UI" w:eastAsia="Times New Roman" w:hAnsi="Segoe UI" w:cs="Segoe UI"/>
          <w:kern w:val="0"/>
          <w:sz w:val="21"/>
          <w:szCs w:val="21"/>
          <w14:ligatures w14:val="none"/>
        </w:rPr>
        <w:t xml:space="preserve"> where infrastructure decisions carry material sovereignty, cost, and resilience implications that exceed what the CISO can govern alongside security responsibilities</w:t>
      </w:r>
    </w:p>
    <w:p w14:paraId="21B0002F" w14:textId="21B0002F" w:rsidR="00A955DD" w:rsidRDefault="00000000" w:rsidP="007A4426">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Enterprise maturity at ADAM Level 4 or 5</w:t>
      </w:r>
      <w:r>
        <w:rPr>
          <w:rFonts w:ascii="Segoe UI" w:eastAsia="Times New Roman" w:hAnsi="Segoe UI" w:cs="Segoe UI"/>
          <w:kern w:val="0"/>
          <w:sz w:val="21"/>
          <w:szCs w:val="21"/>
          <w14:ligatures w14:val="none"/>
        </w:rPr>
        <w:t xml:space="preserve"> (Enterprise Autonomy or Adaptive Autonomy on the ADAM Maturity Model) where the volume and complexity of autonomous decisions warrants finer‑grained human accountability boundaries</w:t>
      </w:r>
    </w:p>
    <w:p w14:paraId="21B00030" w14:textId="21B00030" w:rsidR="00A955DD" w:rsidRDefault="00000000"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Activation or deactivation of these optional directors is a governance configuration change that requires CEO approval, is versioned in the CORE Graph, and is recorded in the Flight Recorder. The BOSS routing engine, Trust Gateway, and Exception Economy all dynamically adapt to the configured directorship model.</w:t>
      </w:r>
    </w:p>
    <w:p w14:paraId="668584AA" w14:textId="77777777" w:rsidR="007A4426" w:rsidRPr="007A4426" w:rsidRDefault="007A4426" w:rsidP="00483071">
      <w:pPr>
        <w:pStyle w:val="Heading2"/>
        <w:rPr>
          <w:rFonts w:eastAsia="Times New Roman"/>
        </w:rPr>
      </w:pPr>
      <w:bookmarkStart w:id="16" w:name="_Toc226998478"/>
      <w:r>
        <w:rPr>
          <w:rFonts w:eastAsia="Times New Roman"/>
        </w:rPr>
        <w:t>A.5 Interaction Model Between Humans and ADAM</w:t>
      </w:r>
      <w:bookmarkEnd w:id="16"/>
    </w:p>
    <w:p w14:paraId="2B3F48DF" w14:textId="6C4EC287" w:rsidR="007A4426" w:rsidRPr="00961D44" w:rsidRDefault="007A4426"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Humans interact with ADAM only through formal interface</w:t>
      </w:r>
      <w:r>
        <w:rPr>
          <w:rFonts w:ascii="Segoe UI" w:eastAsia="Times New Roman" w:hAnsi="Segoe UI" w:cs="Segoe UI"/>
          <w:kern w:val="0"/>
          <w:sz w:val="21"/>
          <w:szCs w:val="21"/>
          <w:lang w:val="en-US"/>
          <w14:ligatures w14:val="none"/>
        </w:rPr>
        <w:t xml:space="preserve"> that comprises 3 primary interaction topics</w:t>
      </w:r>
      <w:r>
        <w:rPr>
          <w:rFonts w:ascii="Segoe UI" w:eastAsia="Times New Roman" w:hAnsi="Segoe UI" w:cs="Segoe UI"/>
          <w:kern w:val="0"/>
          <w:sz w:val="21"/>
          <w:szCs w:val="21"/>
          <w14:ligatures w14:val="none"/>
        </w:rPr>
        <w:t>:</w:t>
      </w:r>
    </w:p>
    <w:p w14:paraId="35DB680E" w14:textId="77777777" w:rsidR="007A4426" w:rsidRPr="00467A57" w:rsidRDefault="007A4426" w:rsidP="007A4426">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Intent Interpretation Interface – expressing goals and constraints</w:t>
      </w:r>
    </w:p>
    <w:p w14:paraId="3D33C125" w14:textId="77777777" w:rsidR="007A4426" w:rsidRPr="00467A57" w:rsidRDefault="007A4426" w:rsidP="007A4426">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Trust Gateway Interface – approving escalations and disclosures</w:t>
      </w:r>
    </w:p>
    <w:p w14:paraId="05857D0A" w14:textId="77777777" w:rsidR="007A4426" w:rsidRPr="00467A57" w:rsidRDefault="007A4426" w:rsidP="007A4426">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Explain</w:t>
      </w:r>
      <w:r>
        <w:rPr>
          <w:rFonts w:ascii="Segoe UI" w:eastAsia="Times New Roman" w:hAnsi="Segoe UI" w:cs="Segoe UI"/>
          <w:kern w:val="0"/>
          <w:sz w:val="21"/>
          <w:szCs w:val="21"/>
          <w14:ligatures w14:val="none"/>
        </w:rPr>
        <w:noBreakHyphen/>
        <w:t>Back Interface – receiving accountable explanations</w:t>
      </w:r>
    </w:p>
    <w:p w14:paraId="7CE29019" w14:textId="34E80E59" w:rsidR="007A4426" w:rsidRPr="00970C74" w:rsidRDefault="007A4426"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Directors:</w:t>
      </w:r>
      <w:r>
        <w:rPr>
          <w:rFonts w:ascii="Segoe UI" w:eastAsia="Times New Roman" w:hAnsi="Segoe UI" w:cs="Segoe UI"/>
          <w:kern w:val="0"/>
          <w:sz w:val="21"/>
          <w:szCs w:val="21"/>
          <w:lang w:val="en-US"/>
          <w14:ligatures w14:val="none"/>
        </w:rPr>
        <w:t xml:space="preserve"> </w:t>
      </w:r>
      <w:r>
        <w:rPr>
          <w:rFonts w:ascii="Segoe UI" w:eastAsia="Times New Roman" w:hAnsi="Segoe UI" w:cs="Segoe UI"/>
          <w:kern w:val="0"/>
          <w:sz w:val="21"/>
          <w:szCs w:val="21"/>
          <w14:ligatures w14:val="none"/>
        </w:rPr>
        <w:t>Do not issue commands</w:t>
      </w:r>
      <w:r>
        <w:rPr>
          <w:rFonts w:ascii="Segoe UI" w:eastAsia="Times New Roman" w:hAnsi="Segoe UI" w:cs="Segoe UI"/>
          <w:kern w:val="0"/>
          <w:sz w:val="21"/>
          <w:szCs w:val="21"/>
          <w:lang w:val="en-US"/>
          <w14:ligatures w14:val="none"/>
        </w:rPr>
        <w:t xml:space="preserve">, </w:t>
      </w:r>
      <w:r>
        <w:rPr>
          <w:rFonts w:ascii="Segoe UI" w:eastAsia="Times New Roman" w:hAnsi="Segoe UI" w:cs="Segoe UI"/>
          <w:kern w:val="0"/>
          <w:sz w:val="21"/>
          <w:szCs w:val="21"/>
          <w14:ligatures w14:val="none"/>
        </w:rPr>
        <w:t>select agents</w:t>
      </w:r>
      <w:r>
        <w:rPr>
          <w:rFonts w:ascii="Segoe UI" w:eastAsia="Times New Roman" w:hAnsi="Segoe UI" w:cs="Segoe UI"/>
          <w:kern w:val="0"/>
          <w:sz w:val="21"/>
          <w:szCs w:val="21"/>
          <w:lang w:val="en-US"/>
          <w14:ligatures w14:val="none"/>
        </w:rPr>
        <w:t>, or</w:t>
      </w:r>
      <w:r>
        <w:rPr>
          <w:rFonts w:ascii="Segoe UI" w:eastAsia="Times New Roman" w:hAnsi="Segoe UI" w:cs="Segoe UI"/>
          <w:kern w:val="0"/>
          <w:sz w:val="21"/>
          <w:szCs w:val="21"/>
          <w14:ligatures w14:val="none"/>
        </w:rPr>
        <w:t xml:space="preserve"> manage workflows</w:t>
      </w:r>
      <w:r>
        <w:rPr>
          <w:rFonts w:ascii="Segoe UI" w:eastAsia="Times New Roman" w:hAnsi="Segoe UI" w:cs="Segoe UI"/>
          <w:kern w:val="0"/>
          <w:sz w:val="21"/>
          <w:szCs w:val="21"/>
          <w:lang w:val="en-US"/>
          <w14:ligatures w14:val="none"/>
        </w:rPr>
        <w:t xml:space="preserve">. </w:t>
      </w:r>
      <w:r>
        <w:rPr>
          <w:rFonts w:ascii="Segoe UI" w:eastAsia="Times New Roman" w:hAnsi="Segoe UI" w:cs="Segoe UI"/>
          <w:kern w:val="0"/>
          <w:sz w:val="21"/>
          <w:szCs w:val="21"/>
          <w14:ligatures w14:val="none"/>
        </w:rPr>
        <w:t>All interactions are logged, auditable, and replayable.</w:t>
      </w:r>
    </w:p>
    <w:p w14:paraId="2D6FA411" w14:textId="77777777" w:rsidR="007A4426" w:rsidRPr="007A4426" w:rsidRDefault="007A4426" w:rsidP="00483071">
      <w:pPr>
        <w:pStyle w:val="Heading2"/>
        <w:rPr>
          <w:rFonts w:eastAsia="Times New Roman"/>
        </w:rPr>
      </w:pPr>
      <w:bookmarkStart w:id="17" w:name="_Toc226998479"/>
      <w:r>
        <w:rPr>
          <w:rFonts w:eastAsia="Times New Roman"/>
        </w:rPr>
        <w:t>A.6 Accountability and Auditability</w:t>
      </w:r>
      <w:bookmarkEnd w:id="17"/>
    </w:p>
    <w:p w14:paraId="2EF5E0C4" w14:textId="77777777" w:rsidR="007A4426" w:rsidRPr="007A4426" w:rsidRDefault="007A4426"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For every autonomous action taken by ADAM:</w:t>
      </w:r>
    </w:p>
    <w:p w14:paraId="29BC88B6" w14:textId="77777777" w:rsidR="007A4426" w:rsidRPr="00E42EE7" w:rsidRDefault="007A4426" w:rsidP="007A4426">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A human director of record exists</w:t>
      </w:r>
    </w:p>
    <w:p w14:paraId="40D568DC" w14:textId="77777777" w:rsidR="007A4426" w:rsidRPr="00E42EE7" w:rsidRDefault="007A4426" w:rsidP="007A4426">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The decision chain is reconstructable</w:t>
      </w:r>
    </w:p>
    <w:p w14:paraId="5624A958" w14:textId="77777777" w:rsidR="007A4426" w:rsidRPr="00E42EE7" w:rsidRDefault="007A4426" w:rsidP="007A4426">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The governing intent and constraints are preserved</w:t>
      </w:r>
    </w:p>
    <w:p w14:paraId="5781849C" w14:textId="77777777" w:rsidR="007A4426" w:rsidRPr="00E42EE7" w:rsidRDefault="007A4426" w:rsidP="007A4426">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lastRenderedPageBreak/>
        <w:t>The evidence is permanently available</w:t>
      </w:r>
    </w:p>
    <w:p w14:paraId="1EC9473D" w14:textId="77777777" w:rsidR="007A4426" w:rsidRPr="007A4426" w:rsidRDefault="007A4426"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This ensures that </w:t>
      </w:r>
      <w:r>
        <w:rPr>
          <w:rFonts w:ascii="Segoe UI" w:eastAsia="Times New Roman" w:hAnsi="Segoe UI" w:cs="Segoe UI"/>
          <w:b/>
          <w:bCs/>
          <w:kern w:val="0"/>
          <w:sz w:val="21"/>
          <w:szCs w:val="21"/>
          <w14:ligatures w14:val="none"/>
        </w:rPr>
        <w:t>accountability is explicit by design</w:t>
      </w:r>
      <w:r>
        <w:rPr>
          <w:rFonts w:ascii="Segoe UI" w:eastAsia="Times New Roman" w:hAnsi="Segoe UI" w:cs="Segoe UI"/>
          <w:kern w:val="0"/>
          <w:sz w:val="21"/>
          <w:szCs w:val="21"/>
          <w14:ligatures w14:val="none"/>
        </w:rPr>
        <w:t>, not reconstructed after failure.</w:t>
      </w:r>
    </w:p>
    <w:p w14:paraId="72A248A5" w14:textId="77777777" w:rsidR="007A4426" w:rsidRPr="007A4426" w:rsidRDefault="007A4426" w:rsidP="00483071">
      <w:pPr>
        <w:pStyle w:val="Heading2"/>
        <w:rPr>
          <w:rFonts w:eastAsia="Times New Roman"/>
        </w:rPr>
      </w:pPr>
      <w:bookmarkStart w:id="18" w:name="_Toc226998480"/>
      <w:r>
        <w:rPr>
          <w:rFonts w:eastAsia="Times New Roman"/>
        </w:rPr>
        <w:t>A.7 Why This Model Is Canonical</w:t>
      </w:r>
      <w:bookmarkEnd w:id="18"/>
    </w:p>
    <w:p w14:paraId="56C9DF12" w14:textId="77777777" w:rsidR="007A4426" w:rsidRPr="007A4426" w:rsidRDefault="007A4426"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The five mandatory directors form the canonical minimum governance surface for ADAM. The optional expansion to six or seven directors (via CPO and/or CTO activation) preserves this canonical foundation while accommodating enterprise growth. This model is considered canonical because it:</w:t>
      </w:r>
    </w:p>
    <w:p w14:paraId="197F9C91" w14:textId="77777777" w:rsidR="007A4426" w:rsidRPr="00467A57" w:rsidRDefault="007A4426" w:rsidP="007A4426">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Preserves singular accountability at the top</w:t>
      </w:r>
    </w:p>
    <w:p w14:paraId="4FA63726" w14:textId="77777777" w:rsidR="007A4426" w:rsidRPr="007A4426" w:rsidRDefault="007A4426" w:rsidP="007A4426">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Avoids human micromanagement</w:t>
      </w:r>
    </w:p>
    <w:p w14:paraId="369E89CB" w14:textId="77777777" w:rsidR="007A4426" w:rsidRPr="007A4426" w:rsidRDefault="007A4426" w:rsidP="007A4426">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Aligns with mature autonomous operating models</w:t>
      </w:r>
    </w:p>
    <w:p w14:paraId="7B18F42E" w14:textId="77777777" w:rsidR="007A4426" w:rsidRPr="007A4426" w:rsidRDefault="007A4426" w:rsidP="007A4426">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Scales without governance collapse</w:t>
      </w:r>
    </w:p>
    <w:p w14:paraId="075C74D6" w14:textId="77777777" w:rsidR="007A4426" w:rsidRPr="007A4426" w:rsidRDefault="007A4426" w:rsidP="007A4426">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Is defensible to regulators, boards, and courts</w:t>
      </w:r>
    </w:p>
    <w:p w14:paraId="21B00040" w14:textId="77777777" w:rsidR="00A955DD" w:rsidRDefault="00000000" w:rsidP="007A4426">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Expands gracefully from five to seven directors without restructuring governance</w:t>
      </w:r>
    </w:p>
    <w:p w14:paraId="21B00041" w14:textId="77777777" w:rsidR="00A955DD" w:rsidRDefault="00000000" w:rsidP="007A4426">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Supports enterprise maturity progression through DNA‑driven director activation</w:t>
      </w:r>
    </w:p>
    <w:p w14:paraId="00FAED6B" w14:textId="77777777" w:rsidR="007A4426" w:rsidRPr="007A4426" w:rsidRDefault="007A4426"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It reflects the fundamental principle that:</w:t>
      </w:r>
    </w:p>
    <w:p w14:paraId="3572D3C6" w14:textId="77777777" w:rsidR="007A4426" w:rsidRPr="007A4426" w:rsidRDefault="007A4426"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Autonomy replaces management, not responsibility.</w:t>
      </w:r>
    </w:p>
    <w:p w14:paraId="73212083" w14:textId="77777777" w:rsidR="007A4426" w:rsidRPr="007A4426" w:rsidRDefault="007A4426" w:rsidP="00483071">
      <w:pPr>
        <w:pStyle w:val="Heading2"/>
        <w:rPr>
          <w:rFonts w:eastAsia="Times New Roman"/>
        </w:rPr>
      </w:pPr>
      <w:bookmarkStart w:id="19" w:name="_Toc226998481"/>
      <w:r>
        <w:rPr>
          <w:rFonts w:eastAsia="Times New Roman"/>
        </w:rPr>
        <w:t>A.8 Final Declaration</w:t>
      </w:r>
      <w:bookmarkEnd w:id="19"/>
    </w:p>
    <w:p w14:paraId="333C09A5" w14:textId="77777777" w:rsidR="00BA6BA4" w:rsidRDefault="007A4426" w:rsidP="007A442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14:ligatures w14:val="none"/>
        </w:rPr>
        <w:t>ADAM may act autonomously.</w:t>
      </w:r>
      <w:r>
        <w:rPr>
          <w:rFonts w:ascii="Segoe UI" w:eastAsia="Times New Roman" w:hAnsi="Segoe UI" w:cs="Segoe UI"/>
          <w:kern w:val="0"/>
          <w:sz w:val="21"/>
          <w:szCs w:val="21"/>
          <w14:ligatures w14:val="none"/>
        </w:rPr>
        <w:br/>
        <w:t>ADAM may optimize independently.</w:t>
      </w:r>
      <w:r>
        <w:rPr>
          <w:rFonts w:ascii="Segoe UI" w:eastAsia="Times New Roman" w:hAnsi="Segoe UI" w:cs="Segoe UI"/>
          <w:kern w:val="0"/>
          <w:sz w:val="21"/>
          <w:szCs w:val="21"/>
          <w14:ligatures w14:val="none"/>
        </w:rPr>
        <w:br/>
        <w:t>ADAM may innovate continuously.</w:t>
      </w:r>
    </w:p>
    <w:p w14:paraId="036EE9E2" w14:textId="5F7C00EA" w:rsidR="007A4426" w:rsidRPr="00BA6BA4" w:rsidRDefault="007A4426" w:rsidP="007A4426">
      <w:pPr>
        <w:spacing w:before="100" w:beforeAutospacing="1" w:after="100" w:afterAutospacing="1" w:line="300" w:lineRule="atLeast"/>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t>But humans remain accountable.</w:t>
      </w:r>
    </w:p>
    <w:p w14:paraId="510F4663" w14:textId="77777777" w:rsidR="007A4426" w:rsidRPr="007A4426" w:rsidRDefault="007A4426" w:rsidP="007A4426">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This charter ensures that ADAM’s autonomy is </w:t>
      </w:r>
      <w:r>
        <w:rPr>
          <w:rFonts w:ascii="Segoe UI" w:eastAsia="Times New Roman" w:hAnsi="Segoe UI" w:cs="Segoe UI"/>
          <w:b/>
          <w:bCs/>
          <w:kern w:val="0"/>
          <w:sz w:val="21"/>
          <w:szCs w:val="21"/>
          <w14:ligatures w14:val="none"/>
        </w:rPr>
        <w:t>bounded, trusted, and legitimate</w:t>
      </w:r>
      <w:r>
        <w:rPr>
          <w:rFonts w:ascii="Segoe UI" w:eastAsia="Times New Roman" w:hAnsi="Segoe UI" w:cs="Segoe UI"/>
          <w:kern w:val="0"/>
          <w:sz w:val="21"/>
          <w:szCs w:val="21"/>
          <w14:ligatures w14:val="none"/>
        </w:rPr>
        <w:t>—not by limiting its capability, but by clearly defining who stands behind it.</w:t>
      </w:r>
    </w:p>
    <w:p w14:paraId="37DB6AF3" w14:textId="6FBF23D7" w:rsidR="00240C46" w:rsidRDefault="00240C46">
      <w:r>
        <w:br w:type="page"/>
      </w:r>
    </w:p>
    <w:p w14:paraId="12CED9BB" w14:textId="77777777" w:rsidR="00A37CD7" w:rsidRDefault="00A37CD7"/>
    <w:sectPr w:rsidR="00A37CD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529B"/>
    <w:multiLevelType w:val="multilevel"/>
    <w:tmpl w:val="7368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FC3EAF"/>
    <w:multiLevelType w:val="multilevel"/>
    <w:tmpl w:val="F738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15669"/>
    <w:multiLevelType w:val="multilevel"/>
    <w:tmpl w:val="6E56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6E3E05"/>
    <w:multiLevelType w:val="multilevel"/>
    <w:tmpl w:val="2EF4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E772F1"/>
    <w:multiLevelType w:val="multilevel"/>
    <w:tmpl w:val="9DB0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6A3817"/>
    <w:multiLevelType w:val="multilevel"/>
    <w:tmpl w:val="F752B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E23651"/>
    <w:multiLevelType w:val="multilevel"/>
    <w:tmpl w:val="0078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C71F9F"/>
    <w:multiLevelType w:val="multilevel"/>
    <w:tmpl w:val="A5BA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28553B"/>
    <w:multiLevelType w:val="multilevel"/>
    <w:tmpl w:val="E708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F42251"/>
    <w:multiLevelType w:val="multilevel"/>
    <w:tmpl w:val="854C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EE2C84"/>
    <w:multiLevelType w:val="multilevel"/>
    <w:tmpl w:val="E706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F75A65"/>
    <w:multiLevelType w:val="multilevel"/>
    <w:tmpl w:val="3384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89368F"/>
    <w:multiLevelType w:val="multilevel"/>
    <w:tmpl w:val="78B6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A74B1F"/>
    <w:multiLevelType w:val="multilevel"/>
    <w:tmpl w:val="46DA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BF086C"/>
    <w:multiLevelType w:val="multilevel"/>
    <w:tmpl w:val="956C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932182"/>
    <w:multiLevelType w:val="multilevel"/>
    <w:tmpl w:val="4C0C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0B328F"/>
    <w:multiLevelType w:val="multilevel"/>
    <w:tmpl w:val="AEDA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7798679">
    <w:abstractNumId w:val="7"/>
  </w:num>
  <w:num w:numId="2" w16cid:durableId="512770169">
    <w:abstractNumId w:val="10"/>
  </w:num>
  <w:num w:numId="3" w16cid:durableId="1711491768">
    <w:abstractNumId w:val="2"/>
  </w:num>
  <w:num w:numId="4" w16cid:durableId="718938420">
    <w:abstractNumId w:val="5"/>
  </w:num>
  <w:num w:numId="5" w16cid:durableId="807236670">
    <w:abstractNumId w:val="16"/>
  </w:num>
  <w:num w:numId="6" w16cid:durableId="449054768">
    <w:abstractNumId w:val="6"/>
  </w:num>
  <w:num w:numId="7" w16cid:durableId="700086104">
    <w:abstractNumId w:val="9"/>
  </w:num>
  <w:num w:numId="8" w16cid:durableId="513880285">
    <w:abstractNumId w:val="4"/>
  </w:num>
  <w:num w:numId="9" w16cid:durableId="1783839131">
    <w:abstractNumId w:val="12"/>
  </w:num>
  <w:num w:numId="10" w16cid:durableId="1237280122">
    <w:abstractNumId w:val="1"/>
  </w:num>
  <w:num w:numId="11" w16cid:durableId="2122138212">
    <w:abstractNumId w:val="11"/>
  </w:num>
  <w:num w:numId="12" w16cid:durableId="2078818419">
    <w:abstractNumId w:val="8"/>
  </w:num>
  <w:num w:numId="13" w16cid:durableId="405960594">
    <w:abstractNumId w:val="3"/>
  </w:num>
  <w:num w:numId="14" w16cid:durableId="292248850">
    <w:abstractNumId w:val="15"/>
  </w:num>
  <w:num w:numId="15" w16cid:durableId="510414798">
    <w:abstractNumId w:val="13"/>
  </w:num>
  <w:num w:numId="16" w16cid:durableId="1897230416">
    <w:abstractNumId w:val="14"/>
  </w:num>
  <w:num w:numId="17" w16cid:durableId="1379551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CD7"/>
    <w:rsid w:val="000E591B"/>
    <w:rsid w:val="00191EB3"/>
    <w:rsid w:val="001A2D4C"/>
    <w:rsid w:val="001F5F7D"/>
    <w:rsid w:val="00240C46"/>
    <w:rsid w:val="002603D7"/>
    <w:rsid w:val="002C4CF3"/>
    <w:rsid w:val="00342836"/>
    <w:rsid w:val="00386F21"/>
    <w:rsid w:val="004058DC"/>
    <w:rsid w:val="00467A57"/>
    <w:rsid w:val="00483071"/>
    <w:rsid w:val="00485CAC"/>
    <w:rsid w:val="0056144C"/>
    <w:rsid w:val="006E2BDA"/>
    <w:rsid w:val="007A4426"/>
    <w:rsid w:val="008B761C"/>
    <w:rsid w:val="008C1DC9"/>
    <w:rsid w:val="008F26FE"/>
    <w:rsid w:val="00961D44"/>
    <w:rsid w:val="00963709"/>
    <w:rsid w:val="00970C74"/>
    <w:rsid w:val="009F3D13"/>
    <w:rsid w:val="00A02B6B"/>
    <w:rsid w:val="00A37CD7"/>
    <w:rsid w:val="00A955DD"/>
    <w:rsid w:val="00B1588C"/>
    <w:rsid w:val="00BA6BA4"/>
    <w:rsid w:val="00D20BA0"/>
    <w:rsid w:val="00E14487"/>
    <w:rsid w:val="00E42EE7"/>
    <w:rsid w:val="00F70F4F"/>
    <w:rsid w:val="00FD261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8C8D2"/>
  <w15:chartTrackingRefBased/>
  <w15:docId w15:val="{4401823A-8B41-4A61-9C97-E70113AE9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C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37C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37C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7C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7C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7C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C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C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C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C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37C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37C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7C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7C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7C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C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C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CD7"/>
    <w:rPr>
      <w:rFonts w:eastAsiaTheme="majorEastAsia" w:cstheme="majorBidi"/>
      <w:color w:val="272727" w:themeColor="text1" w:themeTint="D8"/>
    </w:rPr>
  </w:style>
  <w:style w:type="paragraph" w:styleId="Title">
    <w:name w:val="Title"/>
    <w:basedOn w:val="Normal"/>
    <w:next w:val="Normal"/>
    <w:link w:val="TitleChar"/>
    <w:uiPriority w:val="10"/>
    <w:qFormat/>
    <w:rsid w:val="00A37C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C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C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C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CD7"/>
    <w:pPr>
      <w:spacing w:before="160"/>
      <w:jc w:val="center"/>
    </w:pPr>
    <w:rPr>
      <w:i/>
      <w:iCs/>
      <w:color w:val="404040" w:themeColor="text1" w:themeTint="BF"/>
    </w:rPr>
  </w:style>
  <w:style w:type="character" w:customStyle="1" w:styleId="QuoteChar">
    <w:name w:val="Quote Char"/>
    <w:basedOn w:val="DefaultParagraphFont"/>
    <w:link w:val="Quote"/>
    <w:uiPriority w:val="29"/>
    <w:rsid w:val="00A37CD7"/>
    <w:rPr>
      <w:i/>
      <w:iCs/>
      <w:color w:val="404040" w:themeColor="text1" w:themeTint="BF"/>
    </w:rPr>
  </w:style>
  <w:style w:type="paragraph" w:styleId="ListParagraph">
    <w:name w:val="List Paragraph"/>
    <w:basedOn w:val="Normal"/>
    <w:uiPriority w:val="34"/>
    <w:qFormat/>
    <w:rsid w:val="00A37CD7"/>
    <w:pPr>
      <w:ind w:left="720"/>
      <w:contextualSpacing/>
    </w:pPr>
  </w:style>
  <w:style w:type="character" w:styleId="IntenseEmphasis">
    <w:name w:val="Intense Emphasis"/>
    <w:basedOn w:val="DefaultParagraphFont"/>
    <w:uiPriority w:val="21"/>
    <w:qFormat/>
    <w:rsid w:val="00A37CD7"/>
    <w:rPr>
      <w:i/>
      <w:iCs/>
      <w:color w:val="2F5496" w:themeColor="accent1" w:themeShade="BF"/>
    </w:rPr>
  </w:style>
  <w:style w:type="paragraph" w:styleId="IntenseQuote">
    <w:name w:val="Intense Quote"/>
    <w:basedOn w:val="Normal"/>
    <w:next w:val="Normal"/>
    <w:link w:val="IntenseQuoteChar"/>
    <w:uiPriority w:val="30"/>
    <w:qFormat/>
    <w:rsid w:val="00A37C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7CD7"/>
    <w:rPr>
      <w:i/>
      <w:iCs/>
      <w:color w:val="2F5496" w:themeColor="accent1" w:themeShade="BF"/>
    </w:rPr>
  </w:style>
  <w:style w:type="character" w:styleId="IntenseReference">
    <w:name w:val="Intense Reference"/>
    <w:basedOn w:val="DefaultParagraphFont"/>
    <w:uiPriority w:val="32"/>
    <w:qFormat/>
    <w:rsid w:val="00A37CD7"/>
    <w:rPr>
      <w:b/>
      <w:bCs/>
      <w:smallCaps/>
      <w:color w:val="2F5496" w:themeColor="accent1" w:themeShade="BF"/>
      <w:spacing w:val="5"/>
    </w:rPr>
  </w:style>
  <w:style w:type="paragraph" w:styleId="TOCHeading">
    <w:name w:val="TOC Heading"/>
    <w:basedOn w:val="Heading1"/>
    <w:next w:val="Normal"/>
    <w:uiPriority w:val="39"/>
    <w:unhideWhenUsed/>
    <w:qFormat/>
    <w:rsid w:val="002603D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2603D7"/>
    <w:pPr>
      <w:spacing w:after="100"/>
    </w:pPr>
  </w:style>
  <w:style w:type="paragraph" w:styleId="TOC2">
    <w:name w:val="toc 2"/>
    <w:basedOn w:val="Normal"/>
    <w:next w:val="Normal"/>
    <w:autoRedefine/>
    <w:uiPriority w:val="39"/>
    <w:unhideWhenUsed/>
    <w:rsid w:val="002603D7"/>
    <w:pPr>
      <w:spacing w:after="100"/>
      <w:ind w:left="240"/>
    </w:pPr>
  </w:style>
  <w:style w:type="paragraph" w:styleId="TOC3">
    <w:name w:val="toc 3"/>
    <w:basedOn w:val="Normal"/>
    <w:next w:val="Normal"/>
    <w:autoRedefine/>
    <w:uiPriority w:val="39"/>
    <w:unhideWhenUsed/>
    <w:rsid w:val="002603D7"/>
    <w:pPr>
      <w:spacing w:after="100"/>
      <w:ind w:left="480"/>
    </w:pPr>
  </w:style>
  <w:style w:type="character" w:styleId="Hyperlink">
    <w:name w:val="Hyperlink"/>
    <w:basedOn w:val="DefaultParagraphFont"/>
    <w:uiPriority w:val="99"/>
    <w:unhideWhenUsed/>
    <w:rsid w:val="002603D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14</Pages>
  <Words>4923</Words>
  <Characters>28064</Characters>
  <Application>Microsoft Office Word</Application>
  <DocSecurity>0</DocSecurity>
  <Lines>233</Lines>
  <Paragraphs>65</Paragraphs>
  <ScaleCrop>false</ScaleCrop>
  <Company/>
  <LinksUpToDate>false</LinksUpToDate>
  <CharactersWithSpaces>32922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Lamb</dc:creator>
  <cp:keywords/>
  <dc:description/>
  <cp:lastModifiedBy>Michael Lamb</cp:lastModifiedBy>
  <cp:revision>27</cp:revision>
  <dcterms:created xsi:type="dcterms:W3CDTF">2026-03-20T15:50:00Z</dcterms:created>
  <dcterms:modified xsi:type="dcterms:W3CDTF">2026-04-13T16:50:00Z</dcterms:modified>
</cp:coreProperties>
</file>