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0B3D6E"/>
          <w:sz w:val="96"/>
          <w:szCs w:val="96"/>
        </w:rPr>
        <w:t xml:space="preserve">ADAM</w:t>
      </w:r>
    </w:p>
    <w:p>
      <w:pPr>
        <w:spacing w:after="120"/>
        <w:jc w:val="center"/>
      </w:pPr>
      <w:r>
        <w:rPr>
          <w:rFonts w:ascii="Arial" w:cs="Arial" w:eastAsia="Arial" w:hAnsi="Arial"/>
          <w:b/>
          <w:bCs/>
          <w:color w:val="121A2B"/>
          <w:sz w:val="32"/>
          <w:szCs w:val="32"/>
        </w:rPr>
        <w:t xml:space="preserve">Autonomy Doctrine and Architecture Model</w:t>
      </w:r>
    </w:p>
    <w:p>
      <w:pPr>
        <w:spacing w:after="60"/>
        <w:jc w:val="center"/>
      </w:pPr>
      <w:r>
        <w:rPr>
          <w:rFonts w:ascii="Arial" w:cs="Arial" w:eastAsia="Arial" w:hAnsi="Arial"/>
          <w:i/>
          <w:iCs/>
          <w:color w:val="475569"/>
          <w:sz w:val="28"/>
          <w:szCs w:val="28"/>
        </w:rPr>
        <w:t xml:space="preserve">— Support Document —</w:t>
      </w:r>
    </w:p>
    <w:p>
      <w:pPr>
        <w:spacing w:after="120"/>
        <w:jc w:val="center"/>
      </w:pPr>
      <w:r>
        <w:rPr>
          <w:rFonts w:ascii="Arial" w:cs="Arial" w:eastAsia="Arial" w:hAnsi="Arial"/>
          <w:b/>
          <w:bCs/>
          <w:color w:val="0B3D6E"/>
          <w:sz w:val="56"/>
          <w:szCs w:val="56"/>
        </w:rPr>
        <w:t xml:space="preserve">QA Harness Suite</w:t>
      </w:r>
    </w:p>
    <w:p>
      <w:pPr>
        <w:spacing w:after="480"/>
        <w:jc w:val="center"/>
      </w:pPr>
      <w:r>
        <w:rPr>
          <w:rFonts w:ascii="Arial" w:cs="Arial" w:eastAsia="Arial" w:hAnsi="Arial"/>
          <w:i/>
          <w:iCs/>
          <w:color w:val="0B3D6E"/>
          <w:sz w:val="32"/>
          <w:szCs w:val="32"/>
        </w:rPr>
        <w:t xml:space="preserve">Quality Built In</w:t>
      </w:r>
    </w:p>
    <w:p>
      <w:pPr>
        <w:spacing w:after="120"/>
        <w:jc w:val="center"/>
      </w:pPr>
      <w:r>
        <w:rPr>
          <w:rFonts w:ascii="Arial" w:cs="Arial" w:eastAsia="Arial" w:hAnsi="Arial"/>
          <w:i/>
          <w:iCs/>
          <w:color w:val="475569"/>
          <w:sz w:val="22"/>
          <w:szCs w:val="22"/>
        </w:rPr>
        <w:t xml:space="preserve">Reference Verification Toolchain · Layered Discipline · Replayable Evidence Packs · Operator-Owned · 100/100 Reference Target</w:t>
      </w:r>
    </w:p>
    <w:p>
      <w:pPr>
        <w:spacing w:after="720"/>
        <w:jc w:val="center"/>
      </w:pPr>
      <w:r>
        <w:rPr>
          <w:rFonts w:ascii="Arial" w:cs="Arial" w:eastAsia="Arial" w:hAnsi="Arial"/>
          <w:i/>
          <w:iCs/>
          <w:color w:val="475569"/>
          <w:sz w:val="22"/>
          <w:szCs w:val="22"/>
        </w:rPr>
        <w:t xml:space="preserve">Publication Edition</w:t>
      </w:r>
    </w:p>
    <w:p>
      <w:pPr>
        <w:spacing w:after="60"/>
        <w:jc w:val="center"/>
      </w:pPr>
      <w:r>
        <w:rPr>
          <w:rFonts w:ascii="Arial" w:cs="Arial" w:eastAsia="Arial" w:hAnsi="Arial"/>
          <w:color w:val="121A2B"/>
          <w:sz w:val="22"/>
          <w:szCs w:val="22"/>
        </w:rPr>
        <w:t xml:space="preserve">Author: Michael Lamb</w:t>
      </w:r>
    </w:p>
    <w:p>
      <w:pPr>
        <w:spacing w:after="240"/>
        <w:jc w:val="center"/>
      </w:pPr>
      <w:r>
        <w:rPr>
          <w:rFonts w:ascii="Arial" w:cs="Arial" w:eastAsia="Arial" w:hAnsi="Arial"/>
          <w:i/>
          <w:iCs/>
          <w:color w:val="475569"/>
          <w:sz w:val="22"/>
          <w:szCs w:val="22"/>
        </w:rPr>
        <w:t xml:space="preserve">Humans Define Intent. Machines Execute. Evidence Proves Everything.</w:t>
      </w:r>
    </w:p>
    <w:p>
      <w:r>
        <w:br w:type="page"/>
      </w:r>
    </w:p>
    <w:p>
      <w:pPr>
        <w:pStyle w:val="Heading1"/>
        <w:spacing w:after="200" w:before="360"/>
      </w:pPr>
      <w:r>
        <w:rPr>
          <w:rFonts w:ascii="Arial" w:cs="Arial" w:eastAsia="Arial" w:hAnsi="Arial"/>
          <w:b/>
          <w:bCs/>
          <w:color w:val="0B3D6E"/>
          <w:sz w:val="32"/>
          <w:szCs w:val="32"/>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4A3B8" w:sz="4"/>
              <w:left w:val="single" w:color="94A3B8" w:sz="4"/>
              <w:bottom w:val="single" w:color="94A3B8" w:sz="4"/>
              <w:right w:val="single" w:color="94A3B8" w:sz="4"/>
            </w:tcBorders>
            <w:shd w:fill="0B3D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94A3B8" w:sz="4"/>
              <w:left w:val="single" w:color="94A3B8" w:sz="4"/>
              <w:bottom w:val="single" w:color="94A3B8" w:sz="4"/>
              <w:right w:val="single" w:color="94A3B8" w:sz="4"/>
            </w:tcBorders>
            <w:shd w:fill="0B3D6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Title</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ADAM — QA Harness Suite — Quality Built In</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Document class</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ADAM Support Document — major specification</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Edition</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Publication Edition</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Michael Lamb</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Audience</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Directors and Boards · Architects, Platform and Verification Leads · AI Build Teams · Auditors and Regulators</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Parent manuscript</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ADAM — Autonomy Doctrine and Architecture Model</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Companion specifications</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ADAM — Quantum and Cryptographic Security at Scale · ADAM — Hardware-Free Cryptographic Substrate · ADAM — BOSS Score Formulas · ADAM — BOSS Calibration · ADAM — OPA Rego Authoring Standards · ADAM — Doctrine Amendment Process · ADAM — Intent Object Definition · ADAM — Governance Charter and Human Directorship</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GitHub (Apache 2.0; subject to Excluded Uses in the Copyright and Use Agreement)</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Governing law</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Netherlands</w:t>
            </w:r>
          </w:p>
        </w:tc>
      </w:tr>
      <w:tr>
        <w:tc>
          <w:tcPr>
            <w:tcW w:type="dxa" w:w="22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Doctrinal status</w:t>
            </w:r>
          </w:p>
        </w:tc>
        <w:tc>
          <w:tcPr>
            <w:tcW w:type="dxa" w:w="71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Operator support tool. Not part of doctrine. The contract is the contract; the harness is one prebuilt way to check it.</w:t>
            </w:r>
          </w:p>
        </w:tc>
      </w:tr>
    </w:tbl>
    <w:p>
      <w:r>
        <w:br w:type="page"/>
      </w:r>
    </w:p>
    <w:p>
      <w:pPr>
        <w:pStyle w:val="Heading1"/>
        <w:spacing w:after="200" w:before="360"/>
      </w:pPr>
      <w:r>
        <w:rPr>
          <w:rFonts w:ascii="Arial" w:cs="Arial" w:eastAsia="Arial" w:hAnsi="Arial"/>
          <w:b/>
          <w:bCs/>
          <w:color w:val="0B3D6E"/>
          <w:sz w:val="32"/>
          <w:szCs w:val="32"/>
        </w:rPr>
        <w:t xml:space="preserve">Table of Contents</w:t>
      </w:r>
    </w:p>
    <w:p>
      <w:pPr>
        <w:spacing w:after="120" w:before="80" w:line="300"/>
        <w:jc w:val="center"/>
      </w:pPr>
      <w:r>
        <w:rPr>
          <w:rFonts w:ascii="Arial" w:cs="Arial" w:eastAsia="Arial" w:hAnsi="Arial"/>
          <w:sz w:val="22"/>
          <w:szCs w:val="22"/>
        </w:rPr>
        <w:t xml:space="preserve">Update field after generation in Word: right-click on this Table of Contents and select Update Field, or press F9 with the cursor inside the field.</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B3D6E"/>
          <w:sz w:val="32"/>
          <w:szCs w:val="32"/>
        </w:rPr>
        <w:t xml:space="preserve">Part I — Executive Summary and Positioning</w:t>
      </w:r>
    </w:p>
    <w:p>
      <w:pPr>
        <w:spacing w:after="200" w:before="80"/>
        <w:jc w:val="left"/>
      </w:pPr>
      <w:r>
        <w:rPr>
          <w:rFonts w:ascii="Arial" w:cs="Arial" w:eastAsia="Arial" w:hAnsi="Arial"/>
          <w:i/>
          <w:iCs/>
          <w:color w:val="475569"/>
          <w:sz w:val="24"/>
          <w:szCs w:val="24"/>
        </w:rPr>
        <w:t xml:space="preserve">The contract is the contract. The harness is one prebuilt way to check it.</w:t>
      </w:r>
    </w:p>
    <w:p>
      <w:pPr>
        <w:pStyle w:val="Heading2"/>
        <w:spacing w:after="160" w:before="280"/>
      </w:pPr>
      <w:r>
        <w:rPr>
          <w:rFonts w:ascii="Arial" w:cs="Arial" w:eastAsia="Arial" w:hAnsi="Arial"/>
          <w:b/>
          <w:bCs/>
          <w:color w:val="0B3D6E"/>
          <w:sz w:val="28"/>
          <w:szCs w:val="28"/>
        </w:rPr>
        <w:t xml:space="preserve">1.1 Why This Document Exists</w:t>
      </w:r>
    </w:p>
    <w:p>
      <w:pPr>
        <w:spacing w:after="120" w:before="80" w:line="300"/>
      </w:pPr>
      <w:r>
        <w:rPr>
          <w:rFonts w:ascii="Arial" w:cs="Arial" w:eastAsia="Arial" w:hAnsi="Arial"/>
          <w:sz w:val="22"/>
          <w:szCs w:val="22"/>
        </w:rPr>
        <w:t xml:space="preserve">ADAM is a doctrine. The doctrine is enforced by a Director Constitution, a Cryptographic Authorization Vault, a Flight Recorder, a BOSS scoring loop, and an Agent Mesh built against a Build Card contract. The doctrine is what binds. The doctrine is also large, and a working ADAM deployment carries a great many surfaces — agents, adapters, protocols, policy bundles, evidence chains, calibration parameters, deployment artefacts — that all have to hold together at the same time. Operators and directors cannot inspect them all, every day, by hand. They need a tool that reads the deployment as it sits, walks every surface that doctrine names, and produces a single, machine-readable artefact that says, in plain terms, whether the deployment is in shape today.</w:t>
      </w:r>
    </w:p>
    <w:p>
      <w:pPr>
        <w:spacing w:after="120" w:before="80" w:line="300"/>
      </w:pPr>
      <w:r>
        <w:rPr>
          <w:rFonts w:ascii="Arial" w:cs="Arial" w:eastAsia="Arial" w:hAnsi="Arial"/>
          <w:sz w:val="22"/>
          <w:szCs w:val="22"/>
        </w:rPr>
        <w:t xml:space="preserve">ADAM ships such a tool. It is the QA Harness Suite. This document is the long-form specification of what the suite does, how it is structured, where it fits in the ADAM lifecycle, what its outputs mean, and how an operator extends or replaces it. The suite is, by design, optional in the doctrinal sense: any operator may extend it, replace it, or run a different verification toolchain altogether without changing the doctrine. What the suite is, in practice, is the reference verification toolchain — the one ADAM ships, the one the reference Build Cards point to, the one the published 100/100 reference target is measured against.</w:t>
      </w:r>
    </w:p>
    <w:p>
      <w:pPr>
        <w:pStyle w:val="Heading2"/>
        <w:spacing w:after="160" w:before="280"/>
      </w:pPr>
      <w:r>
        <w:rPr>
          <w:rFonts w:ascii="Arial" w:cs="Arial" w:eastAsia="Arial" w:hAnsi="Arial"/>
          <w:b/>
          <w:bCs/>
          <w:color w:val="0B3D6E"/>
          <w:sz w:val="28"/>
          <w:szCs w:val="28"/>
        </w:rPr>
        <w:t xml:space="preserve">1.2 Position Relative to the ADAM Core</w:t>
      </w:r>
    </w:p>
    <w:p>
      <w:pPr>
        <w:spacing w:after="120" w:before="80" w:line="300"/>
      </w:pPr>
      <w:r>
        <w:rPr>
          <w:rFonts w:ascii="Arial" w:cs="Arial" w:eastAsia="Arial" w:hAnsi="Arial"/>
          <w:sz w:val="22"/>
          <w:szCs w:val="22"/>
        </w:rPr>
        <w:t xml:space="preserve">Doctrine sits above the harness. Doctrine names the contracts: a Build Card's Definition of Done; an adapter's bidirectional symmetry rule; a Flight Recorder append's dual-signature posture; a BOSS calibration's false-positive and false-negative bounds; a Director Constitution's quorum on a Take-Over Ceremony. Each of these contracts holds whether or not the harness runs. The harness is below doctrine and above implementation: it reads the live deployment artefacts and asserts the contracts. Where the assertion holds, the harness emits PASS; where it does not, the harness emits FAIL with a detail string the operator can act on.</w:t>
      </w:r>
    </w:p>
    <w:p>
      <w:pPr>
        <w:spacing w:after="120" w:before="80" w:line="300"/>
      </w:pPr>
      <w:r>
        <w:rPr>
          <w:rFonts w:ascii="Arial" w:cs="Arial" w:eastAsia="Arial" w:hAnsi="Arial"/>
          <w:sz w:val="22"/>
          <w:szCs w:val="22"/>
        </w:rPr>
        <w:t xml:space="preserve">This positioning has three immediate consequences. The harness has no authority of its own — it cannot block a deployment, refuse an action, or change a calibration. Only the Director Constitution, the Domain Governors, and the Cryptographic Authorization Vault can do that. The harness produces evidence; the evidence is read by humans and by other systems that do have authority. Second, the harness can be wrong without doctrine being wrong: a harness that reports PASS on a contract that is in fact violated is a defective harness, not a deficient contract, and the response is to fix the harness. Third, the harness can be replaced — by an operator's existing verification tooling, by a regulator-mandated alternative, by a sector-specific suite — without ADAM becoming less ADAM.</w:t>
      </w:r>
    </w:p>
    <w:p>
      <w:pPr>
        <w:pStyle w:val="Heading2"/>
        <w:spacing w:after="160" w:before="280"/>
      </w:pPr>
      <w:r>
        <w:rPr>
          <w:rFonts w:ascii="Arial" w:cs="Arial" w:eastAsia="Arial" w:hAnsi="Arial"/>
          <w:b/>
          <w:bCs/>
          <w:color w:val="0B3D6E"/>
          <w:sz w:val="28"/>
          <w:szCs w:val="28"/>
        </w:rPr>
        <w:t xml:space="preserve">1.3 What This Document Specifies</w:t>
      </w:r>
    </w:p>
    <w:p>
      <w:pPr>
        <w:spacing w:after="120" w:before="80" w:line="300"/>
      </w:pPr>
      <w:r>
        <w:rPr>
          <w:rFonts w:ascii="Arial" w:cs="Arial" w:eastAsia="Arial" w:hAnsi="Arial"/>
          <w:sz w:val="22"/>
          <w:szCs w:val="22"/>
        </w:rPr>
        <w:t xml:space="preserve">The body of this document specifies the suite's structure, its layered taxonomy, the evidence model it produces, the contracts it asserts at each layer, the integration points with the rest of the ADAM lifecycle (Build Cards, Parallel Production Guidance phase gates, the Doctrine Amendment Process, the Directors Dashboard, and the Calibration Owner Mandate), the parameterisation surface that lets the same suite run against many deployment scales and many DNA profiles, and the operator-extension model. The document also specifies what the suite is not: it is not a CI/CD system, it is not a gate, it is not an enforcement plane, and it is not a substitute for the Director Constitution's judgement.</w:t>
      </w:r>
    </w:p>
    <w:p>
      <w:pPr>
        <w:pStyle w:val="Heading1"/>
        <w:spacing w:after="200" w:before="360"/>
      </w:pPr>
      <w:r>
        <w:rPr>
          <w:rFonts w:ascii="Arial" w:cs="Arial" w:eastAsia="Arial" w:hAnsi="Arial"/>
          <w:b/>
          <w:bCs/>
          <w:color w:val="0B3D6E"/>
          <w:sz w:val="32"/>
          <w:szCs w:val="32"/>
        </w:rPr>
        <w:t xml:space="preserve">Part II — The Verification Problem ADAM Has</w:t>
      </w:r>
    </w:p>
    <w:p>
      <w:pPr>
        <w:spacing w:after="200" w:before="80"/>
        <w:jc w:val="left"/>
      </w:pPr>
      <w:r>
        <w:rPr>
          <w:rFonts w:ascii="Arial" w:cs="Arial" w:eastAsia="Arial" w:hAnsi="Arial"/>
          <w:i/>
          <w:iCs/>
          <w:color w:val="475569"/>
          <w:sz w:val="24"/>
          <w:szCs w:val="24"/>
        </w:rPr>
        <w:t xml:space="preserve">Many surfaces. Many contracts. One question: does this deployment hold today?</w:t>
      </w:r>
    </w:p>
    <w:p>
      <w:pPr>
        <w:pStyle w:val="Heading2"/>
        <w:spacing w:after="160" w:before="280"/>
      </w:pPr>
      <w:r>
        <w:rPr>
          <w:rFonts w:ascii="Arial" w:cs="Arial" w:eastAsia="Arial" w:hAnsi="Arial"/>
          <w:b/>
          <w:bCs/>
          <w:color w:val="0B3D6E"/>
          <w:sz w:val="28"/>
          <w:szCs w:val="28"/>
        </w:rPr>
        <w:t xml:space="preserve">2.1 The Surfaces a Live Deployment Carries</w:t>
      </w:r>
    </w:p>
    <w:p>
      <w:pPr>
        <w:spacing w:after="120" w:before="80" w:line="300"/>
      </w:pPr>
      <w:r>
        <w:rPr>
          <w:rFonts w:ascii="Arial" w:cs="Arial" w:eastAsia="Arial" w:hAnsi="Arial"/>
          <w:sz w:val="22"/>
          <w:szCs w:val="22"/>
        </w:rPr>
        <w:t xml:space="preserve">A live ADAM deployment carries surfaces of at least eleven distinct kinds. There is the code itself — the Python, the configuration, the Helm charts, the Terraform — that has to parse, build, and run. There is the cryptographic substrate — software-rooted in the ACS or hardware-rooted in an HSM — whose sign, verify, and rotate operations have to do what the Cryptographic Authorization Vault API says they will. There is the Flight Recorder chain — append-only, dual-signed, with WORM triggers in the storage layer — whose integrity has to hold from the first event to the head. There are the doctrine artefacts — the doctrine seed, the directors registry, the exception-economy configuration, the sacred boundaries — whose immutable, board-approved properties have to be present and true. There is the BOSS scoring engine — seven canonical dimensions, weight sum twenty-four, the non-idempotent additive penalty, the critical-dimension override at seventy-five raw — whose composite calculation and routing decisions have to match the published methodology.</w:t>
      </w:r>
    </w:p>
    <w:p>
      <w:pPr>
        <w:spacing w:after="120" w:before="80" w:line="300"/>
      </w:pPr>
      <w:r>
        <w:rPr>
          <w:rFonts w:ascii="Arial" w:cs="Arial" w:eastAsia="Arial" w:hAnsi="Arial"/>
          <w:sz w:val="22"/>
          <w:szCs w:val="22"/>
        </w:rPr>
        <w:t xml:space="preserve">There are the end-to-end flows — the customer signup, the playback authorisation, the recommendation generator, the dispute resolver, the dunning sequence — whose policy gates have to fire in the right order. There is the OWASP Agentic AI risk register — every one of the canonical risks has to have a matching mitigation in the running code. There is the AI-control posture — the bounded-context isolation, the prompt-injection resistance, the autonomy throttling on AI-Control Attack Exposure — whose runtime guards have to be present. There is the customer seed — the synthetic users, assets, regions, age bands, subscription tiers — whose distribution has to match what the test profile declared. There is the Director Console mapping — the BOSS dimensions each director owns, the test-proxy-mode binding, the user-interface tabs — whose alignment to the constitution has to be present. And there are the Build Cards themselves — the canonical cards in the Build Cards directory — whose inventory completeness, bidirectional adapter-to-agent symmetry, schema awareness, doctrine alignment, and end-to-end flow traces have to walk clean.</w:t>
      </w:r>
    </w:p>
    <w:p>
      <w:pPr>
        <w:spacing w:after="120" w:before="80" w:line="300"/>
      </w:pPr>
      <w:r>
        <w:rPr>
          <w:rFonts w:ascii="Arial" w:cs="Arial" w:eastAsia="Arial" w:hAnsi="Arial"/>
          <w:sz w:val="22"/>
          <w:szCs w:val="22"/>
        </w:rPr>
        <w:t xml:space="preserve">Each of these surfaces is an honest contract. Each has been authored, reviewed, signed, and admitted to the running deployment. The verification problem is not that any one of these surfaces is hard to check — it is that all of them together are too much for any single human to keep in their head, every day, against a deployment that is moving. The QA Harness Suite exists to make that single-human-headful job tractable: it reads them all and tells the operator, in one place, what is and is not in shape.</w:t>
      </w:r>
    </w:p>
    <w:p>
      <w:pPr>
        <w:pStyle w:val="Heading2"/>
        <w:spacing w:after="160" w:before="280"/>
      </w:pPr>
      <w:r>
        <w:rPr>
          <w:rFonts w:ascii="Arial" w:cs="Arial" w:eastAsia="Arial" w:hAnsi="Arial"/>
          <w:b/>
          <w:bCs/>
          <w:color w:val="0B3D6E"/>
          <w:sz w:val="28"/>
          <w:szCs w:val="28"/>
        </w:rPr>
        <w:t xml:space="preserve">2.2 What Verification Is Not</w:t>
      </w:r>
    </w:p>
    <w:p>
      <w:pPr>
        <w:spacing w:after="120" w:before="80" w:line="300"/>
      </w:pPr>
      <w:r>
        <w:rPr>
          <w:rFonts w:ascii="Arial" w:cs="Arial" w:eastAsia="Arial" w:hAnsi="Arial"/>
          <w:sz w:val="22"/>
          <w:szCs w:val="22"/>
        </w:rPr>
        <w:t xml:space="preserve">Three distinctions matter. Verification is not enforcement. The harness reads, asserts, and reports; it does not block, refuse, or revoke. Enforcement lives in the Cryptographic Authorization Vault, the Domain Governors, the Orchestration plane's enforcement hooks, and the Director Constitution's quorum. The harness is a microscope, not a gate. Verification is not testing in the conventional sense. The harness does not exercise hypothetical scenarios under controlled inputs to discover unknown behaviours. It walks the actual deployment and asserts the contracts the deployment has already declared. The hypothetical-scenario function — exploratory testing, fuzzing, adversarial red-team work — is valuable and, where the operator runs it, complementary; it is not what the harness does. Verification is not certification. The harness produces evidence; certification is a separate human and procedural act. A clean harness run is one input into the evidence pack the Director Constitution signs at a Parallel Production Guidance phase gate; the signature is the certification.</w:t>
      </w:r>
    </w:p>
    <w:p>
      <w:pPr>
        <w:pStyle w:val="Heading1"/>
        <w:spacing w:after="200" w:before="360"/>
      </w:pPr>
      <w:r>
        <w:rPr>
          <w:rFonts w:ascii="Arial" w:cs="Arial" w:eastAsia="Arial" w:hAnsi="Arial"/>
          <w:b/>
          <w:bCs/>
          <w:color w:val="0B3D6E"/>
          <w:sz w:val="32"/>
          <w:szCs w:val="32"/>
        </w:rPr>
        <w:t xml:space="preserve">Part III — Suite Architecture</w:t>
      </w:r>
    </w:p>
    <w:p>
      <w:pPr>
        <w:spacing w:after="200" w:before="80"/>
        <w:jc w:val="left"/>
      </w:pPr>
      <w:r>
        <w:rPr>
          <w:rFonts w:ascii="Arial" w:cs="Arial" w:eastAsia="Arial" w:hAnsi="Arial"/>
          <w:i/>
          <w:iCs/>
          <w:color w:val="475569"/>
          <w:sz w:val="24"/>
          <w:szCs w:val="24"/>
        </w:rPr>
        <w:t xml:space="preserve">Layers. Layers do not depend on each other except through evidence. Each layer has one job.</w:t>
      </w:r>
    </w:p>
    <w:p>
      <w:pPr>
        <w:pStyle w:val="Heading2"/>
        <w:spacing w:after="160" w:before="280"/>
      </w:pPr>
      <w:r>
        <w:rPr>
          <w:rFonts w:ascii="Arial" w:cs="Arial" w:eastAsia="Arial" w:hAnsi="Arial"/>
          <w:b/>
          <w:bCs/>
          <w:color w:val="0B3D6E"/>
          <w:sz w:val="28"/>
          <w:szCs w:val="28"/>
        </w:rPr>
        <w:t xml:space="preserve">3.1 The Layered Discipline</w:t>
      </w:r>
    </w:p>
    <w:p>
      <w:pPr>
        <w:spacing w:after="120" w:before="80" w:line="300"/>
      </w:pPr>
      <w:r>
        <w:rPr>
          <w:rFonts w:ascii="Arial" w:cs="Arial" w:eastAsia="Arial" w:hAnsi="Arial"/>
          <w:sz w:val="22"/>
          <w:szCs w:val="22"/>
        </w:rPr>
        <w:t xml:space="preserve">The suite is organised as a sequence of numbered layers. Each layer has a single concern, a single set of contracts to assert, and a single section of the deployment to read. Layers do not call each other; they share no in-memory state. They write into a Results registry, which is the only durable artefact across layers. This discipline is deliberate: it lets the operator run any subset of layers, skip any subset, or extend the suite with new layers without touching the existing ones. The reference suite ships ten layers in the canonical NetStreamX deployment profile, and the suite's structure makes adding a layer eleven trivial.</w:t>
      </w:r>
    </w:p>
    <w:p>
      <w:pPr>
        <w:pStyle w:val="Heading2"/>
        <w:spacing w:after="160" w:before="280"/>
      </w:pPr>
      <w:r>
        <w:rPr>
          <w:rFonts w:ascii="Arial" w:cs="Arial" w:eastAsia="Arial" w:hAnsi="Arial"/>
          <w:b/>
          <w:bCs/>
          <w:color w:val="0B3D6E"/>
          <w:sz w:val="28"/>
          <w:szCs w:val="28"/>
        </w:rPr>
        <w:t xml:space="preserve">3.2 Layer Catalogue (Reference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60"/>
        <w:gridCol w:w="4800"/>
      </w:tblGrid>
      <w:tr>
        <w:tc>
          <w:tcPr>
            <w:tcW w:type="dxa" w:w="1100"/>
            <w:tcBorders>
              <w:top w:val="single" w:color="94A3B8" w:sz="4"/>
              <w:left w:val="single" w:color="94A3B8" w:sz="4"/>
              <w:bottom w:val="single" w:color="94A3B8" w:sz="4"/>
              <w:right w:val="single" w:color="94A3B8" w:sz="4"/>
            </w:tcBorders>
            <w:shd w:fill="0B3D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60"/>
            <w:tcBorders>
              <w:top w:val="single" w:color="94A3B8" w:sz="4"/>
              <w:left w:val="single" w:color="94A3B8" w:sz="4"/>
              <w:bottom w:val="single" w:color="94A3B8" w:sz="4"/>
              <w:right w:val="single" w:color="94A3B8" w:sz="4"/>
            </w:tcBorders>
            <w:shd w:fill="0B3D6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4800"/>
            <w:tcBorders>
              <w:top w:val="single" w:color="94A3B8" w:sz="4"/>
              <w:left w:val="single" w:color="94A3B8" w:sz="4"/>
              <w:bottom w:val="single" w:color="94A3B8" w:sz="4"/>
              <w:right w:val="single" w:color="94A3B8" w:sz="4"/>
            </w:tcBorders>
            <w:shd w:fill="0B3D6E" w:val="clear"/>
            <w:tcMar>
              <w:top w:type="dxa" w:w="80"/>
              <w:left w:type="dxa" w:w="120"/>
              <w:bottom w:type="dxa" w:w="80"/>
              <w:right w:type="dxa" w:w="120"/>
            </w:tcMar>
          </w:tcPr>
          <w:p>
            <w:r>
              <w:rPr>
                <w:rFonts w:ascii="Arial" w:cs="Arial" w:eastAsia="Arial" w:hAnsi="Arial"/>
                <w:b/>
                <w:bCs/>
                <w:color w:val="FFFFFF"/>
                <w:sz w:val="20"/>
                <w:szCs w:val="20"/>
              </w:rPr>
              <w:t xml:space="preserve">What Holds When the Layer Reports Clean</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1 — Code Health</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Every Python module in the deployment under test parses.</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No accidental syntax errors, no broken imports at the file level. The deployment is syntactically loadable.</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2 — Cryptography</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Cryptographic Authorization Vault implements sign, verify, and rotate for the configured algorithm matrix.</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Ed25519 signs and verifies. ML-DSA-65 signs and verifies. Rotation between algorithms preserves the prior key for verification of pre-rotation signatures. Tamper is detected on every signature class.</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3 — Chain Integrity</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Flight Recorder hash chain verifies end-to-end and the storage layer enforces append-only semantics.</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Hash chain verifies, dual signatures verify, WORM triggers refuse UPDATE and DELETE on the entries table.</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4 — Governance Non-Negotiables</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Doctrine artefacts carry their immutable, board-approved properties; sacred boundaries are present; no blockchain, smart contract, or DAO is anywhere in the constitutional path.</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doctrine seed is immutable, the sacred boundaries list is populated, the directors registry binds the test-proxy mode correctly, the exception-economy configuration declares doctrine_self_amendment as false.</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5 — BOSS Methodology</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BOSS scoring engine implements the published composite formula and routes the canonical sample intents to the published tiers.</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Weight sum equals the configured constant. Non-idempotent penalty is the configured additive. Critical-dimension override fires at the configured raw threshold. Every sample intent in the bundle routes to its expected tier.</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6 — End-to-End Flow</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flows the deployment is built to run actually run, with their policy gates firing in the right order.</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Under-age signup is rejected. Region, age, rights, and subscription tier are checked on playback. Recommendations do not consume individual viewing data.</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7 — OWASP Agentic AI</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Every canonical Agentic-AI risk has a matching mitigation in the running code or configuration.</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Each of AA01 through AA10 maps to a named, present mitigation surface in the deployed code or configuration.</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8 — AI-Control Bounds</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Reinforcement-learning, autonomy-throttling, and tool-contract surfaces enforce the configured bounds.</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RL training endpoints reject above the configured BOSS ceiling; sacred-boundary keyword filters are loaded; the test profile leaves RL governance in the configured default state.</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9 — Customer Seed Sanity</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synthetic data generator produces, for the configured scale, the configured distribution.</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User and asset counts match the target. Subscription ratio falls within the configured band. Region split, asset-kind mix, and minor count all fall within the configured bands.</w:t>
            </w:r>
          </w:p>
        </w:tc>
      </w:tr>
      <w:tr>
        <w:tc>
          <w:tcPr>
            <w:tcW w:type="dxa" w:w="11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10 — Director Console Mapping</w:t>
            </w:r>
          </w:p>
        </w:tc>
        <w:tc>
          <w:tcPr>
            <w:tcW w:type="dxa" w:w="346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Director Console exposes the directors the constitution names, with the BOSS dimensions each director owns.</w:t>
            </w:r>
          </w:p>
        </w:tc>
        <w:tc>
          <w:tcPr>
            <w:tcW w:type="dxa" w:w="4800"/>
            <w:tcBorders>
              <w:top w:val="single" w:color="94A3B8" w:sz="4"/>
              <w:left w:val="single" w:color="94A3B8" w:sz="4"/>
              <w:bottom w:val="single" w:color="94A3B8" w:sz="4"/>
              <w:right w:val="single" w:color="94A3B8" w:sz="4"/>
            </w:tcBorders>
            <w:tcMar>
              <w:top w:type="dxa" w:w="80"/>
              <w:left w:type="dxa" w:w="120"/>
              <w:bottom w:type="dxa" w:w="80"/>
              <w:right w:type="dxa" w:w="120"/>
            </w:tcMar>
          </w:tcPr>
          <w:p>
            <w:r>
              <w:rPr>
                <w:rFonts w:ascii="Arial" w:cs="Arial" w:eastAsia="Arial" w:hAnsi="Arial"/>
                <w:b w:val="false"/>
                <w:bCs w:val="false"/>
                <w:sz w:val="20"/>
                <w:szCs w:val="20"/>
              </w:rPr>
              <w:t xml:space="preserve">The five core seats and any seated +2 expansion are present. Each director's owned dimensions match the constitutional registry. The user interface exposes the configured tabs.</w:t>
            </w:r>
          </w:p>
        </w:tc>
      </w:tr>
    </w:tbl>
    <w:p>
      <w:pPr>
        <w:pStyle w:val="Heading2"/>
        <w:spacing w:after="160" w:before="280"/>
      </w:pPr>
      <w:r>
        <w:rPr>
          <w:rFonts w:ascii="Arial" w:cs="Arial" w:eastAsia="Arial" w:hAnsi="Arial"/>
          <w:b/>
          <w:bCs/>
          <w:color w:val="0B3D6E"/>
          <w:sz w:val="28"/>
          <w:szCs w:val="28"/>
        </w:rPr>
        <w:t xml:space="preserve">3.3 The Results Registry</w:t>
      </w:r>
    </w:p>
    <w:p>
      <w:pPr>
        <w:spacing w:after="120" w:before="80" w:line="300"/>
      </w:pPr>
      <w:r>
        <w:rPr>
          <w:rFonts w:ascii="Arial" w:cs="Arial" w:eastAsia="Arial" w:hAnsi="Arial"/>
          <w:sz w:val="22"/>
          <w:szCs w:val="22"/>
        </w:rPr>
        <w:t xml:space="preserve">Every assertion in every layer flows through a single Results registry. The registry has one method that matters: check(layer, name, ok, detail). Each call appends a row carrying the layer number, the assertion name, the PASS or FAIL status, and an optional detail string that is printed only on FAIL. The registry tracks a strict-mode flag that, when set, causes the suite to summary-and-exit on the first FAIL; when unset, the suite walks every layer to completion so the operator sees the whole shape of the deployment in one pass.</w:t>
      </w:r>
    </w:p>
    <w:p>
      <w:pPr>
        <w:spacing w:after="120" w:before="80" w:line="300"/>
      </w:pPr>
      <w:r>
        <w:rPr>
          <w:rFonts w:ascii="Arial" w:cs="Arial" w:eastAsia="Arial" w:hAnsi="Arial"/>
          <w:sz w:val="22"/>
          <w:szCs w:val="22"/>
        </w:rPr>
        <w:t xml:space="preserve">The registry's summary-and-exit method does three things. It prints a totals line — number of passes, number of failures, and the total assertion count. It prints a failure list — every FAIL row with its layer and detail. It optionally writes a JSON report to a path the operator names, carrying the same data in a machine-readable shape so the report can be ingested by any downstream tool. The exit code of the suite is the failure count: zero on a clean run, non-zero otherwise. This makes the suite trivially composable into any operator's existing automation, without the suite knowing or caring about that automation.</w:t>
      </w:r>
    </w:p>
    <w:p>
      <w:pPr>
        <w:pStyle w:val="Heading2"/>
        <w:spacing w:after="160" w:before="280"/>
      </w:pPr>
      <w:r>
        <w:rPr>
          <w:rFonts w:ascii="Arial" w:cs="Arial" w:eastAsia="Arial" w:hAnsi="Arial"/>
          <w:b/>
          <w:bCs/>
          <w:color w:val="0B3D6E"/>
          <w:sz w:val="28"/>
          <w:szCs w:val="28"/>
        </w:rPr>
        <w:t xml:space="preserve">3.4 The Parameterisation Surface</w:t>
      </w:r>
    </w:p>
    <w:p>
      <w:pPr>
        <w:spacing w:after="120" w:before="80" w:line="300"/>
      </w:pPr>
      <w:r>
        <w:rPr>
          <w:rFonts w:ascii="Arial" w:cs="Arial" w:eastAsia="Arial" w:hAnsi="Arial"/>
          <w:sz w:val="22"/>
          <w:szCs w:val="22"/>
        </w:rPr>
        <w:t xml:space="preserve">Every constant the suite uses is overridable from the command line. The path to the deployment under test, the path to the Flight Recorder chain, the path to the legacy key, the expected doctrine version, the expected user count, the expected asset count, the subscription-ratio band, the per-asset-kind expected counts, the tier-1 region floor, the minor-count band, the BOSS tier breakpoints, the non-idempotent penalty, the weight sum, the critical-dimension threshold, the layers to run, the layers to skip, the strict-mode flag, the JSON-report path, and the self-test flag are all command-line arguments. The same suite therefore runs against the canonical NetStreamX profile at one-hundred-by-one-hundred scale, against a thousand-by-thousand staging profile, against a ten-thousand-by-ten-thousand pre-production profile, or against any operator-defined profile, without code change.</w:t>
      </w:r>
    </w:p>
    <w:p>
      <w:pPr>
        <w:spacing w:after="120" w:before="80" w:line="300"/>
      </w:pPr>
      <w:r>
        <w:rPr>
          <w:rFonts w:ascii="Arial" w:cs="Arial" w:eastAsia="Arial" w:hAnsi="Arial"/>
          <w:sz w:val="22"/>
          <w:szCs w:val="22"/>
        </w:rPr>
        <w:t xml:space="preserve">This parameterisation is what makes the suite reusable. The same suite the reference NetStreamX team runs is the suite an operator's accounts-receivable team runs against the receivables-only canary in Phase 4 of Parallel Production Guidance. The same suite a regulator runs against an evidence pack at audit time is the suite the operator ran when the evidence pack was sealed. There is one suite, parameterised against many situations.</w:t>
      </w:r>
    </w:p>
    <w:p>
      <w:pPr>
        <w:pStyle w:val="Heading2"/>
        <w:spacing w:after="160" w:before="280"/>
      </w:pPr>
      <w:r>
        <w:rPr>
          <w:rFonts w:ascii="Arial" w:cs="Arial" w:eastAsia="Arial" w:hAnsi="Arial"/>
          <w:b/>
          <w:bCs/>
          <w:color w:val="0B3D6E"/>
          <w:sz w:val="28"/>
          <w:szCs w:val="28"/>
        </w:rPr>
        <w:t xml:space="preserve">3.5 The Self-Test Mode</w:t>
      </w:r>
    </w:p>
    <w:p>
      <w:pPr>
        <w:spacing w:after="120" w:before="80" w:line="300"/>
      </w:pPr>
      <w:r>
        <w:rPr>
          <w:rFonts w:ascii="Arial" w:cs="Arial" w:eastAsia="Arial" w:hAnsi="Arial"/>
          <w:sz w:val="22"/>
          <w:szCs w:val="22"/>
        </w:rPr>
        <w:t xml:space="preserve">The suite carries a self-test mode that builds a temporary deployment artefact set — a synthetic Flight Recorder chain, a synthetic doctrine seed, a synthetic directors registry — and runs the suite against it. The self-test is slow, because it stands up the artefact set from scratch on every invocation. It is the right mode for verifying the suite itself before running the suite against a live deployment, and for shaking out a fresh installation of the verification toolchain. The self-test does not run against any live data; it is an integrity check on the suite, not on the deployment.</w:t>
      </w:r>
    </w:p>
    <w:p>
      <w:pPr>
        <w:pStyle w:val="Heading1"/>
        <w:spacing w:after="200" w:before="360"/>
      </w:pPr>
      <w:r>
        <w:rPr>
          <w:rFonts w:ascii="Arial" w:cs="Arial" w:eastAsia="Arial" w:hAnsi="Arial"/>
          <w:b/>
          <w:bCs/>
          <w:color w:val="0B3D6E"/>
          <w:sz w:val="32"/>
          <w:szCs w:val="32"/>
        </w:rPr>
        <w:t xml:space="preserve">Part IV — The Ten Reference Layers in Detail</w:t>
      </w:r>
    </w:p>
    <w:p>
      <w:pPr>
        <w:spacing w:after="200" w:before="80"/>
        <w:jc w:val="left"/>
      </w:pPr>
      <w:r>
        <w:rPr>
          <w:rFonts w:ascii="Arial" w:cs="Arial" w:eastAsia="Arial" w:hAnsi="Arial"/>
          <w:i/>
          <w:iCs/>
          <w:color w:val="475569"/>
          <w:sz w:val="24"/>
          <w:szCs w:val="24"/>
        </w:rPr>
        <w:t xml:space="preserve">Each layer's job, in plain language, with the contracts it asserts and the failure modes it surfaces.</w:t>
      </w:r>
    </w:p>
    <w:p>
      <w:pPr>
        <w:pStyle w:val="Heading2"/>
        <w:spacing w:after="160" w:before="280"/>
      </w:pPr>
      <w:r>
        <w:rPr>
          <w:rFonts w:ascii="Arial" w:cs="Arial" w:eastAsia="Arial" w:hAnsi="Arial"/>
          <w:b/>
          <w:bCs/>
          <w:color w:val="0B3D6E"/>
          <w:sz w:val="28"/>
          <w:szCs w:val="28"/>
        </w:rPr>
        <w:t xml:space="preserve">4.1 Layer 1 — Code Health</w:t>
      </w:r>
    </w:p>
    <w:p>
      <w:pPr>
        <w:spacing w:after="120" w:before="80" w:line="300"/>
      </w:pPr>
      <w:r>
        <w:rPr>
          <w:rFonts w:ascii="Arial" w:cs="Arial" w:eastAsia="Arial" w:hAnsi="Arial"/>
          <w:sz w:val="22"/>
          <w:szCs w:val="22"/>
        </w:rPr>
        <w:t xml:space="preserve">The cheapest verification ADAM does is also the most powerful: every Python module in the deployment under test is parsed. The layer walks the canonical directories — the BOSS engine, the Flight Recorder, the Cryptographic Authorization Vault, the Exception Economy, the customer-facing application, the AGT integration, the arbitrator, and the digital-twin services — and runs the abstract syntax tree parser against each module. Modules that parse pass; modules that do not parse fail with the parser's own error string. This layer catches the largest class of accidental breakage before any of the more expensive layers run. A failure here is almost always a syntax error introduced by a hand edit, an unfinished refactor, or a bad merge.</w:t>
      </w:r>
    </w:p>
    <w:p>
      <w:pPr>
        <w:spacing w:after="120" w:before="80" w:line="300"/>
      </w:pPr>
      <w:r>
        <w:rPr>
          <w:rFonts w:ascii="Arial" w:cs="Arial" w:eastAsia="Arial" w:hAnsi="Arial"/>
          <w:sz w:val="22"/>
          <w:szCs w:val="22"/>
        </w:rPr>
        <w:t xml:space="preserve">Layer 1 has no preconditions. It runs in seconds. Operators are encouraged to run Layer 1 alone whenever they have made a code change, before any other layer.</w:t>
      </w:r>
    </w:p>
    <w:p>
      <w:pPr>
        <w:pStyle w:val="Heading2"/>
        <w:spacing w:after="160" w:before="280"/>
      </w:pPr>
      <w:r>
        <w:rPr>
          <w:rFonts w:ascii="Arial" w:cs="Arial" w:eastAsia="Arial" w:hAnsi="Arial"/>
          <w:b/>
          <w:bCs/>
          <w:color w:val="0B3D6E"/>
          <w:sz w:val="28"/>
          <w:szCs w:val="28"/>
        </w:rPr>
        <w:t xml:space="preserve">4.2 Layer 2 — Cryptography</w:t>
      </w:r>
    </w:p>
    <w:p>
      <w:pPr>
        <w:spacing w:after="120" w:before="80" w:line="300"/>
      </w:pPr>
      <w:r>
        <w:rPr>
          <w:rFonts w:ascii="Arial" w:cs="Arial" w:eastAsia="Arial" w:hAnsi="Arial"/>
          <w:sz w:val="22"/>
          <w:szCs w:val="22"/>
        </w:rPr>
        <w:t xml:space="preserve">Layer 2 stands up the Cryptographic Authorization Vault against a temporary keystore directory and exercises the sign, verify, and rotate operations across the configured algorithm matrix. The reference matrix carries Ed25519 as the classical baseline and ML-DSA-65 as the post-quantum signature. The layer asserts that the Vault bootstraps with the configured default algorithm; that signing returns a signature, key identifier, and algorithm tag; that verification succeeds on an unmodified payload and fails on a tampered payload; that rotation between algorithms returns a from-and-to record; that the post-rotation active algorithm is the new algorithm; that the pre-rotation key material is retained on disk so verification of pre-rotation signatures continues to work; and that a pre-rotation signature still verifies after the active algorithm has rotated.</w:t>
      </w:r>
    </w:p>
    <w:p>
      <w:pPr>
        <w:spacing w:after="120" w:before="80" w:line="300"/>
      </w:pPr>
      <w:r>
        <w:rPr>
          <w:rFonts w:ascii="Arial" w:cs="Arial" w:eastAsia="Arial" w:hAnsi="Arial"/>
          <w:sz w:val="22"/>
          <w:szCs w:val="22"/>
        </w:rPr>
        <w:t xml:space="preserve">The contracts asserted at Layer 2 are the contracts every other surface in ADAM relies on. If Layer 2 fails, no other layer can be trusted, because every Flight Recorder append, every Authorization Vault token, every Director Decision Receipt, and every Intent Object signature passes through the operations Layer 2 asserts.</w:t>
      </w:r>
    </w:p>
    <w:p>
      <w:pPr>
        <w:pStyle w:val="Heading2"/>
        <w:spacing w:after="160" w:before="280"/>
      </w:pPr>
      <w:r>
        <w:rPr>
          <w:rFonts w:ascii="Arial" w:cs="Arial" w:eastAsia="Arial" w:hAnsi="Arial"/>
          <w:b/>
          <w:bCs/>
          <w:color w:val="0B3D6E"/>
          <w:sz w:val="28"/>
          <w:szCs w:val="28"/>
        </w:rPr>
        <w:t xml:space="preserve">4.3 Layer 3 — Chain Integrity</w:t>
      </w:r>
    </w:p>
    <w:p>
      <w:pPr>
        <w:spacing w:after="120" w:before="80" w:line="300"/>
      </w:pPr>
      <w:r>
        <w:rPr>
          <w:rFonts w:ascii="Arial" w:cs="Arial" w:eastAsia="Arial" w:hAnsi="Arial"/>
          <w:sz w:val="22"/>
          <w:szCs w:val="22"/>
        </w:rPr>
        <w:t xml:space="preserve">Layer 3 reads the Flight Recorder chain — the live chain.sqlite or its operator-named equivalent — into a temporary directory and runs the Flight Recorder's own deep-verify routine against it. The routine walks every event from the genesis row to the head, recomputes the rolling hash, and verifies every dual-signature against the stored key material. The layer asserts that the hash chain has no errors, that the count of verified signatures matches the count of events, and that no signature failed verification. The layer then opens the temporary chain database and attempts an UPDATE and a DELETE against the entries table; both must be refused by the storage-layer WORM triggers. A successful UPDATE or DELETE is a Layer 3 failure, because it means the chain's append-only property is not enforced at the storage layer.</w:t>
      </w:r>
    </w:p>
    <w:p>
      <w:pPr>
        <w:spacing w:after="120" w:before="80" w:line="300"/>
      </w:pPr>
      <w:r>
        <w:rPr>
          <w:rFonts w:ascii="Arial" w:cs="Arial" w:eastAsia="Arial" w:hAnsi="Arial"/>
          <w:sz w:val="22"/>
          <w:szCs w:val="22"/>
        </w:rPr>
        <w:t xml:space="preserve">Layer 3 is the most expensive of the integrity layers because it walks every event in the chain. Operators with very large Flight Recorder corpora can configure Layer 3 to verify a rolling window — for example, the last fourteen days of events — for routine runs, and to verify the full chain at the cadence the directors require for evidence packs.</w:t>
      </w:r>
    </w:p>
    <w:p>
      <w:pPr>
        <w:pStyle w:val="Heading2"/>
        <w:spacing w:after="160" w:before="280"/>
      </w:pPr>
      <w:r>
        <w:rPr>
          <w:rFonts w:ascii="Arial" w:cs="Arial" w:eastAsia="Arial" w:hAnsi="Arial"/>
          <w:b/>
          <w:bCs/>
          <w:color w:val="0B3D6E"/>
          <w:sz w:val="28"/>
          <w:szCs w:val="28"/>
        </w:rPr>
        <w:t xml:space="preserve">4.4 Layer 4 — Governance Non-Negotiables</w:t>
      </w:r>
    </w:p>
    <w:p>
      <w:pPr>
        <w:spacing w:after="120" w:before="80" w:line="300"/>
      </w:pPr>
      <w:r>
        <w:rPr>
          <w:rFonts w:ascii="Arial" w:cs="Arial" w:eastAsia="Arial" w:hAnsi="Arial"/>
          <w:sz w:val="22"/>
          <w:szCs w:val="22"/>
        </w:rPr>
        <w:t xml:space="preserve">Layer 4 reads the deployment's doctrine artefacts and asserts the properties doctrine declares. The doctrine seed must carry a populated sacred boundaries list, an immutable flag set to true, and a board-approval flag set to true. If the operator has named an expected doctrine version, the doctrine version in the seed must match. The directors registry must declare its test-proxy mode correctly: the test-proxy must be enabled where the deployment profile expects it, the named real person on the proxy must match, the binding note must carry the cutover language doctrine specifies, and the directors-never-touch-workflows flag must be true. The exception-economy configuration must declare doctrine self-amendment as false and must name a sacred-boundaries override tier. The Cryptographic Authorization Vault source must contain the explicit refusals — the strings that document, in code, that no blockchain, no smart contract, and no DAO is anywhere in the constitutional path.</w:t>
      </w:r>
    </w:p>
    <w:p>
      <w:pPr>
        <w:spacing w:after="120" w:before="80" w:line="300"/>
      </w:pPr>
      <w:r>
        <w:rPr>
          <w:rFonts w:ascii="Arial" w:cs="Arial" w:eastAsia="Arial" w:hAnsi="Arial"/>
          <w:sz w:val="22"/>
          <w:szCs w:val="22"/>
        </w:rPr>
        <w:t xml:space="preserve">Layer 4 is the doctrine-immutability check. A failure here is almost always one of two things: a doctrine artefact that has drifted from board approval through some hand edit, or a code path that has had the no-blockchain, no-smart-contract, no-DAO refusals removed in a refactor. Either is serious and is treated as such.</w:t>
      </w:r>
    </w:p>
    <w:p>
      <w:pPr>
        <w:pStyle w:val="Heading2"/>
        <w:spacing w:after="160" w:before="280"/>
      </w:pPr>
      <w:r>
        <w:rPr>
          <w:rFonts w:ascii="Arial" w:cs="Arial" w:eastAsia="Arial" w:hAnsi="Arial"/>
          <w:b/>
          <w:bCs/>
          <w:color w:val="0B3D6E"/>
          <w:sz w:val="28"/>
          <w:szCs w:val="28"/>
        </w:rPr>
        <w:t xml:space="preserve">4.5 Layer 5 — BOSS Methodology</w:t>
      </w:r>
    </w:p>
    <w:p>
      <w:pPr>
        <w:spacing w:after="120" w:before="80" w:line="300"/>
      </w:pPr>
      <w:r>
        <w:rPr>
          <w:rFonts w:ascii="Arial" w:cs="Arial" w:eastAsia="Arial" w:hAnsi="Arial"/>
          <w:sz w:val="22"/>
          <w:szCs w:val="22"/>
        </w:rPr>
        <w:t xml:space="preserve">Layer 5 imports the BOSS scoring engine and runs its published methodology against a small set of canonical inputs. The layer asserts the configuration constants: the weight sum equals the configured value, the non-idempotent penalty equals the configured additive, and the composite cap equals one hundred. The layer then runs three reference inputs: an all-zero dimension vector that must produce a composite of zero and a routing tier of SOAP; an all-fifty vector that must produce a composite of fifty and a routing tier of ELEVATED; and an all-seventy-five vector that must produce a routing tier of HIGH. The layer then exercises the critical-dimension override: a single-dimension-eighty vector with the rest at zero must trigger the override, and the same vector with the non-idempotent flag set must produce the override-base-plus-penalty composite the methodology specifies. The layer finally walks the canonical sample-intent bundle in the deployment's intent directory and asserts that every sample routes to its expected tier.</w:t>
      </w:r>
    </w:p>
    <w:p>
      <w:pPr>
        <w:spacing w:after="120" w:before="80" w:line="300"/>
      </w:pPr>
      <w:r>
        <w:rPr>
          <w:rFonts w:ascii="Arial" w:cs="Arial" w:eastAsia="Arial" w:hAnsi="Arial"/>
          <w:sz w:val="22"/>
          <w:szCs w:val="22"/>
        </w:rPr>
        <w:t xml:space="preserve">Layer 5 is the contract on the scoring methodology. If the methodology drifts — through a refactor that subtly changes the composite formula, or through a configuration change that alters a tier breakpoint without an authored amendment — Layer 5 catches it before the calibration loop or the routing surface notices.</w:t>
      </w:r>
    </w:p>
    <w:p>
      <w:pPr>
        <w:pStyle w:val="Heading2"/>
        <w:spacing w:after="160" w:before="280"/>
      </w:pPr>
      <w:r>
        <w:rPr>
          <w:rFonts w:ascii="Arial" w:cs="Arial" w:eastAsia="Arial" w:hAnsi="Arial"/>
          <w:b/>
          <w:bCs/>
          <w:color w:val="0B3D6E"/>
          <w:sz w:val="28"/>
          <w:szCs w:val="28"/>
        </w:rPr>
        <w:t xml:space="preserve">4.6 Layer 6 — End-to-End Flow</w:t>
      </w:r>
    </w:p>
    <w:p>
      <w:pPr>
        <w:spacing w:after="120" w:before="80" w:line="300"/>
      </w:pPr>
      <w:r>
        <w:rPr>
          <w:rFonts w:ascii="Arial" w:cs="Arial" w:eastAsia="Arial" w:hAnsi="Arial"/>
          <w:sz w:val="22"/>
          <w:szCs w:val="22"/>
        </w:rPr>
        <w:t xml:space="preserve">Layer 6 reads the customer-facing application source and asserts that the policy gates are present in the right places. The reference profile asserts that an under-thirteen signup is rejected and that the rejection emits an intent_rejected event referencing the relevant child-protection regulation; that the playback path checks the requesting region, the requester's age against the asset's rating, the rights-cleared flag on the asset, the requester's subscription tier against the asset's required tier, and the asset's taken-down flag; and that the recommendation generator does not consume individual viewing data — the recommender must use only aggregated signals.</w:t>
      </w:r>
    </w:p>
    <w:p>
      <w:pPr>
        <w:spacing w:after="120" w:before="80" w:line="300"/>
      </w:pPr>
      <w:r>
        <w:rPr>
          <w:rFonts w:ascii="Arial" w:cs="Arial" w:eastAsia="Arial" w:hAnsi="Arial"/>
          <w:sz w:val="22"/>
          <w:szCs w:val="22"/>
        </w:rPr>
        <w:t xml:space="preserve">Layer 6 in the reference profile is source-level: it asserts that the policy gates are present in the source. An operator that wants Layer 6 to assert behaviour at runtime — a black-box test that drives the live application and asserts the policy gates fire correctly — extends Layer 6 with a runtime probe (e.g., the e2e_smoke runner that ships alongside the main suite). Both kinds of Layer 6 are valid; the reference profile is the cheaper of the two.</w:t>
      </w:r>
    </w:p>
    <w:p>
      <w:pPr>
        <w:pStyle w:val="Heading2"/>
        <w:spacing w:after="160" w:before="280"/>
      </w:pPr>
      <w:r>
        <w:rPr>
          <w:rFonts w:ascii="Arial" w:cs="Arial" w:eastAsia="Arial" w:hAnsi="Arial"/>
          <w:b/>
          <w:bCs/>
          <w:color w:val="0B3D6E"/>
          <w:sz w:val="28"/>
          <w:szCs w:val="28"/>
        </w:rPr>
        <w:t xml:space="preserve">4.7 Layer 7 — OWASP Agentic AI</w:t>
      </w:r>
    </w:p>
    <w:p>
      <w:pPr>
        <w:spacing w:after="120" w:before="80" w:line="300"/>
      </w:pPr>
      <w:r>
        <w:rPr>
          <w:rFonts w:ascii="Arial" w:cs="Arial" w:eastAsia="Arial" w:hAnsi="Arial"/>
          <w:sz w:val="22"/>
          <w:szCs w:val="22"/>
        </w:rPr>
        <w:t xml:space="preserve">Layer 7 reads the deployment's compliance frameworks declaration and asserts that the OWASP Agentic AI risk register is named. It then walks each of the canonical risks — AA01 Authentication and Authorization, AA02 Improper Interpretation, AA03 Tool Misuse, AA04 Insecure Output Handling, AA05 Insecure Plugin Design, AA06 Excessive Agency, AA07 Sensitive Data Disclosure, AA08 Vector and Embedding Manipulation, AA09 Tool Tampering, AA10 Plugin Privilege Escalation — and asserts that a named mitigation surface is present in the deployed code or configuration. The mitigation surface is named in the layer; the layer is doing the binding between the risk taxonomy and the live deployment.</w:t>
      </w:r>
    </w:p>
    <w:p>
      <w:pPr>
        <w:spacing w:after="120" w:before="80" w:line="300"/>
      </w:pPr>
      <w:r>
        <w:rPr>
          <w:rFonts w:ascii="Arial" w:cs="Arial" w:eastAsia="Arial" w:hAnsi="Arial"/>
          <w:sz w:val="22"/>
          <w:szCs w:val="22"/>
        </w:rPr>
        <w:t xml:space="preserve">Layer 7 is part contracts and part inventory. As the OWASP risk register evolves, an operator extends Layer 7 with the new risks and the new mitigation surfaces. The pattern of "each named risk has a named mitigation in the running code" is the durable shape of the layer; the specific risks and mitigations are the configurable content.</w:t>
      </w:r>
    </w:p>
    <w:p>
      <w:pPr>
        <w:pStyle w:val="Heading2"/>
        <w:spacing w:after="160" w:before="280"/>
      </w:pPr>
      <w:r>
        <w:rPr>
          <w:rFonts w:ascii="Arial" w:cs="Arial" w:eastAsia="Arial" w:hAnsi="Arial"/>
          <w:b/>
          <w:bCs/>
          <w:color w:val="0B3D6E"/>
          <w:sz w:val="28"/>
          <w:szCs w:val="28"/>
        </w:rPr>
        <w:t xml:space="preserve">4.8 Layer 8 — AI-Control Bounds</w:t>
      </w:r>
    </w:p>
    <w:p>
      <w:pPr>
        <w:spacing w:after="120" w:before="80" w:line="300"/>
      </w:pPr>
      <w:r>
        <w:rPr>
          <w:rFonts w:ascii="Arial" w:cs="Arial" w:eastAsia="Arial" w:hAnsi="Arial"/>
          <w:sz w:val="22"/>
          <w:szCs w:val="22"/>
        </w:rPr>
        <w:t xml:space="preserve">Layer 8 reads the runtime governance interface source and the DNA configuration. The layer asserts that the reinforcement-learning check endpoint is present and reachable, that a sacred-boundary keyword or pattern filter is loaded into the endpoint, that the BOSS ceiling for online learning matches the configured value (the reference profile uses the MODERATE tier ceiling), that the endpoint emits the rl_training_bounds_violation event when bounds are breached, and that it emits the rl_training_started event when training begins inside the bounds. The layer then reads the DNA and asserts that the runtime reinforcement-learning configuration matches the test-profile expectation — disabled by default in the canonical profile.</w:t>
      </w:r>
    </w:p>
    <w:p>
      <w:pPr>
        <w:spacing w:after="120" w:before="80" w:line="300"/>
      </w:pPr>
      <w:r>
        <w:rPr>
          <w:rFonts w:ascii="Arial" w:cs="Arial" w:eastAsia="Arial" w:hAnsi="Arial"/>
          <w:sz w:val="22"/>
          <w:szCs w:val="22"/>
        </w:rPr>
        <w:t xml:space="preserve">Layer 8 is the AI-control posture check. As ADAM's autonomy throttling is connected to the AI-Control Attack Exposure sub-score in BOSS, Layer 8 is the layer that catches a deployment where the throttling has been disabled or weakened by configuration drift.</w:t>
      </w:r>
    </w:p>
    <w:p>
      <w:pPr>
        <w:pStyle w:val="Heading2"/>
        <w:spacing w:after="160" w:before="280"/>
      </w:pPr>
      <w:r>
        <w:rPr>
          <w:rFonts w:ascii="Arial" w:cs="Arial" w:eastAsia="Arial" w:hAnsi="Arial"/>
          <w:b/>
          <w:bCs/>
          <w:color w:val="0B3D6E"/>
          <w:sz w:val="28"/>
          <w:szCs w:val="28"/>
        </w:rPr>
        <w:t xml:space="preserve">4.9 Layer 9 — Customer Seed Sanity</w:t>
      </w:r>
    </w:p>
    <w:p>
      <w:pPr>
        <w:spacing w:after="120" w:before="80" w:line="300"/>
      </w:pPr>
      <w:r>
        <w:rPr>
          <w:rFonts w:ascii="Arial" w:cs="Arial" w:eastAsia="Arial" w:hAnsi="Arial"/>
          <w:sz w:val="22"/>
          <w:szCs w:val="22"/>
        </w:rPr>
        <w:t xml:space="preserve">Layer 9 spawns the deployment's seed-data generator into a temporary database, with the configured user count and asset count, and reads the resulting database back. The layer asserts that the user count matches; that the asset count matches; that the subscription-to-user ratio falls within the configured band; that the user distribution across regions has at least the configured floor in the tier-1 region set; that the asset-kind mix matches the per-kind expected counts; and that the minor-count falls within the configured band. The layer is the contract on the synthetic-data path: the test profile is only meaningful if the data the test profile is run against actually has the shape the profile declared.</w:t>
      </w:r>
    </w:p>
    <w:p>
      <w:pPr>
        <w:spacing w:after="120" w:before="80" w:line="300"/>
      </w:pPr>
      <w:r>
        <w:rPr>
          <w:rFonts w:ascii="Arial" w:cs="Arial" w:eastAsia="Arial" w:hAnsi="Arial"/>
          <w:sz w:val="22"/>
          <w:szCs w:val="22"/>
        </w:rPr>
        <w:t xml:space="preserve">Layer 9 is the slowest layer because it spawns a subprocess and writes a fresh database on every run. Operators are encouraged to skip Layer 9 in routine runs and to include it in the runs that produce evidence packs for phase gates and audits.</w:t>
      </w:r>
    </w:p>
    <w:p>
      <w:pPr>
        <w:pStyle w:val="Heading2"/>
        <w:spacing w:after="160" w:before="280"/>
      </w:pPr>
      <w:r>
        <w:rPr>
          <w:rFonts w:ascii="Arial" w:cs="Arial" w:eastAsia="Arial" w:hAnsi="Arial"/>
          <w:b/>
          <w:bCs/>
          <w:color w:val="0B3D6E"/>
          <w:sz w:val="28"/>
          <w:szCs w:val="28"/>
        </w:rPr>
        <w:t xml:space="preserve">4.10 Layer 10 — Director Console Mapping</w:t>
      </w:r>
    </w:p>
    <w:p>
      <w:pPr>
        <w:spacing w:after="120" w:before="80" w:line="300"/>
      </w:pPr>
      <w:r>
        <w:rPr>
          <w:rFonts w:ascii="Arial" w:cs="Arial" w:eastAsia="Arial" w:hAnsi="Arial"/>
          <w:sz w:val="22"/>
          <w:szCs w:val="22"/>
        </w:rPr>
        <w:t xml:space="preserve">Layer 10 reads the directors registry and the application's user interface and asserts the constitutional alignment. Each director seat — CEO, CFO, Legal Director, Market Director, CISO — must own the BOSS dimensions the constitution declares. The optional CPO and CTO seats must be in the configured active or inactive state. The test-proxy-mode roster must represent the constitutional seats the deployment profile declares it represents. The user interface must expose the configured per-seat tabs.</w:t>
      </w:r>
    </w:p>
    <w:p>
      <w:pPr>
        <w:spacing w:after="120" w:before="80" w:line="300"/>
      </w:pPr>
      <w:r>
        <w:rPr>
          <w:rFonts w:ascii="Arial" w:cs="Arial" w:eastAsia="Arial" w:hAnsi="Arial"/>
          <w:sz w:val="22"/>
          <w:szCs w:val="22"/>
        </w:rPr>
        <w:t xml:space="preserve">Layer 10 is the director-surface alignment check. As the Director Constitution evolves — through a +2 expansion, a board-approved seat reassignment, or a constitutional amendment — Layer 10 is the layer the operator extends to keep the running deployment in alignment with the constitution.</w:t>
      </w:r>
    </w:p>
    <w:p>
      <w:pPr>
        <w:pStyle w:val="Heading1"/>
        <w:spacing w:after="200" w:before="360"/>
      </w:pPr>
      <w:r>
        <w:rPr>
          <w:rFonts w:ascii="Arial" w:cs="Arial" w:eastAsia="Arial" w:hAnsi="Arial"/>
          <w:b/>
          <w:bCs/>
          <w:color w:val="0B3D6E"/>
          <w:sz w:val="32"/>
          <w:szCs w:val="32"/>
        </w:rPr>
        <w:t xml:space="preserve">Part V — Evidence Packs and the Reporting Model</w:t>
      </w:r>
    </w:p>
    <w:p>
      <w:pPr>
        <w:spacing w:after="200" w:before="80"/>
        <w:jc w:val="left"/>
      </w:pPr>
      <w:r>
        <w:rPr>
          <w:rFonts w:ascii="Arial" w:cs="Arial" w:eastAsia="Arial" w:hAnsi="Arial"/>
          <w:i/>
          <w:iCs/>
          <w:color w:val="475569"/>
          <w:sz w:val="24"/>
          <w:szCs w:val="24"/>
        </w:rPr>
        <w:t xml:space="preserve">The harness emits two reports. One is for machines. The optional other is for humans.</w:t>
      </w:r>
    </w:p>
    <w:p>
      <w:pPr>
        <w:pStyle w:val="Heading2"/>
        <w:spacing w:after="160" w:before="280"/>
      </w:pPr>
      <w:r>
        <w:rPr>
          <w:rFonts w:ascii="Arial" w:cs="Arial" w:eastAsia="Arial" w:hAnsi="Arial"/>
          <w:b/>
          <w:bCs/>
          <w:color w:val="0B3D6E"/>
          <w:sz w:val="28"/>
          <w:szCs w:val="28"/>
        </w:rPr>
        <w:t xml:space="preserve">5.1 The Machine-Readable Report</w:t>
      </w:r>
    </w:p>
    <w:p>
      <w:pPr>
        <w:spacing w:after="120" w:before="80" w:line="300"/>
      </w:pPr>
      <w:r>
        <w:rPr>
          <w:rFonts w:ascii="Arial" w:cs="Arial" w:eastAsia="Arial" w:hAnsi="Arial"/>
          <w:sz w:val="22"/>
          <w:szCs w:val="22"/>
        </w:rPr>
        <w:t xml:space="preserve">The suite's primary output is the machine-readable JSON report. The report carries a totals block — the count of assertions, the count of passes, the count of failures — and a per-assertion block — every assertion the suite ran, with its layer number, its assertion name, its PASS or FAIL status, and the detail string that accompanies a FAIL. The report is the source of truth for any downstream tool that consumes the suite's output: the Directors Dashboard's QA tile, the Parallel Production Guidance phase-gate harness, the Doctrine Amendment Process backfill report, and the auditor's evidence-pack ingest.</w:t>
      </w:r>
    </w:p>
    <w:p>
      <w:pPr>
        <w:spacing w:after="120" w:before="80" w:line="300"/>
      </w:pPr>
      <w:r>
        <w:rPr>
          <w:rFonts w:ascii="Arial" w:cs="Arial" w:eastAsia="Arial" w:hAnsi="Arial"/>
          <w:sz w:val="22"/>
          <w:szCs w:val="22"/>
        </w:rPr>
        <w:t xml:space="preserve">The report is a single file. It is timestamp-stamped through the operator's automation, not through the suite, so the report's filename is whatever the operator's automation chooses. The suite writes only what the operator names through the JSON-report argument; the operator is the one who decides where reports live, how they are retained, and how they are signed for evidence-pack inclusion.</w:t>
      </w:r>
    </w:p>
    <w:p>
      <w:pPr>
        <w:pStyle w:val="Heading2"/>
        <w:spacing w:after="160" w:before="280"/>
      </w:pPr>
      <w:r>
        <w:rPr>
          <w:rFonts w:ascii="Arial" w:cs="Arial" w:eastAsia="Arial" w:hAnsi="Arial"/>
          <w:b/>
          <w:bCs/>
          <w:color w:val="0B3D6E"/>
          <w:sz w:val="28"/>
          <w:szCs w:val="28"/>
        </w:rPr>
        <w:t xml:space="preserve">5.2 The Optional Human Report Function</w:t>
      </w:r>
    </w:p>
    <w:p>
      <w:pPr>
        <w:spacing w:after="120" w:before="80" w:line="300"/>
      </w:pPr>
      <w:r>
        <w:rPr>
          <w:rFonts w:ascii="Arial" w:cs="Arial" w:eastAsia="Arial" w:hAnsi="Arial"/>
          <w:sz w:val="22"/>
          <w:szCs w:val="22"/>
        </w:rPr>
        <w:t xml:space="preserve">The suite carries an optional human report function. Where the machine-readable JSON is the substrate for downstream automation, the human report is a director-readable artefact: a single PDF or Markdown document that summarises the run in plain language, groups the assertions by layer, surfaces the failures up front, and carries a one-paragraph narrative for each failure that names the contract that did not hold and the section of the doctrine the contract belongs to. The human report is the form in which a director, an auditor, or a regulator reads the harness's output without having to read the JSON.</w:t>
      </w:r>
    </w:p>
    <w:p>
      <w:pPr>
        <w:spacing w:after="120" w:before="80" w:line="300"/>
      </w:pPr>
      <w:r>
        <w:rPr>
          <w:rFonts w:ascii="Arial" w:cs="Arial" w:eastAsia="Arial" w:hAnsi="Arial"/>
          <w:sz w:val="22"/>
          <w:szCs w:val="22"/>
        </w:rPr>
        <w:t xml:space="preserve">The human report is generated from the same machine-readable JSON, on demand, by a separate report generator that ships alongside the suite. The separation is intentional: the suite is responsible only for asserting the contracts and emitting the JSON; the report generator is responsible only for translating the JSON into a director-readable artefact. Either component may be replaced without the other; many operators replace the human report generator first, with their own house style.</w:t>
      </w:r>
    </w:p>
    <w:p>
      <w:pPr>
        <w:pStyle w:val="Heading2"/>
        <w:spacing w:after="160" w:before="280"/>
      </w:pPr>
      <w:r>
        <w:rPr>
          <w:rFonts w:ascii="Arial" w:cs="Arial" w:eastAsia="Arial" w:hAnsi="Arial"/>
          <w:b/>
          <w:bCs/>
          <w:color w:val="0B3D6E"/>
          <w:sz w:val="28"/>
          <w:szCs w:val="28"/>
        </w:rPr>
        <w:t xml:space="preserve">5.3 The Evidence Pack Posture</w:t>
      </w:r>
    </w:p>
    <w:p>
      <w:pPr>
        <w:spacing w:after="120" w:before="80" w:line="300"/>
      </w:pPr>
      <w:r>
        <w:rPr>
          <w:rFonts w:ascii="Arial" w:cs="Arial" w:eastAsia="Arial" w:hAnsi="Arial"/>
          <w:sz w:val="22"/>
          <w:szCs w:val="22"/>
        </w:rPr>
        <w:t xml:space="preserve">A clean harness run is one piece of evidence in a Parallel Production Guidance phase-gate evidence pack. It is not the only piece, and it is not the most important piece — that is the Director Constitution's signature. The harness report is the consistent shape of evidence that gives the directors a stable reference: every phase gate carries the same kind of report, every audit reads the same kind of report, every doctrine-amendment backfill cites the same kind of report. The consistency of shape is the value of the harness in the evidence pack; the contracts the harness asserts are the value of the harness everywhere else.</w:t>
      </w:r>
    </w:p>
    <w:p>
      <w:pPr>
        <w:pStyle w:val="Heading1"/>
        <w:spacing w:after="200" w:before="360"/>
      </w:pPr>
      <w:r>
        <w:rPr>
          <w:rFonts w:ascii="Arial" w:cs="Arial" w:eastAsia="Arial" w:hAnsi="Arial"/>
          <w:b/>
          <w:bCs/>
          <w:color w:val="0B3D6E"/>
          <w:sz w:val="32"/>
          <w:szCs w:val="32"/>
        </w:rPr>
        <w:t xml:space="preserve">Part VI — Lifecycle Integration</w:t>
      </w:r>
    </w:p>
    <w:p>
      <w:pPr>
        <w:spacing w:after="200" w:before="80"/>
        <w:jc w:val="left"/>
      </w:pPr>
      <w:r>
        <w:rPr>
          <w:rFonts w:ascii="Arial" w:cs="Arial" w:eastAsia="Arial" w:hAnsi="Arial"/>
          <w:i/>
          <w:iCs/>
          <w:color w:val="475569"/>
          <w:sz w:val="24"/>
          <w:szCs w:val="24"/>
        </w:rPr>
        <w:t xml:space="preserve">The harness is a tool. It earns its keep by fitting the lifecycle the deployment is already running.</w:t>
      </w:r>
    </w:p>
    <w:p>
      <w:pPr>
        <w:pStyle w:val="Heading2"/>
        <w:spacing w:after="160" w:before="280"/>
      </w:pPr>
      <w:r>
        <w:rPr>
          <w:rFonts w:ascii="Arial" w:cs="Arial" w:eastAsia="Arial" w:hAnsi="Arial"/>
          <w:b/>
          <w:bCs/>
          <w:color w:val="0B3D6E"/>
          <w:sz w:val="28"/>
          <w:szCs w:val="28"/>
        </w:rPr>
        <w:t xml:space="preserve">6.1 During Build Card Authoring</w:t>
      </w:r>
    </w:p>
    <w:p>
      <w:pPr>
        <w:spacing w:after="120" w:before="80" w:line="300"/>
      </w:pPr>
      <w:r>
        <w:rPr>
          <w:rFonts w:ascii="Arial" w:cs="Arial" w:eastAsia="Arial" w:hAnsi="Arial"/>
          <w:sz w:val="22"/>
          <w:szCs w:val="22"/>
        </w:rPr>
        <w:t xml:space="preserve">Build Cards are authored against a contract that is, in part, the Definition of Done in Section 20 of every card. The harness's Layer 1 catches code-health regressions in a card's referenced modules. Layer 2 catches cryptographic regressions in a card that touches signing or verification. Layer 4 catches doctrine-binding regressions in a card whose dependencies have moved. The harness is the cheap, fast feedback loop a card author runs while authoring; the Director Constitution's sign-off is the gate that admits the card to the running mesh.</w:t>
      </w:r>
    </w:p>
    <w:p>
      <w:pPr>
        <w:pStyle w:val="Heading2"/>
        <w:spacing w:after="160" w:before="280"/>
      </w:pPr>
      <w:r>
        <w:rPr>
          <w:rFonts w:ascii="Arial" w:cs="Arial" w:eastAsia="Arial" w:hAnsi="Arial"/>
          <w:b/>
          <w:bCs/>
          <w:color w:val="0B3D6E"/>
          <w:sz w:val="28"/>
          <w:szCs w:val="28"/>
        </w:rPr>
        <w:t xml:space="preserve">6.2 During Parallel Production Guidance</w:t>
      </w:r>
    </w:p>
    <w:p>
      <w:pPr>
        <w:spacing w:after="120" w:before="80" w:line="300"/>
      </w:pPr>
      <w:r>
        <w:rPr>
          <w:rFonts w:ascii="Arial" w:cs="Arial" w:eastAsia="Arial" w:hAnsi="Arial"/>
          <w:sz w:val="22"/>
          <w:szCs w:val="22"/>
        </w:rPr>
        <w:t xml:space="preserve">Each phase of Parallel Production Guidance produces an evidence pack. The harness's machine-readable JSON is the consistent shape of the verification piece of every evidence pack: Phase 1's exit pack carries a Layer 4 and Layer 9 dominant report; Phase 2's pack adds Layer 5 and the recommendation-acceptance metrics; Phase 3's pack adds Layer 6; Phase 4's pack carries the full reference suite, the canary-versus-legacy parity report, and the operational-KPI deltas; Phase 5's retirement-window-close pack carries the continuous-parity report and the absence-of-rollback-events report. The harness is one subsystem inside the larger evidence pipeline, not the pipeline itself.</w:t>
      </w:r>
    </w:p>
    <w:p>
      <w:pPr>
        <w:pStyle w:val="Heading2"/>
        <w:spacing w:after="160" w:before="280"/>
      </w:pPr>
      <w:r>
        <w:rPr>
          <w:rFonts w:ascii="Arial" w:cs="Arial" w:eastAsia="Arial" w:hAnsi="Arial"/>
          <w:b/>
          <w:bCs/>
          <w:color w:val="0B3D6E"/>
          <w:sz w:val="28"/>
          <w:szCs w:val="28"/>
        </w:rPr>
        <w:t xml:space="preserve">6.3 During the Doctrine Amendment Process</w:t>
      </w:r>
    </w:p>
    <w:p>
      <w:pPr>
        <w:spacing w:after="120" w:before="80" w:line="300"/>
      </w:pPr>
      <w:r>
        <w:rPr>
          <w:rFonts w:ascii="Arial" w:cs="Arial" w:eastAsia="Arial" w:hAnsi="Arial"/>
          <w:sz w:val="22"/>
          <w:szCs w:val="22"/>
        </w:rPr>
        <w:t xml:space="preserve">Every doctrine amendment requires a replayable backfill against the Flight Recorder corpus. The backfill runs the proposed doctrine against historical events and produces a routing-and-tier delta against the prior doctrine. The harness's Layer 5 is the pre-flight check on the proposed BOSS configuration before the backfill runs, and the harness's Layer 4 is the pre-flight check on the proposed doctrine seed. A failed pre-flight halts the amendment before any backfill runs, saving the corpus from a malformed amendment.</w:t>
      </w:r>
    </w:p>
    <w:p>
      <w:pPr>
        <w:pStyle w:val="Heading2"/>
        <w:spacing w:after="160" w:before="280"/>
      </w:pPr>
      <w:r>
        <w:rPr>
          <w:rFonts w:ascii="Arial" w:cs="Arial" w:eastAsia="Arial" w:hAnsi="Arial"/>
          <w:b/>
          <w:bCs/>
          <w:color w:val="0B3D6E"/>
          <w:sz w:val="28"/>
          <w:szCs w:val="28"/>
        </w:rPr>
        <w:t xml:space="preserve">6.4 During Calibration Adjustments</w:t>
      </w:r>
    </w:p>
    <w:p>
      <w:pPr>
        <w:spacing w:after="120" w:before="80" w:line="300"/>
      </w:pPr>
      <w:r>
        <w:rPr>
          <w:rFonts w:ascii="Arial" w:cs="Arial" w:eastAsia="Arial" w:hAnsi="Arial"/>
          <w:sz w:val="22"/>
          <w:szCs w:val="22"/>
        </w:rPr>
        <w:t xml:space="preserve">BOSS calibration changes are governed by the Calibration Owner Mandate. The harness's Layer 5 is the pre-flight on a proposed calibration: the layer asserts the methodology constants under the proposed configuration before the calibration is run against the Flight Recorder corpus. The Calibration Owner uses the harness to discover whether a proposed calibration is even self-consistent before exercising the calibration's adversarial-defence checks.</w:t>
      </w:r>
    </w:p>
    <w:p>
      <w:pPr>
        <w:pStyle w:val="Heading2"/>
        <w:spacing w:after="160" w:before="280"/>
      </w:pPr>
      <w:r>
        <w:rPr>
          <w:rFonts w:ascii="Arial" w:cs="Arial" w:eastAsia="Arial" w:hAnsi="Arial"/>
          <w:b/>
          <w:bCs/>
          <w:color w:val="0B3D6E"/>
          <w:sz w:val="28"/>
          <w:szCs w:val="28"/>
        </w:rPr>
        <w:t xml:space="preserve">6.5 During Continuous Operation</w:t>
      </w:r>
    </w:p>
    <w:p>
      <w:pPr>
        <w:spacing w:after="120" w:before="80" w:line="300"/>
      </w:pPr>
      <w:r>
        <w:rPr>
          <w:rFonts w:ascii="Arial" w:cs="Arial" w:eastAsia="Arial" w:hAnsi="Arial"/>
          <w:sz w:val="22"/>
          <w:szCs w:val="22"/>
        </w:rPr>
        <w:t xml:space="preserve">The harness is the routine health check on a running deployment. The reference profile runs the full suite weekly and a fast subset (Layers 1, 2, 4, 5) daily. The Directors Dashboard exposes the most recent harness run's totals as a status surface so the directors see, at the same cadence as everything else, whether the deployment is in shape today. A harness run that flips from clean to dirty is a Flight Recorder event; a harness run that has been clean for a long time is a Flight Recorder event when it expires, because no harness run is forever.</w:t>
      </w:r>
    </w:p>
    <w:p>
      <w:pPr>
        <w:pStyle w:val="Heading1"/>
        <w:spacing w:after="200" w:before="360"/>
      </w:pPr>
      <w:r>
        <w:rPr>
          <w:rFonts w:ascii="Arial" w:cs="Arial" w:eastAsia="Arial" w:hAnsi="Arial"/>
          <w:b/>
          <w:bCs/>
          <w:color w:val="0B3D6E"/>
          <w:sz w:val="32"/>
          <w:szCs w:val="32"/>
        </w:rPr>
        <w:t xml:space="preserve">Part VII — Operator Extension and Replacement</w:t>
      </w:r>
    </w:p>
    <w:p>
      <w:pPr>
        <w:spacing w:after="200" w:before="80"/>
        <w:jc w:val="left"/>
      </w:pPr>
      <w:r>
        <w:rPr>
          <w:rFonts w:ascii="Arial" w:cs="Arial" w:eastAsia="Arial" w:hAnsi="Arial"/>
          <w:i/>
          <w:iCs/>
          <w:color w:val="475569"/>
          <w:sz w:val="24"/>
          <w:szCs w:val="24"/>
        </w:rPr>
        <w:t xml:space="preserve">The suite is a starting point. The operator owns the toolchain.</w:t>
      </w:r>
    </w:p>
    <w:p>
      <w:pPr>
        <w:pStyle w:val="Heading2"/>
        <w:spacing w:after="160" w:before="280"/>
      </w:pPr>
      <w:r>
        <w:rPr>
          <w:rFonts w:ascii="Arial" w:cs="Arial" w:eastAsia="Arial" w:hAnsi="Arial"/>
          <w:b/>
          <w:bCs/>
          <w:color w:val="0B3D6E"/>
          <w:sz w:val="28"/>
          <w:szCs w:val="28"/>
        </w:rPr>
        <w:t xml:space="preserve">7.1 Adding a Layer</w:t>
      </w:r>
    </w:p>
    <w:p>
      <w:pPr>
        <w:spacing w:after="120" w:before="80" w:line="300"/>
      </w:pPr>
      <w:r>
        <w:rPr>
          <w:rFonts w:ascii="Arial" w:cs="Arial" w:eastAsia="Arial" w:hAnsi="Arial"/>
          <w:sz w:val="22"/>
          <w:szCs w:val="22"/>
        </w:rPr>
        <w:t xml:space="preserve">Adding a layer to the reference suite is a small, mechanical operation. The operator authors a function whose signature is layerN(cfg, results) where N is the next available layer number. The function reads what it needs from cfg, asserts the contracts the operator wants asserted, and writes each assertion through results.check. The operator registers the new function in the LAYER_FNS dictionary, picks a one-line name for the layer's section header, and the suite from that point forward includes the new layer in the default run, in the layers parameter, and in the JSON report. The new layer inherits strict-mode handling, JSON-report inclusion, and the single Results registry without further work.</w:t>
      </w:r>
    </w:p>
    <w:p>
      <w:pPr>
        <w:pStyle w:val="Heading2"/>
        <w:spacing w:after="160" w:before="280"/>
      </w:pPr>
      <w:r>
        <w:rPr>
          <w:rFonts w:ascii="Arial" w:cs="Arial" w:eastAsia="Arial" w:hAnsi="Arial"/>
          <w:b/>
          <w:bCs/>
          <w:color w:val="0B3D6E"/>
          <w:sz w:val="28"/>
          <w:szCs w:val="28"/>
        </w:rPr>
        <w:t xml:space="preserve">7.2 Replacing a Layer</w:t>
      </w:r>
    </w:p>
    <w:p>
      <w:pPr>
        <w:spacing w:after="120" w:before="80" w:line="300"/>
      </w:pPr>
      <w:r>
        <w:rPr>
          <w:rFonts w:ascii="Arial" w:cs="Arial" w:eastAsia="Arial" w:hAnsi="Arial"/>
          <w:sz w:val="22"/>
          <w:szCs w:val="22"/>
        </w:rPr>
        <w:t xml:space="preserve">Replacement is the same shape: an operator with a different verification approach for a given concern — for example, a cryptographic verification done through the operator's existing security-tooling pipeline rather than through the in-process Vault — replaces the body of the layer with calls into the operator's own pipeline and writes the results through results.check. The layer's identity in the suite remains the same; its implementation changes. The suite's downstream consumers — the JSON report, the human report generator, the Directors Dashboard tile — see the layer's output the same way they always did.</w:t>
      </w:r>
    </w:p>
    <w:p>
      <w:pPr>
        <w:pStyle w:val="Heading2"/>
        <w:spacing w:after="160" w:before="280"/>
      </w:pPr>
      <w:r>
        <w:rPr>
          <w:rFonts w:ascii="Arial" w:cs="Arial" w:eastAsia="Arial" w:hAnsi="Arial"/>
          <w:b/>
          <w:bCs/>
          <w:color w:val="0B3D6E"/>
          <w:sz w:val="28"/>
          <w:szCs w:val="28"/>
        </w:rPr>
        <w:t xml:space="preserve">7.3 Replacing the Whole Suite</w:t>
      </w:r>
    </w:p>
    <w:p>
      <w:pPr>
        <w:spacing w:after="120" w:before="80" w:line="300"/>
      </w:pPr>
      <w:r>
        <w:rPr>
          <w:rFonts w:ascii="Arial" w:cs="Arial" w:eastAsia="Arial" w:hAnsi="Arial"/>
          <w:sz w:val="22"/>
          <w:szCs w:val="22"/>
        </w:rPr>
        <w:t xml:space="preserve">An operator that runs a different verification toolchain altogether is welcome to do so. The contract from the doctrine's point of view is that an evidence pack carries a verification report of a known shape — a totals block and a per-assertion block — against a known set of contracts (the canonical contracts the reference suite asserts). The operator's alternative toolchain is acceptable if it produces the same shape of evidence against the same contracts. Where the operator's toolchain produces a different shape, the operator publishes a translator that maps the alternative toolchain's output to the canonical shape, and the rest of the lifecycle continues unchanged.</w:t>
      </w:r>
    </w:p>
    <w:p>
      <w:pPr>
        <w:pStyle w:val="Heading2"/>
        <w:spacing w:after="160" w:before="280"/>
      </w:pPr>
      <w:r>
        <w:rPr>
          <w:rFonts w:ascii="Arial" w:cs="Arial" w:eastAsia="Arial" w:hAnsi="Arial"/>
          <w:b/>
          <w:bCs/>
          <w:color w:val="0B3D6E"/>
          <w:sz w:val="28"/>
          <w:szCs w:val="28"/>
        </w:rPr>
        <w:t xml:space="preserve">7.4 The Doctrinal Boundary</w:t>
      </w:r>
    </w:p>
    <w:p>
      <w:pPr>
        <w:spacing w:after="120" w:before="80" w:line="300"/>
      </w:pPr>
      <w:r>
        <w:rPr>
          <w:rFonts w:ascii="Arial" w:cs="Arial" w:eastAsia="Arial" w:hAnsi="Arial"/>
          <w:sz w:val="22"/>
          <w:szCs w:val="22"/>
        </w:rPr>
        <w:t xml:space="preserve">The operator owns the toolchain. The doctrine owns the contracts. The harness is one prebuilt way to check the contracts. The doctrine, the contracts, and the verification model do not move when the operator extends, replaces, or substitutes the toolchain. The Director Constitution's sign-off, the Cryptographic Authorization Vault's enforcement, and the Flight Recorder's evidence chain are unchanged. This is the doctrinal boundary, drawn explicitly so the suite can be useful without becoming load-bearing.</w:t>
      </w:r>
    </w:p>
    <w:p>
      <w:pPr>
        <w:pStyle w:val="Heading1"/>
        <w:spacing w:after="200" w:before="360"/>
      </w:pPr>
      <w:r>
        <w:rPr>
          <w:rFonts w:ascii="Arial" w:cs="Arial" w:eastAsia="Arial" w:hAnsi="Arial"/>
          <w:b/>
          <w:bCs/>
          <w:color w:val="0B3D6E"/>
          <w:sz w:val="32"/>
          <w:szCs w:val="32"/>
        </w:rPr>
        <w:t xml:space="preserve">Part VIII — The 100/100 Reference Target</w:t>
      </w:r>
    </w:p>
    <w:p>
      <w:pPr>
        <w:spacing w:after="200" w:before="80"/>
        <w:jc w:val="left"/>
      </w:pPr>
      <w:r>
        <w:rPr>
          <w:rFonts w:ascii="Arial" w:cs="Arial" w:eastAsia="Arial" w:hAnsi="Arial"/>
          <w:i/>
          <w:iCs/>
          <w:color w:val="475569"/>
          <w:sz w:val="24"/>
          <w:szCs w:val="24"/>
        </w:rPr>
        <w:t xml:space="preserve">A specific number, with a specific meaning. Not a doctrine.</w:t>
      </w:r>
    </w:p>
    <w:p>
      <w:pPr>
        <w:pStyle w:val="Heading2"/>
        <w:spacing w:after="160" w:before="280"/>
      </w:pPr>
      <w:r>
        <w:rPr>
          <w:rFonts w:ascii="Arial" w:cs="Arial" w:eastAsia="Arial" w:hAnsi="Arial"/>
          <w:b/>
          <w:bCs/>
          <w:color w:val="0B3D6E"/>
          <w:sz w:val="28"/>
          <w:szCs w:val="28"/>
        </w:rPr>
        <w:t xml:space="preserve">8.1 What 100/100 Means</w:t>
      </w:r>
    </w:p>
    <w:p>
      <w:pPr>
        <w:spacing w:after="120" w:before="80" w:line="300"/>
      </w:pPr>
      <w:r>
        <w:rPr>
          <w:rFonts w:ascii="Arial" w:cs="Arial" w:eastAsia="Arial" w:hAnsi="Arial"/>
          <w:sz w:val="22"/>
          <w:szCs w:val="22"/>
        </w:rPr>
        <w:t xml:space="preserve">The published reference target is a one-hundred-by-one-hundred clean run: one hundred passes out of one hundred scenarios across the reference suite. The number is a reference, not a doctrine. It says: the reference suite, run against the canonical NetStreamX deployment profile at the canonical scale (one hundred users, one hundred assets), with the canonical layer set (ten layers), should produce one hundred PASSes and zero FAILs. An operator's deployment that runs the suite at a different scale, with a different layer set, or against a different profile will produce a different denominator and may produce a different numerator. The shape — full-pass clean run — is the reference; the specific numbers are the reference profile.</w:t>
      </w:r>
    </w:p>
    <w:p>
      <w:pPr>
        <w:pStyle w:val="Heading2"/>
        <w:spacing w:after="160" w:before="280"/>
      </w:pPr>
      <w:r>
        <w:rPr>
          <w:rFonts w:ascii="Arial" w:cs="Arial" w:eastAsia="Arial" w:hAnsi="Arial"/>
          <w:b/>
          <w:bCs/>
          <w:color w:val="0B3D6E"/>
          <w:sz w:val="28"/>
          <w:szCs w:val="28"/>
        </w:rPr>
        <w:t xml:space="preserve">8.2 Where 100/100 Is the Right Target</w:t>
      </w:r>
    </w:p>
    <w:p>
      <w:pPr>
        <w:spacing w:after="120" w:before="80" w:line="300"/>
      </w:pPr>
      <w:r>
        <w:rPr>
          <w:rFonts w:ascii="Arial" w:cs="Arial" w:eastAsia="Arial" w:hAnsi="Arial"/>
          <w:sz w:val="22"/>
          <w:szCs w:val="22"/>
        </w:rPr>
        <w:t xml:space="preserve">The reference target is the right one for the canonical NetStreamX profile, for the doctrinal-conformance reference deployments described in the SpecPack, and for the published-evidence-pack runs that accompany each release of ADAM. It is the calibration point against which an operator's first deployment is measured. An operator that hits one hundred out of one hundred against the reference profile is at the same operating posture the reference deployment is at; an operator that does not is in a position to investigate the gap.</w:t>
      </w:r>
    </w:p>
    <w:p>
      <w:pPr>
        <w:pStyle w:val="Heading2"/>
        <w:spacing w:after="160" w:before="280"/>
      </w:pPr>
      <w:r>
        <w:rPr>
          <w:rFonts w:ascii="Arial" w:cs="Arial" w:eastAsia="Arial" w:hAnsi="Arial"/>
          <w:b/>
          <w:bCs/>
          <w:color w:val="0B3D6E"/>
          <w:sz w:val="28"/>
          <w:szCs w:val="28"/>
        </w:rPr>
        <w:t xml:space="preserve">8.3 Where 100/100 Is Not the Target</w:t>
      </w:r>
    </w:p>
    <w:p>
      <w:pPr>
        <w:spacing w:after="120" w:before="80" w:line="300"/>
      </w:pPr>
      <w:r>
        <w:rPr>
          <w:rFonts w:ascii="Arial" w:cs="Arial" w:eastAsia="Arial" w:hAnsi="Arial"/>
          <w:sz w:val="22"/>
          <w:szCs w:val="22"/>
        </w:rPr>
        <w:t xml:space="preserve">The reference target is not the right one for an operator's production deployment at production scale. Production scale produces a different denominator — a thousand-by-thousand profile produces several hundred more assertions in Layer 9 alone. Production deployments produce different layer compositions — an operator with a clinical workflow runs additional layers around HL7 and FHIR conformance; an operator with a manufacturing workflow runs additional layers around OPC-UA and the safety-instrumented-system signal set. The published reference target is the calibration point. The operator's target is the operator's target, and is documented in the operator's deployment specification, not in this support document.</w:t>
      </w:r>
    </w:p>
    <w:p>
      <w:pPr>
        <w:pStyle w:val="Heading1"/>
        <w:spacing w:after="200" w:before="360"/>
      </w:pPr>
      <w:r>
        <w:rPr>
          <w:rFonts w:ascii="Arial" w:cs="Arial" w:eastAsia="Arial" w:hAnsi="Arial"/>
          <w:b/>
          <w:bCs/>
          <w:color w:val="0B3D6E"/>
          <w:sz w:val="32"/>
          <w:szCs w:val="32"/>
        </w:rPr>
        <w:t xml:space="preserve">Part IX — What This Support Document Is Not</w:t>
      </w:r>
    </w:p>
    <w:p>
      <w:pPr>
        <w:spacing w:after="200" w:before="80"/>
        <w:jc w:val="left"/>
      </w:pPr>
      <w:r>
        <w:rPr>
          <w:rFonts w:ascii="Arial" w:cs="Arial" w:eastAsia="Arial" w:hAnsi="Arial"/>
          <w:i/>
          <w:iCs/>
          <w:color w:val="475569"/>
          <w:sz w:val="24"/>
          <w:szCs w:val="24"/>
        </w:rPr>
        <w:t xml:space="preserve">Boundary-drawing, so the doctrine is not misread.</w:t>
      </w:r>
    </w:p>
    <w:p>
      <w:pPr>
        <w:spacing w:after="120" w:before="80" w:line="300"/>
      </w:pPr>
      <w:r>
        <w:rPr>
          <w:rFonts w:ascii="Arial" w:cs="Arial" w:eastAsia="Arial" w:hAnsi="Arial"/>
          <w:sz w:val="22"/>
          <w:szCs w:val="22"/>
        </w:rPr>
        <w:t xml:space="preserve">This document is not a doctrine. The QA Harness Suite is a tool, and a tool can be used, extended, replaced, or set aside. The doctrine that sits above it — the Director Constitution, the Cryptographic Authorization Vault, the Flight Recorder evidence chain, the BOSS scoring loop, and the Build Card contract — is what binds. This document describes a tool that is useful for checking whether the doctrine holds in a live deployment. It does not declare anything about the deployment that the doctrine has not already declared.</w:t>
      </w:r>
    </w:p>
    <w:p>
      <w:pPr>
        <w:spacing w:after="120" w:before="80" w:line="300"/>
      </w:pPr>
      <w:r>
        <w:rPr>
          <w:rFonts w:ascii="Arial" w:cs="Arial" w:eastAsia="Arial" w:hAnsi="Arial"/>
          <w:sz w:val="22"/>
          <w:szCs w:val="22"/>
        </w:rPr>
        <w:t xml:space="preserve">This document is not a CI/CD specification. The harness is composable into any operator's automation: the exit code is the failure count, the JSON report is the machine-readable artefact, and the parameterisation surface lets the same suite run in many situations. How the operator wires the suite into a build pipeline, a deployment pipeline, or a continuous-monitoring pipeline is the operator's choice.</w:t>
      </w:r>
    </w:p>
    <w:p>
      <w:pPr>
        <w:spacing w:after="120" w:before="80" w:line="300"/>
      </w:pPr>
      <w:r>
        <w:rPr>
          <w:rFonts w:ascii="Arial" w:cs="Arial" w:eastAsia="Arial" w:hAnsi="Arial"/>
          <w:sz w:val="22"/>
          <w:szCs w:val="22"/>
        </w:rPr>
        <w:t xml:space="preserve">This document is not a substitute for testing. The harness asserts the contracts the deployment has already declared. Hypothetical-scenario testing, fuzzing, adversarial red-team work, performance testing, chaos testing, and the rest of the testing surface are valuable and complementary. The harness does not displace them; it sits next to them and answers a different question.</w:t>
      </w:r>
    </w:p>
    <w:p>
      <w:pPr>
        <w:spacing w:after="120" w:before="80" w:line="300"/>
      </w:pPr>
      <w:r>
        <w:rPr>
          <w:rFonts w:ascii="Arial" w:cs="Arial" w:eastAsia="Arial" w:hAnsi="Arial"/>
          <w:sz w:val="22"/>
          <w:szCs w:val="22"/>
        </w:rPr>
        <w:t xml:space="preserve">This document is not a substitute for the Director Constitution's judgement. A clean harness run does not authorise an action. A failed harness run does not refuse one. Only the Director Constitution authorises and refuses, through the surfaces the doctrine names. The harness produces evidence; the directors decide.</w:t>
      </w:r>
    </w:p>
    <w:p>
      <w:pPr>
        <w:pStyle w:val="Heading1"/>
        <w:spacing w:after="200" w:before="360"/>
      </w:pPr>
      <w:r>
        <w:rPr>
          <w:rFonts w:ascii="Arial" w:cs="Arial" w:eastAsia="Arial" w:hAnsi="Arial"/>
          <w:b/>
          <w:bCs/>
          <w:color w:val="0B3D6E"/>
          <w:sz w:val="32"/>
          <w:szCs w:val="32"/>
        </w:rPr>
        <w:t xml:space="preserve">Closing Note</w:t>
      </w:r>
    </w:p>
    <w:p>
      <w:pPr>
        <w:spacing w:after="120" w:before="80" w:line="300"/>
      </w:pPr>
      <w:r>
        <w:rPr>
          <w:rFonts w:ascii="Arial" w:cs="Arial" w:eastAsia="Arial" w:hAnsi="Arial"/>
          <w:sz w:val="22"/>
          <w:szCs w:val="22"/>
        </w:rPr>
        <w:t xml:space="preserve">The QA Harness Suite is the answer to a practical question: how does an operator, every day, against a deployment that is moving, know whether the deployment is in shape? The answer ADAM ships is a layered, parameterisable, extendable, replaceable verification toolchain that reads the deployment as it sits, asserts the contracts the doctrine declares, and produces a single artefact in a known shape. Operators who use the suite get a fast, consistent feedback loop. Operators who replace the suite with their own toolchain get to bring their existing investment forward. Operators who do neither get the same doctrine as everyone else, because the doctrine does not require any of them to do either.</w:t>
      </w:r>
    </w:p>
    <w:p>
      <w:pPr>
        <w:spacing w:after="120" w:before="80" w:line="300"/>
      </w:pPr>
      <w:r>
        <w:rPr>
          <w:rFonts w:ascii="Arial" w:cs="Arial" w:eastAsia="Arial" w:hAnsi="Arial"/>
          <w:sz w:val="22"/>
          <w:szCs w:val="22"/>
        </w:rPr>
        <w:t xml:space="preserve">The contract is the contract. The harness is one prebuilt way to check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i/>
        <w:iCs/>
        <w:color w:val="475569"/>
        <w:sz w:val="18"/>
        <w:szCs w:val="18"/>
      </w:rPr>
      <w:t xml:space="preserve">The contract is the contract. The harness is one prebuilt way to check it.</w:t>
    </w:r>
    <w:r>
      <w:rPr>
        <w:rFonts w:ascii="Arial" w:cs="Arial" w:eastAsia="Arial" w:hAnsi="Arial"/>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6E" w:sz="6" w:space="4"/>
      </w:pBdr>
      <w:jc w:val="right"/>
    </w:pPr>
    <w:r>
      <w:rPr>
        <w:rFonts w:ascii="Arial" w:cs="Arial" w:eastAsia="Arial" w:hAnsi="Arial"/>
        <w:i/>
        <w:iCs/>
        <w:color w:val="475569"/>
        <w:sz w:val="18"/>
        <w:szCs w:val="18"/>
      </w:rPr>
      <w:t xml:space="preserve">ADAM — QA Harness Suite — Quality Built 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3D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B3D6E"/>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21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QA Harness Suite — Quality Built In</dc:title>
  <dc:creator>ADAM SpecPack</dc:creator>
  <dc:description>Support Document — Reference Verification Toolchain Specification.</dc:description>
  <cp:lastModifiedBy>Un-named</cp:lastModifiedBy>
  <cp:revision>1</cp:revision>
  <dcterms:created xsi:type="dcterms:W3CDTF">2026-05-08T10:23:07.224Z</dcterms:created>
  <dcterms:modified xsi:type="dcterms:W3CDTF">2026-05-08T10:23:07.225Z</dcterms:modified>
</cp:coreProperties>
</file>

<file path=docProps/custom.xml><?xml version="1.0" encoding="utf-8"?>
<Properties xmlns="http://schemas.openxmlformats.org/officeDocument/2006/custom-properties" xmlns:vt="http://schemas.openxmlformats.org/officeDocument/2006/docPropsVTypes"/>
</file>