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Strategy Alignment Agent  ·  ai-strategy-align</w:t>
      </w:r>
    </w:p>
    <w:p>
      <w:r>
        <w:rPr>
          <w:i/>
          <w:sz w:val="16"/>
        </w:rPr>
        <w:t>Class: AI-Centric Division Agent    |    Subgroup: Corporate Strategy &amp; Governance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ai-strategy-align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Strategy Alignment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AI-Centric Division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2 (Continuous oversight)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Corporate Strategy &amp; Governance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CEO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ga-operations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did:adam:ai-strategy-align#&lt;dual_key_thumbprint_ed25519+mldsa65&gt;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 via mesh.py.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Translates strategy declarations into measurable objectives + KPIs; feeds objectives-seed and twin-enterprise.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Maintain strategy ontology (objective -&gt; KPI -&gt; metric).</w:t>
      </w:r>
    </w:p>
    <w:p>
      <w:pPr>
        <w:pStyle w:val="ListBullet"/>
      </w:pPr>
      <w:r>
        <w:rPr>
          <w:sz w:val="20"/>
        </w:rPr>
        <w:t>Run alignment regression: do current actions move KPIs in the right direction.</w:t>
      </w:r>
    </w:p>
    <w:p>
      <w:pPr>
        <w:pStyle w:val="ListBullet"/>
      </w:pPr>
      <w:r>
        <w:rPr>
          <w:sz w:val="20"/>
        </w:rPr>
        <w:t>Emit 'strategy_misaligned' on regression.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Authoring strategy (Director).</w:t>
      </w:r>
    </w:p>
    <w:p>
      <w:pPr>
        <w:pStyle w:val="ListBullet"/>
      </w:pPr>
      <w:r>
        <w:rPr>
          <w:sz w:val="20"/>
        </w:rPr>
        <w:t>Setting strategy (Director).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/sync</w:t>
      </w:r>
    </w:p>
    <w:p>
      <w:pPr>
        <w:pStyle w:val="ListBullet"/>
      </w:pPr>
      <w:r>
        <w:rPr>
          <w:sz w:val="20"/>
        </w:rPr>
        <w:t>POST /kpis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agent_id=ai-strategy-align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/sync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Sync from objectives-seed.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/kpis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KPIs.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strategy_ontology.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doctrinal_alignment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Co-owner.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Operates continuously; does not require per-action governor concurrence except for material policy/threshold changes.</w:t>
      </w:r>
    </w:p>
    <w:p>
      <w:pPr>
        <w:pStyle w:val="ListBullet"/>
      </w:pPr>
      <w:r>
        <w:rPr>
          <w:sz w:val="20"/>
        </w:rPr>
        <w:t>All agent state-mutating operations idempotent on X-Action-Id.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RGI-01 Policy Enforcement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adam.ai_centric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 of a write, return 423; freeze writes if FR unavailable.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50</w:t>
            </w:r>
          </w:p>
        </w:tc>
        <w:tc>
          <w:tcPr>
            <w:tcW w:type="dxa" w:w="2484"/>
          </w:tcPr>
          <w:p>
            <w:r>
              <w:t>200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FR subscriber, Postgres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99.97%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Signature surfaces are dual-signed Ed25519 + ML-DSA-65 from Day-1.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7 (OWASP AA)</w:t>
      </w:r>
    </w:p>
    <w:p>
      <w:pPr>
        <w:pStyle w:val="ListBullet"/>
      </w:pPr>
      <w:r>
        <w:rPr>
          <w:sz w:val="20"/>
        </w:rPr>
        <w:t>Layer 8 (RL governance)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deployment/{profile}/agents/ai_centric/ai_strategy_align/server.py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adam/ai-strategy-align:0.2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ai-strategy-align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iac/k3d/agents-ai-centric-division.yaml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Wire FR subscriber.</w:t>
      </w:r>
    </w:p>
    <w:p>
      <w:pPr>
        <w:pStyle w:val="ListBullet"/>
      </w:pPr>
      <w:r>
        <w:rPr>
          <w:sz w:val="20"/>
        </w:rPr>
        <w:t>Replace heartbeat with real logic.</w:t>
      </w:r>
    </w:p>
    <w:p>
      <w:pPr>
        <w:pStyle w:val="ListBullet"/>
      </w:pPr>
      <w:r>
        <w:rPr>
          <w:sz w:val="20"/>
        </w:rPr>
        <w:t>Add idempotency.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