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143D59"/>
          <w:sz w:val="36"/>
        </w:rPr>
        <w:t>ADAM Agent Definition Card</w:t>
      </w:r>
    </w:p>
    <w:p>
      <w:r>
        <w:rPr>
          <w:b/>
          <w:sz w:val="26"/>
        </w:rPr>
        <w:t>Economic Twin Agent  ·  twin-economic</w:t>
      </w:r>
    </w:p>
    <w:p>
      <w:r>
        <w:rPr>
          <w:i/>
          <w:sz w:val="16"/>
        </w:rPr>
        <w:t>Class: Digital Twin Agent    |    Subgroup: Digital Twin, Audit &amp; Self-Governance Layer    |    Conformance: ADAM Book New v0.3 / BOSS v3.2 / FR Schema v2 / RGI v1.1 / Day-1 PQC (Ed25519 + ML-DSA-65 + ML-KEM-768)    |    Date: 2026-05-05</w:t>
      </w:r>
    </w:p>
    <w:p>
      <w:pPr>
        <w:pStyle w:val="Heading2"/>
      </w:pPr>
      <w:r>
        <w:rPr>
          <w:color w:val="334E68"/>
        </w:rPr>
        <w:t>1. Identity &amp; Authority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Agent ID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twin-economic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Canonical Name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Economic Twin Agent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Class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Digital Twin Agent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Execution Ring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Ring 1 (Self-model plane)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Subgroup / Plane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Digital Twin, Audit &amp; Self-Governance Layer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Accountable Director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CFO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Owning Domain Governor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ga-financial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DID Scheme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did:adam:twin-economic#&lt;dual_key_thumbprint_ed25519+mldsa65&gt;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Doctrine Cross-Refs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ADAM v0.2 main doctrine; Intent Object Definition v0.2; BOSS Score Formulas v0.3; Governance Charter and Human Directorship v0.2; OPA Rego Authoring Standards v0.2; Keyword Glossary v0.4; Hardware-Free Cryptographic Substrate v0.2; Quantum and Cryptographic Security at Scale v0.5; Agent Org Chart v1.2 (April 2026).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Special Note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Today implemented as in-process classes inside digital_twins/twins.py. For 1M scale each Twin is a dedicated service with GPU at full scale.</w:t>
            </w:r>
          </w:p>
        </w:tc>
      </w:tr>
    </w:tbl>
    <w:p>
      <w:pPr>
        <w:pStyle w:val="Heading2"/>
      </w:pPr>
      <w:r>
        <w:rPr>
          <w:color w:val="334E68"/>
        </w:rPr>
        <w:t>2. Mission</w:t>
      </w:r>
    </w:p>
    <w:p>
      <w:r>
        <w:rPr>
          <w:sz w:val="20"/>
        </w:rPr>
        <w:t>Models money as a system. Simulates pricing, cost, capital allocation. Stress-tests financial decisions.</w:t>
      </w:r>
    </w:p>
    <w:p>
      <w:pPr>
        <w:pStyle w:val="Heading2"/>
      </w:pPr>
      <w:r>
        <w:rPr>
          <w:color w:val="334E68"/>
        </w:rPr>
        <w:t>3. In-Scope Responsibilities</w:t>
      </w:r>
    </w:p>
    <w:p>
      <w:pPr>
        <w:pStyle w:val="ListBullet"/>
      </w:pPr>
      <w:r>
        <w:rPr>
          <w:sz w:val="20"/>
        </w:rPr>
        <w:t>Maintain economic state (revenue, cost, margins, autonomy-budget burn).</w:t>
      </w:r>
    </w:p>
    <w:p>
      <w:pPr>
        <w:pStyle w:val="ListBullet"/>
      </w:pPr>
      <w:r>
        <w:rPr>
          <w:sz w:val="20"/>
        </w:rPr>
        <w:t>Stress-test pre-allocation.</w:t>
      </w:r>
    </w:p>
    <w:p>
      <w:pPr>
        <w:pStyle w:val="ListBullet"/>
      </w:pPr>
      <w:r>
        <w:rPr>
          <w:sz w:val="20"/>
        </w:rPr>
        <w:t>Coordinate with wg-fin-capital, wg-fin-budget.</w:t>
      </w:r>
    </w:p>
    <w:p>
      <w:pPr>
        <w:pStyle w:val="Heading2"/>
      </w:pPr>
      <w:r>
        <w:rPr>
          <w:color w:val="334E68"/>
        </w:rPr>
        <w:t>4. Explicitly Out of Scope</w:t>
      </w:r>
    </w:p>
    <w:p>
      <w:pPr>
        <w:pStyle w:val="ListBullet"/>
      </w:pPr>
      <w:r>
        <w:rPr>
          <w:sz w:val="20"/>
        </w:rPr>
        <w:t>Allocating (wg-fin-capital).</w:t>
      </w:r>
    </w:p>
    <w:p>
      <w:pPr>
        <w:pStyle w:val="ListBullet"/>
      </w:pPr>
      <w:r>
        <w:rPr>
          <w:sz w:val="20"/>
        </w:rPr>
        <w:t>Booking (wg-fin-txn).</w:t>
      </w:r>
    </w:p>
    <w:p>
      <w:pPr>
        <w:pStyle w:val="Heading2"/>
      </w:pPr>
      <w:r>
        <w:rPr>
          <w:color w:val="334E68"/>
        </w:rPr>
        <w:t>5. Inputs</w:t>
      </w:r>
    </w:p>
    <w:p>
      <w:pPr>
        <w:pStyle w:val="ListBullet"/>
      </w:pPr>
      <w:r>
        <w:rPr>
          <w:sz w:val="20"/>
        </w:rPr>
        <w:t>POST /stress</w:t>
      </w:r>
    </w:p>
    <w:p>
      <w:pPr>
        <w:pStyle w:val="ListBullet"/>
      </w:pPr>
      <w:r>
        <w:rPr>
          <w:sz w:val="20"/>
        </w:rPr>
        <w:t>POST /state</w:t>
      </w:r>
    </w:p>
    <w:p>
      <w:pPr>
        <w:pStyle w:val="Heading2"/>
      </w:pPr>
      <w:r>
        <w:rPr>
          <w:color w:val="334E68"/>
        </w:rPr>
        <w:t>6. Outputs (Flight Recorder &amp; Side Effects)</w:t>
      </w:r>
    </w:p>
    <w:p>
      <w:pPr>
        <w:pStyle w:val="ListBullet"/>
      </w:pPr>
      <w:r>
        <w:rPr>
          <w:sz w:val="20"/>
        </w:rPr>
        <w:t>FR events tagged agent_id=twin-economic</w:t>
      </w:r>
    </w:p>
    <w:p>
      <w:pPr>
        <w:pStyle w:val="ListBullet"/>
      </w:pPr>
      <w:r>
        <w:rPr>
          <w:sz w:val="20"/>
        </w:rPr>
        <w:t>Divergence reports</w:t>
      </w:r>
    </w:p>
    <w:p>
      <w:pPr>
        <w:pStyle w:val="Heading2"/>
      </w:pPr>
      <w:r>
        <w:rPr>
          <w:color w:val="334E68"/>
        </w:rPr>
        <w:t>7. Public API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val="clear" w:color="auto" w:fill="143D59"/>
          </w:tcPr>
          <w:p>
            <w:r>
              <w:rPr>
                <w:b/>
                <w:color w:val="FFFFFF"/>
                <w:sz w:val="18"/>
              </w:rPr>
              <w:t>Method</w:t>
            </w:r>
          </w:p>
        </w:tc>
        <w:tc>
          <w:tcPr>
            <w:tcW w:type="dxa" w:w="3312"/>
            <w:shd w:val="clear" w:color="auto" w:fill="143D59"/>
          </w:tcPr>
          <w:p>
            <w:r>
              <w:rPr>
                <w:b/>
                <w:color w:val="FFFFFF"/>
                <w:sz w:val="18"/>
              </w:rPr>
              <w:t>Path</w:t>
            </w:r>
          </w:p>
        </w:tc>
        <w:tc>
          <w:tcPr>
            <w:tcW w:type="dxa" w:w="3312"/>
            <w:shd w:val="clear" w:color="auto" w:fill="143D59"/>
          </w:tcPr>
          <w:p>
            <w:r>
              <w:rPr>
                <w:b/>
                <w:color w:val="FFFFFF"/>
                <w:sz w:val="18"/>
              </w:rPr>
              <w:t>Purpose</w:t>
            </w:r>
          </w:p>
        </w:tc>
      </w:tr>
      <w:tr>
        <w:tc>
          <w:tcPr>
            <w:tcW w:type="dxa" w:w="3312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  <w:t>/stress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  <w:t>Stress test.</w:t>
            </w:r>
          </w:p>
        </w:tc>
      </w:tr>
      <w:tr>
        <w:tc>
          <w:tcPr>
            <w:tcW w:type="dxa" w:w="3312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  <w:t>/state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  <w:t>State.</w:t>
            </w:r>
          </w:p>
        </w:tc>
      </w:tr>
    </w:tbl>
    <w:p>
      <w:pPr>
        <w:pStyle w:val="Heading2"/>
      </w:pPr>
      <w:r>
        <w:rPr>
          <w:color w:val="334E68"/>
        </w:rPr>
        <w:t>8. State &amp; Persistence</w:t>
      </w:r>
    </w:p>
    <w:p>
      <w:r>
        <w:rPr>
          <w:sz w:val="20"/>
        </w:rPr>
        <w:t>Postgres twin_economic_state.</w:t>
      </w:r>
    </w:p>
    <w:p>
      <w:pPr>
        <w:pStyle w:val="Heading2"/>
      </w:pPr>
      <w:r>
        <w:rPr>
          <w:color w:val="334E68"/>
        </w:rPr>
        <w:t>9. BOSS v3.2 Touch Points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val="clear" w:color="auto" w:fill="EFEFEF"/>
          </w:tcPr>
          <w:p>
            <w:r>
              <w:rPr>
                <w:b/>
                <w:sz w:val="18"/>
              </w:rPr>
              <w:t>BOSS Dimension</w:t>
            </w:r>
          </w:p>
        </w:tc>
        <w:tc>
          <w:tcPr>
            <w:tcW w:type="dxa" w:w="4968"/>
            <w:shd w:val="clear" w:color="auto" w:fill="EFEFEF"/>
          </w:tcPr>
          <w:p>
            <w:r>
              <w:rPr>
                <w:b/>
                <w:sz w:val="18"/>
              </w:rPr>
              <w:t>Role / Behavior</w:t>
            </w:r>
          </w:p>
        </w:tc>
      </w:tr>
      <w:tr>
        <w:tc>
          <w:tcPr>
            <w:tcW w:type="dxa" w:w="4968"/>
          </w:tcPr>
          <w:p>
            <w:r>
              <w:rPr>
                <w:sz w:val="18"/>
              </w:rPr>
              <w:t>financial_exposure</w:t>
            </w:r>
          </w:p>
        </w:tc>
        <w:tc>
          <w:tcPr>
            <w:tcW w:type="dxa" w:w="4968"/>
          </w:tcPr>
          <w:p>
            <w:r>
              <w:rPr>
                <w:sz w:val="18"/>
              </w:rPr>
              <w:t>Co-owner.</w:t>
            </w:r>
          </w:p>
        </w:tc>
      </w:tr>
    </w:tbl>
    <w:p>
      <w:r>
        <w:rPr>
          <w:i/>
          <w:sz w:val="18"/>
        </w:rPr>
        <w:t>Critical-dim override: any single dim &gt; 75 forces composite &gt;= max_dim - 10. Non-idempotent flag adds +15 (cap 100).</w:t>
      </w:r>
    </w:p>
    <w:p>
      <w:pPr>
        <w:pStyle w:val="Heading2"/>
      </w:pPr>
      <w:r>
        <w:rPr>
          <w:color w:val="334E68"/>
        </w:rPr>
        <w:t>10. Governor / Director Concurrence</w:t>
      </w:r>
    </w:p>
    <w:p>
      <w:pPr>
        <w:pStyle w:val="ListBullet"/>
      </w:pPr>
      <w:r>
        <w:rPr>
          <w:sz w:val="20"/>
        </w:rPr>
        <w:t>Twins do not directly govern; they advise. Governor concurrence is required for any action a twin recommends.</w:t>
      </w:r>
    </w:p>
    <w:p>
      <w:pPr>
        <w:pStyle w:val="ListBullet"/>
      </w:pPr>
      <w:r>
        <w:rPr>
          <w:sz w:val="20"/>
        </w:rPr>
        <w:t>Divergence &gt; 2% amber, &gt; 5% red — both feed ga-* governors and orch-policy.</w:t>
      </w:r>
    </w:p>
    <w:p>
      <w:pPr>
        <w:pStyle w:val="Heading2"/>
      </w:pPr>
      <w:r>
        <w:rPr>
          <w:color w:val="334E68"/>
        </w:rPr>
        <w:t>11. RGI Contracts &amp; OPA Rego Hooks</w:t>
      </w:r>
    </w:p>
    <w:p>
      <w:pPr>
        <w:pStyle w:val="ListBullet"/>
      </w:pPr>
      <w:r>
        <w:rPr>
          <w:sz w:val="20"/>
        </w:rPr>
        <w:t>RGI-04 Telemetry Emission</w:t>
      </w:r>
    </w:p>
    <w:p>
      <w:r>
        <w:rPr>
          <w:i/>
          <w:sz w:val="18"/>
        </w:rPr>
        <w:t>OPA packages (default + per-agent): adam.twin</w:t>
      </w:r>
    </w:p>
    <w:p>
      <w:pPr>
        <w:pStyle w:val="Heading2"/>
      </w:pPr>
      <w:r>
        <w:rPr>
          <w:color w:val="334E68"/>
        </w:rPr>
        <w:t>12. Failure Modes &amp; Safe-Mode</w:t>
      </w:r>
    </w:p>
    <w:p>
      <w:r>
        <w:rPr>
          <w:sz w:val="20"/>
        </w:rPr>
        <w:t>On simulation engine failure, return last-known divergence with stale_after_seconds; never fabricate.</w:t>
      </w:r>
    </w:p>
    <w:p>
      <w:pPr>
        <w:pStyle w:val="Heading2"/>
      </w:pPr>
      <w:r>
        <w:rPr>
          <w:color w:val="334E68"/>
        </w:rPr>
        <w:t>13. Resource Profile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val="clear" w:color="auto" w:fill="EFEFEF"/>
          </w:tcPr>
          <w:p>
            <w:r>
              <w:rPr>
                <w:b/>
                <w:sz w:val="18"/>
              </w:rPr>
              <w:t>Profile</w:t>
            </w:r>
          </w:p>
        </w:tc>
        <w:tc>
          <w:tcPr>
            <w:tcW w:type="dxa" w:w="2484"/>
            <w:shd w:val="clear" w:color="auto" w:fill="EFEFEF"/>
          </w:tcPr>
          <w:p>
            <w:r>
              <w:rPr>
                <w:b/>
                <w:sz w:val="18"/>
              </w:rPr>
              <w:t>vCPUs</w:t>
            </w:r>
          </w:p>
        </w:tc>
        <w:tc>
          <w:tcPr>
            <w:tcW w:type="dxa" w:w="2484"/>
            <w:shd w:val="clear" w:color="auto" w:fill="EFEFEF"/>
          </w:tcPr>
          <w:p>
            <w:r>
              <w:rPr>
                <w:b/>
                <w:sz w:val="18"/>
              </w:rPr>
              <w:t>RAM (GB)</w:t>
            </w:r>
          </w:p>
        </w:tc>
        <w:tc>
          <w:tcPr>
            <w:tcW w:type="dxa" w:w="2484"/>
            <w:shd w:val="clear" w:color="auto" w:fill="EFEFEF"/>
          </w:tcPr>
          <w:p>
            <w:r>
              <w:rPr>
                <w:b/>
                <w:sz w:val="18"/>
              </w:rPr>
              <w:t>GPU</w:t>
            </w:r>
          </w:p>
        </w:tc>
      </w:tr>
      <w:tr>
        <w:tc>
          <w:tcPr>
            <w:tcW w:type="dxa" w:w="2484"/>
          </w:tcPr>
          <w:p>
            <w:r>
              <w:t>Test (NetStreamX)</w:t>
            </w:r>
          </w:p>
        </w:tc>
        <w:tc>
          <w:tcPr>
            <w:tcW w:type="dxa" w:w="2484"/>
          </w:tcPr>
          <w:p>
            <w:r>
              <w:t>4</w:t>
            </w:r>
          </w:p>
        </w:tc>
        <w:tc>
          <w:tcPr>
            <w:tcW w:type="dxa" w:w="2484"/>
          </w:tcPr>
          <w:p>
            <w:r>
              <w:t>8</w:t>
            </w:r>
          </w:p>
        </w:tc>
        <w:tc>
          <w:tcPr>
            <w:tcW w:type="dxa" w:w="2484"/>
          </w:tcPr>
          <w:p>
            <w:r>
              <w:t>False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val="clear" w:color="auto" w:fill="EFEFEF"/>
          </w:tcPr>
          <w:p>
            <w:r>
              <w:rPr>
                <w:b/>
                <w:sz w:val="18"/>
              </w:rPr>
              <w:t>Profile</w:t>
            </w:r>
          </w:p>
        </w:tc>
        <w:tc>
          <w:tcPr>
            <w:tcW w:type="dxa" w:w="2484"/>
            <w:shd w:val="clear" w:color="auto" w:fill="EFEFEF"/>
          </w:tcPr>
          <w:p>
            <w:r>
              <w:rPr>
                <w:b/>
                <w:sz w:val="18"/>
              </w:rPr>
              <w:t>vCPUs</w:t>
            </w:r>
          </w:p>
        </w:tc>
        <w:tc>
          <w:tcPr>
            <w:tcW w:type="dxa" w:w="2484"/>
            <w:shd w:val="clear" w:color="auto" w:fill="EFEFEF"/>
          </w:tcPr>
          <w:p>
            <w:r>
              <w:rPr>
                <w:b/>
                <w:sz w:val="18"/>
              </w:rPr>
              <w:t>RAM (GB)</w:t>
            </w:r>
          </w:p>
        </w:tc>
        <w:tc>
          <w:tcPr>
            <w:tcW w:type="dxa" w:w="2484"/>
            <w:shd w:val="clear" w:color="auto" w:fill="EFEFEF"/>
          </w:tcPr>
          <w:p>
            <w:r>
              <w:rPr>
                <w:b/>
                <w:sz w:val="18"/>
              </w:rPr>
              <w:t>GPU</w:t>
            </w:r>
          </w:p>
        </w:tc>
      </w:tr>
      <w:tr>
        <w:tc>
          <w:tcPr>
            <w:tcW w:type="dxa" w:w="2484"/>
          </w:tcPr>
          <w:p>
            <w:r>
              <w:t>Reference (1M customers)</w:t>
            </w:r>
          </w:p>
        </w:tc>
        <w:tc>
          <w:tcPr>
            <w:tcW w:type="dxa" w:w="2484"/>
          </w:tcPr>
          <w:p>
            <w:r>
              <w:t>200</w:t>
            </w:r>
          </w:p>
        </w:tc>
        <w:tc>
          <w:tcPr>
            <w:tcW w:type="dxa" w:w="2484"/>
          </w:tcPr>
          <w:p>
            <w:r>
              <w:t>800</w:t>
            </w:r>
          </w:p>
        </w:tc>
        <w:tc>
          <w:tcPr>
            <w:tcW w:type="dxa" w:w="2484"/>
          </w:tcPr>
          <w:p>
            <w:r>
              <w:t>True</w:t>
            </w:r>
          </w:p>
        </w:tc>
      </w:tr>
    </w:tbl>
    <w:p>
      <w:pPr>
        <w:pStyle w:val="Heading2"/>
      </w:pPr>
      <w:r>
        <w:rPr>
          <w:color w:val="334E68"/>
        </w:rPr>
        <w:t>14. Dependencies</w:t>
      </w:r>
    </w:p>
    <w:p>
      <w:r>
        <w:rPr>
          <w:b/>
          <w:sz w:val="20"/>
        </w:rPr>
        <w:t xml:space="preserve">Upstream: </w:t>
      </w:r>
      <w:r>
        <w:rPr>
          <w:sz w:val="20"/>
        </w:rPr>
        <w:t>FR subscriber, CORE Graph, Twin compute (Ray/Spark)</w:t>
      </w:r>
    </w:p>
    <w:p>
      <w:r>
        <w:rPr>
          <w:b/>
          <w:sz w:val="20"/>
        </w:rPr>
        <w:t xml:space="preserve">Downstream: </w:t>
      </w:r>
      <w:r>
        <w:rPr>
          <w:sz w:val="20"/>
        </w:rPr>
        <w:t>Flight Recorder, Governors</w:t>
      </w:r>
    </w:p>
    <w:p>
      <w:pPr>
        <w:pStyle w:val="Heading2"/>
      </w:pPr>
      <w:r>
        <w:rPr>
          <w:color w:val="334E68"/>
        </w:rPr>
        <w:t>15. SLOs &amp; Mandate Alignment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Latency (p99, ms)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1500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Throughput (RPS)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200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Availability target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99.9%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Mandates supported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M1, M2, M3</w:t>
            </w:r>
          </w:p>
        </w:tc>
      </w:tr>
    </w:tbl>
    <w:p>
      <w:pPr>
        <w:pStyle w:val="Heading2"/>
      </w:pPr>
      <w:r>
        <w:rPr>
          <w:color w:val="334E68"/>
        </w:rPr>
        <w:t>16. Security &amp; Quantum Posture (Day-1 PQC baseline)</w:t>
      </w:r>
    </w:p>
    <w:p>
      <w:r>
        <w:rPr>
          <w:sz w:val="20"/>
        </w:rPr>
        <w:t>Day-1 baseline: every Flight Recorder append, every Authorization-Vault token, every policy decision token, every anchor, every director consent payload that this agent produces or consumes is dual-signed Ed25519 + ML-DSA-65 (NIST FIPS 204) from the very first call. ML-KEM-768 (FIPS 203) is used for key encapsulation on every cross-service transport. SLH-DSA (FIPS 205) is enabled as the long-term anchor signature. ADAM is CMSA 2.0 (Jan 2027) conformant ahead of schedule.</w:t>
      </w:r>
    </w:p>
    <w:p>
      <w:r>
        <w:rPr>
          <w:sz w:val="20"/>
        </w:rPr>
        <w:t>Twin observation snapshots dual-signed Ed25519 + ML-DSA-65 from Day-1; daily anchor snapshot also SLH-DSA-signed.</w:t>
      </w:r>
    </w:p>
    <w:p>
      <w:r>
        <w:rPr>
          <w:i/>
          <w:sz w:val="18"/>
        </w:rPr>
        <w:t>software-HSM only (PyNaCl Ed25519 + dilithium-py / liboqs ML-DSA-65). NO blockchain. NO smart contracts. NO DAO. Keys persist in /data/adam/vault/keys (chmod 600), rotated every 90 days, signed via wg-sec-vault. Dual-signature verification is a hard precondition for any FR replay or director-action acceptance — single-signature payloads are rejected at ingest.</w:t>
      </w:r>
    </w:p>
    <w:p>
      <w:pPr>
        <w:pStyle w:val="Heading2"/>
      </w:pPr>
      <w:r>
        <w:rPr>
          <w:color w:val="334E68"/>
        </w:rPr>
        <w:t>17. QA &amp; Observability Hooks</w:t>
      </w:r>
    </w:p>
    <w:p>
      <w:pPr>
        <w:pStyle w:val="ListBullet"/>
      </w:pPr>
      <w:r>
        <w:rPr>
          <w:sz w:val="20"/>
        </w:rPr>
        <w:t>Layer 4 (governance)</w:t>
      </w:r>
    </w:p>
    <w:p>
      <w:pPr>
        <w:pStyle w:val="ListBullet"/>
      </w:pPr>
      <w:r>
        <w:rPr>
          <w:sz w:val="20"/>
        </w:rPr>
        <w:t>Layer 9 (seed sanity)</w:t>
      </w:r>
    </w:p>
    <w:p>
      <w:r>
        <w:rPr>
          <w:i/>
          <w:sz w:val="18"/>
        </w:rPr>
        <w:t>Add a layerN_&lt;id&gt; function in deployment/&lt;profile&gt;/qa/qa_suite.py that posts a synthetic intent to this agent and asserts its FR event_type appears with intent_id intact. Wire to the LAYER_FNS registry.</w:t>
      </w:r>
    </w:p>
    <w:p>
      <w:pPr>
        <w:pStyle w:val="Heading2"/>
      </w:pPr>
      <w:r>
        <w:rPr>
          <w:color w:val="334E68"/>
        </w:rPr>
        <w:t>18. Build Plan for the Coding Agent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Source path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deployment/{profile}/agents/twins/twin_economic/server.py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Container image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adam/twin-economic:0.2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Compose service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twin-economic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k3d deployment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iac/k3d/agents-digital-twin-agents.yaml (split out of class-level Deployment)</w:t>
            </w:r>
          </w:p>
        </w:tc>
      </w:tr>
    </w:tbl>
    <w:p>
      <w:pPr>
        <w:pStyle w:val="ListBullet"/>
      </w:pPr>
      <w:r>
        <w:rPr>
          <w:sz w:val="20"/>
        </w:rPr>
        <w:t>Lift the corresponding class out of digital_twins/twins.py into its own service.</w:t>
      </w:r>
    </w:p>
    <w:p>
      <w:pPr>
        <w:pStyle w:val="ListBullet"/>
      </w:pPr>
      <w:r>
        <w:rPr>
          <w:sz w:val="20"/>
        </w:rPr>
        <w:t>Wire FR subscriber for live observations.</w:t>
      </w:r>
    </w:p>
    <w:p>
      <w:pPr>
        <w:pStyle w:val="ListBullet"/>
      </w:pPr>
      <w:r>
        <w:rPr>
          <w:sz w:val="20"/>
        </w:rPr>
        <w:t>Add /simulate, /divergence, /mandate endpoints.</w:t>
      </w:r>
    </w:p>
    <w:p>
      <w:pPr>
        <w:pStyle w:val="ListBullet"/>
      </w:pPr>
      <w:r>
        <w:rPr>
          <w:sz w:val="20"/>
        </w:rPr>
        <w:t>Add divergence-driven escalation to governors.</w:t>
      </w:r>
    </w:p>
    <w:p>
      <w:pPr>
        <w:pStyle w:val="ListBullet"/>
      </w:pPr>
      <w:r>
        <w:rPr>
          <w:sz w:val="20"/>
        </w:rPr>
        <w:t>Add HPA on simulation queue depth.</w:t>
      </w:r>
    </w:p>
    <w:p>
      <w:pPr>
        <w:pStyle w:val="Heading2"/>
      </w:pPr>
      <w:r>
        <w:rPr>
          <w:color w:val="334E68"/>
        </w:rPr>
        <w:t>19. Adapters Used</w:t>
      </w:r>
    </w:p>
    <w:p>
      <w:r>
        <w:rPr>
          <w:sz w:val="20"/>
        </w:rPr>
        <w:t>None - this agent operates internally and consumes no external system through an adapter.</w:t>
      </w:r>
    </w:p>
    <w:p>
      <w:r>
        <w:rPr>
          <w:i/>
          <w:sz w:val="18"/>
        </w:rPr>
        <w:t>Adapter contracts are authoritative for schema, auth, idempotency, rate limits, and residency. This agent MUST honor them; contract drift is surfaced as FR 'adapter_contract_violation'.</w:t>
      </w:r>
    </w:p>
    <w:p>
      <w:pPr>
        <w:pStyle w:val="Heading2"/>
      </w:pPr>
      <w:r>
        <w:rPr>
          <w:color w:val="334E68"/>
        </w:rPr>
        <w:t>20. Acceptance Criteria (DoD)</w:t>
      </w:r>
    </w:p>
    <w:p>
      <w:pPr>
        <w:pStyle w:val="ListBullet"/>
      </w:pPr>
      <w:r>
        <w:rPr>
          <w:sz w:val="20"/>
        </w:rPr>
        <w:t>Service has /healthz and /readyz endpoints; both return 200 once dependencies are healthy.</w:t>
      </w:r>
    </w:p>
    <w:p>
      <w:pPr>
        <w:pStyle w:val="ListBullet"/>
      </w:pPr>
      <w:r>
        <w:rPr>
          <w:sz w:val="20"/>
        </w:rPr>
        <w:t>Every state-changing endpoint emits a Flight Recorder event with the correct event_type and intent_id.</w:t>
      </w:r>
    </w:p>
    <w:p>
      <w:pPr>
        <w:pStyle w:val="ListBullet"/>
      </w:pPr>
      <w:r>
        <w:rPr>
          <w:sz w:val="20"/>
        </w:rPr>
        <w:t>Idempotency is enforced on X-Action-Id (UUIDv5) - duplicate within 24h returns the prior receipt.</w:t>
      </w:r>
    </w:p>
    <w:p>
      <w:pPr>
        <w:pStyle w:val="ListBullet"/>
      </w:pPr>
      <w:r>
        <w:rPr>
          <w:sz w:val="20"/>
        </w:rPr>
        <w:t>Doctrine_version is read at boot from /etc/adam/doctrine-seed.json and stamped on every FR append.</w:t>
      </w:r>
    </w:p>
    <w:p>
      <w:pPr>
        <w:pStyle w:val="ListBullet"/>
      </w:pPr>
      <w:r>
        <w:rPr>
          <w:sz w:val="20"/>
        </w:rPr>
        <w:t>QA layer added to qa_suite.py and passes against the running service.</w:t>
      </w:r>
    </w:p>
    <w:p>
      <w:pPr>
        <w:pStyle w:val="ListBullet"/>
      </w:pPr>
      <w:r>
        <w:rPr>
          <w:sz w:val="20"/>
        </w:rPr>
        <w:t>OPA Rego policies for the agent's class are loaded and evaluated; default-deny verified.</w:t>
      </w:r>
    </w:p>
    <w:p>
      <w:pPr>
        <w:pStyle w:val="ListBullet"/>
      </w:pPr>
      <w:r>
        <w:rPr>
          <w:sz w:val="20"/>
        </w:rPr>
        <w:t>Day-1 dual-signature (Ed25519 + ML-DSA-65) is verified on every inbound and outbound payload; single-signed payloads are rejected with explicit FR 'pqc_violation_rejected'.</w:t>
      </w:r>
    </w:p>
    <w:p>
      <w:pPr>
        <w:pStyle w:val="ListBullet"/>
      </w:pPr>
      <w:r>
        <w:rPr>
          <w:sz w:val="20"/>
        </w:rPr>
        <w:t>Compose service starts under `docker compose up -d` and the k3d Deployment scales to &gt;=2 replicas under HPA.</w:t>
      </w:r>
    </w:p>
    <w:p>
      <w:pPr>
        <w:pStyle w:val="ListBullet"/>
      </w:pPr>
      <w:r>
        <w:rPr>
          <w:sz w:val="20"/>
        </w:rPr>
        <w:t>Director Dashboard Agent Card overlay shows the new agent with live status.</w:t>
      </w:r>
    </w:p>
    <w:p>
      <w:pPr>
        <w:pStyle w:val="ListBullet"/>
      </w:pPr>
      <w:r>
        <w:rPr>
          <w:sz w:val="20"/>
        </w:rPr>
        <w:t>RunADAM.bat continues to bring the system up clean.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