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Data Governance Agent  ·  wg-data-gov</w:t>
      </w:r>
    </w:p>
    <w:p>
      <w:r>
        <w:rPr>
          <w:i/>
          <w:sz w:val="16"/>
        </w:rPr>
        <w:t>Class: Corporate Work Group Agent    |    Subgroup: Data, Rights &amp; PII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wg-data-gov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Data Governance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Data, Rights &amp; PII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 + Legal Director (joint)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did:adam:wg-data-gov#&lt;dual_key_thumbprint_ed25519+mldsa65&gt;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the data catalog, lineage, classification, access controls; the source of truth for data policy.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catalog per OpenLineage.</w:t>
      </w:r>
    </w:p>
    <w:p>
      <w:pPr>
        <w:pStyle w:val="ListBullet"/>
      </w:pPr>
      <w:r>
        <w:rPr>
          <w:sz w:val="20"/>
        </w:rPr>
        <w:t>Classify by sensitivity (Public/Internal/Confidential/Restricted/PII).</w:t>
      </w:r>
    </w:p>
    <w:p>
      <w:pPr>
        <w:pStyle w:val="ListBullet"/>
      </w:pPr>
      <w:r>
        <w:rPr>
          <w:sz w:val="20"/>
        </w:rPr>
        <w:t>Surface lineage on demand for audit.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Storing data (per-domain).</w:t>
      </w:r>
    </w:p>
    <w:p>
      <w:pPr>
        <w:pStyle w:val="ListBullet"/>
      </w:pPr>
      <w:r>
        <w:rPr>
          <w:sz w:val="20"/>
        </w:rPr>
        <w:t>Encrypting (wg-sec-vault).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/asset</w:t>
      </w:r>
    </w:p>
    <w:p>
      <w:pPr>
        <w:pStyle w:val="ListBullet"/>
      </w:pPr>
      <w:r>
        <w:rPr>
          <w:sz w:val="20"/>
        </w:rPr>
        <w:t>POST /lineage/{asset_id}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agent_id=wg-data-gov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/asset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Register asset.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/lineage/{asset_id}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Lineage.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catalog + lineage edges. Open Lineage compatible.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 with ga-legal.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ga-legal,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Encryption-at-rest is AES-256-GCM with ML-KEM-768 key encapsulation from Day-1; storage backends that cannot accept ML-KEM are vetoed in DNA Deployment.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deployment/{profile}/agents/workgroups/data/wg_data_gov/server.py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adam/wg-data-gov:0.2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wg-data-gov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residency policies.</w:t>
      </w:r>
    </w:p>
    <w:p>
      <w:pPr>
        <w:pStyle w:val="ListBullet"/>
      </w:pPr>
      <w:r>
        <w:rPr>
          <w:sz w:val="20"/>
        </w:rPr>
        <w:t>PII tokenization layer.</w:t>
      </w:r>
    </w:p>
    <w:p>
      <w:pPr>
        <w:pStyle w:val="ListBullet"/>
      </w:pPr>
      <w:r>
        <w:rPr>
          <w:sz w:val="20"/>
        </w:rPr>
        <w:t>Replace heartbeat.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