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Data Residency Agent  ·  wg-data-residency</w:t>
      </w:r>
    </w:p>
    <w:p>
      <w:r>
        <w:rPr>
          <w:i/>
          <w:sz w:val="16"/>
        </w:rPr>
        <w:t>Class: Corporate Work Group Agent    |    Subgroup: Data, Rights &amp; PII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wg-data-residency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 Residency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Data, Rights &amp; PII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 + Legal Director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did:adam:wg-data-residency#&lt;dual_key_thumbprint_ed25519+mldsa65&gt;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Enforces data-residency rules (GDPR Art.46, EU-US DPF collapse contingency, China PIPL, India DPDPA).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residency map per jurisdiction.</w:t>
      </w:r>
    </w:p>
    <w:p>
      <w:pPr>
        <w:pStyle w:val="ListBullet"/>
      </w:pPr>
      <w:r>
        <w:rPr>
          <w:sz w:val="20"/>
        </w:rPr>
        <w:t>Block cross-border transfers absent appropriate basis.</w:t>
      </w:r>
    </w:p>
    <w:p>
      <w:pPr>
        <w:pStyle w:val="ListBullet"/>
      </w:pPr>
      <w:r>
        <w:rPr>
          <w:sz w:val="20"/>
        </w:rPr>
        <w:t>Coordinate with wg-legal-jurisdiction.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Litigation (Legal).</w:t>
      </w:r>
    </w:p>
    <w:p>
      <w:pPr>
        <w:pStyle w:val="ListBullet"/>
      </w:pPr>
      <w:r>
        <w:rPr>
          <w:sz w:val="20"/>
        </w:rPr>
        <w:t>Encryption (wg-sec-vault).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/map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agent_id=wg-data-residency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Authorize a transfer.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/map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Residency map.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residency_map.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sovereignty_action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Strong owner; refusals are sovereignty_action +.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ga-legal,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Encryption-at-rest is AES-256-GCM with ML-KEM-768 key encapsulation from Day-1; storage backends that cannot accept ML-KEM are vetoed in DNA Deployment.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deployment/{profile}/agents/workgroups/data/wg_data_residency/server.py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adam/wg-data-residency:0.2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wg-data-residency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residency policies.</w:t>
      </w:r>
    </w:p>
    <w:p>
      <w:pPr>
        <w:pStyle w:val="ListBullet"/>
      </w:pPr>
      <w:r>
        <w:rPr>
          <w:sz w:val="20"/>
        </w:rPr>
        <w:t>PII tokenization layer.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