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Rights &amp; Licensing Agent  ·  wg-data-rights</w:t>
      </w:r>
    </w:p>
    <w:p>
      <w:r>
        <w:rPr>
          <w:i/>
          <w:sz w:val="16"/>
        </w:rPr>
        <w:t>Class: Corporate Work Group Agent    |    Subgroup: Data, Rights &amp; PII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wg-data-rights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Rights &amp; Licensing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Data, Rights &amp; PII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CISO + Legal Director (joint)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did:adam:wg-data-rights#&lt;dual_key_thumbprint_ed25519+mldsa65&gt;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Manages content/IP rights metadata, licensing, takedown. Enforces NetStreamX QA Layer 6 takedown gate.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Track rights per asset (territory, term, exclusive).</w:t>
      </w:r>
    </w:p>
    <w:p>
      <w:pPr>
        <w:pStyle w:val="ListBullet"/>
      </w:pPr>
      <w:r>
        <w:rPr>
          <w:sz w:val="20"/>
        </w:rPr>
        <w:t>Auto-block delivery on rights expiry / territory mismatch.</w:t>
      </w:r>
    </w:p>
    <w:p>
      <w:pPr>
        <w:pStyle w:val="ListBullet"/>
      </w:pPr>
      <w:r>
        <w:rPr>
          <w:sz w:val="20"/>
        </w:rPr>
        <w:t>Process takedown requests within 24h.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Negotiating licenses (wg-market-partner).</w:t>
      </w:r>
    </w:p>
    <w:p>
      <w:pPr>
        <w:pStyle w:val="ListBullet"/>
      </w:pPr>
      <w:r>
        <w:rPr>
          <w:sz w:val="20"/>
        </w:rPr>
        <w:t>Storing assets (object store).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/rights</w:t>
      </w:r>
    </w:p>
    <w:p>
      <w:pPr>
        <w:pStyle w:val="ListBullet"/>
      </w:pPr>
      <w:r>
        <w:rPr>
          <w:sz w:val="20"/>
        </w:rPr>
        <w:t>POST /takedown</w:t>
      </w:r>
    </w:p>
    <w:p>
      <w:pPr>
        <w:pStyle w:val="ListBullet"/>
      </w:pPr>
      <w:r>
        <w:rPr>
          <w:sz w:val="20"/>
        </w:rPr>
        <w:t>POST /check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agent_id=wg-data-rights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/rights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Register rights.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/takedown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Takedown request.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/check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Pre-flight delivery check.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rights_metadata + takedown_queue.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rights_certainty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ga-security, ga-legal,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8000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M5, M6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Encryption-at-rest is AES-256-GCM with ML-KEM-768 key encapsulation from Day-1; storage backends that cannot accept ML-KEM are vetoed in DNA Deployment.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deployment/{profile}/agents/workgroups/data/wg_data_rights/server.py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adam/wg-data-rights:0.2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wg-data-rights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residency policies.</w:t>
      </w:r>
    </w:p>
    <w:p>
      <w:pPr>
        <w:pStyle w:val="ListBullet"/>
      </w:pPr>
      <w:r>
        <w:rPr>
          <w:sz w:val="20"/>
        </w:rPr>
        <w:t>PII tokenization layer.</w:t>
      </w:r>
    </w:p>
    <w:p>
      <w:pPr>
        <w:pStyle w:val="ListBullet"/>
      </w:pPr>
      <w:r>
        <w:rPr>
          <w:sz w:val="20"/>
        </w:rPr>
        <w:t>Replace heartbeat.</w:t>
      </w:r>
    </w:p>
    <w:p>
      <w:pPr>
        <w:pStyle w:val="Heading2"/>
      </w:pPr>
      <w:r>
        <w:rPr>
          <w:color w:val="334E68"/>
        </w:rPr>
        <w:t>19. Adapters Used</w:t>
      </w:r>
    </w:p>
    <w:p>
      <w:pPr>
        <w:pStyle w:val="ListBullet"/>
      </w:pPr>
      <w:r>
        <w:rPr>
          <w:sz w:val="20"/>
        </w:rPr>
        <w:t>adapter-netstreamx-cms - see D:\ADAM\ADAM Integration Adapters\adapter-netstreamx-cms__*.docx for schemas + auth + residency contract.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