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Compliance Reporting Agent  ·  wg-gov-compliance</w:t>
      </w:r>
    </w:p>
    <w:p>
      <w:r>
        <w:rPr>
          <w:i/>
          <w:sz w:val="16"/>
        </w:rPr>
        <w:t>Class: Corporate Work Group Agent    |    Subgroup: Corporate Governance Interface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wg-gov-compliance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Compliance Reporting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Governance Interface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CEO (Board-facing)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did:adam:wg-gov-compliance#&lt;dual_key_thumbprint_ed25519+mldsa65&gt;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Produces continuous compliance posture reports per ISO 42001, NIST AI RMF, FAIR, COSO; feeds Board and regulators.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Aggregate findings from wg-legal-compliance + wg-risk-monitor.</w:t>
      </w:r>
    </w:p>
    <w:p>
      <w:pPr>
        <w:pStyle w:val="ListBullet"/>
      </w:pPr>
      <w:r>
        <w:rPr>
          <w:sz w:val="20"/>
        </w:rPr>
        <w:t>Render daily compliance dashboard data.</w:t>
      </w:r>
    </w:p>
    <w:p>
      <w:pPr>
        <w:pStyle w:val="ListBullet"/>
      </w:pPr>
      <w:r>
        <w:rPr>
          <w:sz w:val="20"/>
        </w:rPr>
        <w:t>Sign weekly summary.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Resolving findings (wg-legal-compliance).</w:t>
      </w:r>
    </w:p>
    <w:p>
      <w:pPr>
        <w:pStyle w:val="ListBullet"/>
      </w:pPr>
      <w:r>
        <w:rPr>
          <w:sz w:val="20"/>
        </w:rPr>
        <w:t>Filing (wg-gov-filing).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/render</w:t>
      </w:r>
    </w:p>
    <w:p>
      <w:pPr>
        <w:pStyle w:val="ListBullet"/>
      </w:pPr>
      <w:r>
        <w:rPr>
          <w:sz w:val="20"/>
        </w:rPr>
        <w:t>POST /posture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agent_id=wg-gov-compliance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/render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Render report.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/posture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Daily posture.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compliance_reports.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(reporter)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 aggregate BOSS metrics; never scores.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(read), Risk + Compliance + Twin agents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Recorder, External regulator portals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99.95%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M3, M4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Filing signatures dual-signed Ed25519 + ML-DSA-65 from Day-1; regulator-portal mTLS uses ML-KEM-768 + classical hybrid where the portal supports it, classical-only with explicit FR 'pqc_downgrade_logged' otherwise.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deployment/{profile}/agents/workgroups/governance/wg_gov_compliance/server.py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adam/wg-gov-compliance:0.2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wg-gov-compliance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FR subscriber + regulator portal stubs.</w:t>
      </w:r>
    </w:p>
    <w:p>
      <w:pPr>
        <w:pStyle w:val="ListBullet"/>
      </w:pPr>
      <w:r>
        <w:rPr>
          <w:sz w:val="20"/>
        </w:rPr>
        <w:t>Render packets.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