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Stakeholder Communication Agent  ·  wg-gov-stakeholder</w:t>
      </w:r>
    </w:p>
    <w:p>
      <w:r>
        <w:rPr>
          <w:i/>
          <w:sz w:val="16"/>
        </w:rPr>
        <w:t>Class: Corporate Work Group Agent    |    Subgroup: Corporate Governance Interface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wg-gov-stakeholder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Stakeholder Communication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Governance Interface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CEO (Board-facing)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did:adam:wg-gov-stakeholder#&lt;dual_key_thumbprint_ed25519+mldsa65&gt;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externally-facing communications under Director-approved templates: customers, press, regulators.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Send/queue stakeholder messages under signed orch-global plan.</w:t>
      </w:r>
    </w:p>
    <w:p>
      <w:pPr>
        <w:pStyle w:val="ListBullet"/>
      </w:pPr>
      <w:r>
        <w:rPr>
          <w:sz w:val="20"/>
        </w:rPr>
        <w:t>Maintain template library.</w:t>
      </w:r>
    </w:p>
    <w:p>
      <w:pPr>
        <w:pStyle w:val="ListBullet"/>
      </w:pPr>
      <w:r>
        <w:rPr>
          <w:sz w:val="20"/>
        </w:rPr>
        <w:t>Refuse to send any unapproved free-text to PII recipients.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Authoring strategy (Market Director).</w:t>
      </w:r>
    </w:p>
    <w:p>
      <w:pPr>
        <w:pStyle w:val="ListBullet"/>
      </w:pPr>
      <w:r>
        <w:rPr>
          <w:sz w:val="20"/>
        </w:rPr>
        <w:t>PII handling (wg-data-pii).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/send</w:t>
      </w:r>
    </w:p>
    <w:p>
      <w:pPr>
        <w:pStyle w:val="ListBullet"/>
      </w:pPr>
      <w:r>
        <w:rPr>
          <w:sz w:val="20"/>
        </w:rPr>
        <w:t>POST /queue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agent_id=wg-gov-stakeholder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/send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Queue message.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/queue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Queue status.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outbound_messages + delivery receipts.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(reporter)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aggregate BOSS metrics; never scores.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FR (read), Risk + Compliance + Twin agents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External regulator portals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M3, M4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Filing signatures dual-signed Ed25519 + ML-DSA-65 from Day-1; regulator-portal mTLS uses ML-KEM-768 + classical hybrid where the portal supports it, classical-only with explicit FR 'pqc_downgrade_logged' otherwise.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deployment/{profile}/agents/workgroups/governance/wg_gov_stakeholder/server.py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adam/wg-gov-stakeholder:0.2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wg-gov-stakeholder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FR subscriber + regulator portal stubs.</w:t>
      </w:r>
    </w:p>
    <w:p>
      <w:pPr>
        <w:pStyle w:val="ListBullet"/>
      </w:pPr>
      <w:r>
        <w:rPr>
          <w:sz w:val="20"/>
        </w:rPr>
        <w:t>Render packets.</w:t>
      </w:r>
    </w:p>
    <w:p>
      <w:pPr>
        <w:pStyle w:val="Heading2"/>
      </w:pPr>
      <w:r>
        <w:rPr>
          <w:color w:val="334E68"/>
        </w:rPr>
        <w:t>19. Adapters Used</w:t>
      </w:r>
    </w:p>
    <w:p>
      <w:pPr>
        <w:pStyle w:val="ListBullet"/>
      </w:pPr>
      <w:r>
        <w:rPr>
          <w:sz w:val="20"/>
        </w:rPr>
        <w:t>adapter-twilio-sendgrid - see D:\ADAM\ADAM Integration Adapters\adapter-twilio-sendgrid__*.docx for schemas + auth + residency contract.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