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Legal Risk Analysis Agent  ·  wg-legal-risk</w:t>
      </w:r>
    </w:p>
    <w:p>
      <w:r>
        <w:rPr>
          <w:i/>
          <w:sz w:val="16"/>
        </w:rPr>
        <w:t>Class: Corporate Work Group Agent    |    Subgroup: Legal, Regulatory &amp; Policy Authority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wg-legal-risk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Risk Analysis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Legal, Regulatory &amp; Policy Authority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did:adam:wg-legal-risk#&lt;dual_key_thumbprint_ed25519+mldsa65&gt;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No domain logic.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Quantifies legal risk exposure (litigation, fines, injunctions); feeds twin-risk.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Score open compliance findings by jurisdiction-weighted severity.</w:t>
      </w:r>
    </w:p>
    <w:p>
      <w:pPr>
        <w:pStyle w:val="ListBullet"/>
      </w:pPr>
      <w:r>
        <w:rPr>
          <w:sz w:val="20"/>
        </w:rPr>
        <w:t>Compute expected-loss per finding; aggregate to enterprise legal-risk index.</w:t>
      </w:r>
    </w:p>
    <w:p>
      <w:pPr>
        <w:pStyle w:val="ListBullet"/>
      </w:pPr>
      <w:r>
        <w:rPr>
          <w:sz w:val="20"/>
        </w:rPr>
        <w:t>Feed twin-risk and ga-security.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Resolving findings.</w:t>
      </w:r>
    </w:p>
    <w:p>
      <w:pPr>
        <w:pStyle w:val="ListBullet"/>
      </w:pPr>
      <w:r>
        <w:rPr>
          <w:sz w:val="20"/>
        </w:rPr>
        <w:t>Filing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/score</w:t>
      </w:r>
    </w:p>
    <w:p>
      <w:pPr>
        <w:pStyle w:val="ListBullet"/>
      </w:pPr>
      <w:r>
        <w:rPr>
          <w:sz w:val="20"/>
        </w:rPr>
        <w:t>POST /index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agent_id=wg-legal-risk</w:t>
      </w:r>
    </w:p>
    <w:p>
      <w:pPr>
        <w:pStyle w:val="ListBullet"/>
      </w:pPr>
      <w:r>
        <w:rPr>
          <w:sz w:val="20"/>
        </w:rPr>
        <w:t>Postgres durable writes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/score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 a finding.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/index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legal-risk index.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legal_risk_findings + index materialized view.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Owner-of-risk-aggregation.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ga-legal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Document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deployment/{profile}/agents/workgroups/legal/wg_legal_risk/server.py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adam/wg-legal-risk:0.2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wg-legal-risk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ruleset/regulation YAML hot-reload.</w:t>
      </w:r>
    </w:p>
    <w:p>
      <w:pPr>
        <w:pStyle w:val="ListBullet"/>
      </w:pPr>
      <w:r>
        <w:rPr>
          <w:sz w:val="20"/>
        </w:rPr>
        <w:t>Add idempotent X-Action-Id.</w:t>
      </w:r>
    </w:p>
    <w:p>
      <w:pPr>
        <w:pStyle w:val="ListBullet"/>
      </w:pPr>
      <w:r>
        <w:rPr>
          <w:sz w:val="20"/>
        </w:rPr>
        <w:t>Replace heartbeat with real liveness/readiness.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