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Customer Interaction Agent  ·  wg-market-customer</w:t>
      </w:r>
    </w:p>
    <w:p>
      <w:r>
        <w:rPr>
          <w:i/>
          <w:sz w:val="16"/>
        </w:rPr>
        <w:t>Class: Corporate Work Group Agent    |    Subgroup: Market &amp; External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wg-market-customer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Customer Interaction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&amp; External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did:adam:wg-market-customer#&lt;dual_key_thumbprint_ed25519+mldsa65&gt;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programmatic customer touchpoints: contracts, SLAs, pricing, billing-event lifecycle. NEVER serves PII outside policy.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Manage customer lifecycle: onboard, renew, churn, refund (with wg-fin-txn).</w:t>
      </w:r>
    </w:p>
    <w:p>
      <w:pPr>
        <w:pStyle w:val="ListBullet"/>
      </w:pPr>
      <w:r>
        <w:rPr>
          <w:sz w:val="20"/>
        </w:rPr>
        <w:t>Enforce age/region gates from CORE Graph subgraph 'customer'.</w:t>
      </w:r>
    </w:p>
    <w:p>
      <w:pPr>
        <w:pStyle w:val="ListBullet"/>
      </w:pPr>
      <w:r>
        <w:rPr>
          <w:sz w:val="20"/>
        </w:rPr>
        <w:t>Block under-13 signup automatically (NetStreamX QA Layer 6 case).</w:t>
      </w:r>
    </w:p>
    <w:p>
      <w:pPr>
        <w:pStyle w:val="ListBullet"/>
      </w:pPr>
      <w:r>
        <w:rPr>
          <w:sz w:val="20"/>
        </w:rPr>
        <w:t>Emit 'customer_event' with anonymized payload; PII stays in wg-data-pii.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Storing PII directly (wg-data-pii owns).</w:t>
      </w:r>
    </w:p>
    <w:p>
      <w:pPr>
        <w:pStyle w:val="ListBullet"/>
      </w:pPr>
      <w:r>
        <w:rPr>
          <w:sz w:val="20"/>
        </w:rPr>
        <w:t>Pricing strategy (Market Director).</w:t>
      </w:r>
    </w:p>
    <w:p>
      <w:pPr>
        <w:pStyle w:val="ListBullet"/>
      </w:pPr>
      <w:r>
        <w:rPr>
          <w:sz w:val="20"/>
        </w:rPr>
        <w:t>Litigation (Legal).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/onboard</w:t>
      </w:r>
    </w:p>
    <w:p>
      <w:pPr>
        <w:pStyle w:val="ListBullet"/>
      </w:pPr>
      <w:r>
        <w:rPr>
          <w:sz w:val="20"/>
        </w:rPr>
        <w:t>POST /renew</w:t>
      </w:r>
    </w:p>
    <w:p>
      <w:pPr>
        <w:pStyle w:val="ListBullet"/>
      </w:pPr>
      <w:r>
        <w:rPr>
          <w:sz w:val="20"/>
        </w:rPr>
        <w:t>POST /refund</w:t>
      </w:r>
    </w:p>
    <w:p>
      <w:pPr>
        <w:pStyle w:val="ListBullet"/>
      </w:pPr>
      <w:r>
        <w:rPr>
          <w:sz w:val="20"/>
        </w:rPr>
        <w:t>POST /customer/{id}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agent_id=wg-market-customer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/onboard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Onboard customer.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/renew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Renew.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/refund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Refund (calls wg-fin-txn).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/customer/{id}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Public-safe profile.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customers (no PII columns); PII tokens via wg-data-pii.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Touches; ga-market resolves.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ga-market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wg-fin-txn (for paid actions)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Customer-facing token signatures dual-signed Ed25519 + ML-DSA-65 from Day-1; ML-KEM-768 for session key exchange.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deployment/{profile}/agents/workgroups/market/wg_market_customer/server.py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adam/wg-market-customer:0.2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wg-market-customer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ga-market gating.</w:t>
      </w:r>
    </w:p>
    <w:p>
      <w:pPr>
        <w:pStyle w:val="ListBullet"/>
      </w:pPr>
      <w:r>
        <w:rPr>
          <w:sz w:val="20"/>
        </w:rPr>
        <w:t>FR step events.</w:t>
      </w:r>
    </w:p>
    <w:p>
      <w:pPr>
        <w:pStyle w:val="ListBullet"/>
      </w:pPr>
      <w:r>
        <w:rPr>
          <w:sz w:val="20"/>
        </w:rPr>
        <w:t>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adapter-dynamics - see D:\ADAM\ADAM Integration Adapters\adapter-dynamics__*.docx for schemas + auth + residency contract.</w:t>
      </w:r>
    </w:p>
    <w:p>
      <w:pPr>
        <w:pStyle w:val="ListBullet"/>
      </w:pPr>
      <w:r>
        <w:rPr>
          <w:sz w:val="20"/>
        </w:rPr>
        <w:t>adapter-hubspot - see D:\ADAM\ADAM Integration Adapters\adapter-hubspot__*.docx for schemas + auth + residency contract.</w:t>
      </w:r>
    </w:p>
    <w:p>
      <w:pPr>
        <w:pStyle w:val="ListBullet"/>
      </w:pPr>
      <w:r>
        <w:rPr>
          <w:sz w:val="20"/>
        </w:rPr>
        <w:t>adapter-salesforce - see D:\ADAM\ADAM Integration Adapters\adapter-salesforce__*.docx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