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Demand Signal Agent  ·  wg-market-demand</w:t>
      </w:r>
    </w:p>
    <w:p>
      <w:r>
        <w:rPr>
          <w:i/>
          <w:sz w:val="16"/>
        </w:rPr>
        <w:t>Class: Corporate Work Group Agent    |    Subgroup: Market &amp; External Interface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wg-market-demand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Demand Signal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Market &amp; External Interface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Market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ga-market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did:adam:wg-market-demand#&lt;dual_key_thumbprint_ed25519+mldsa65&gt;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Models product demand from internal usage telemetry; feeds wg-market-customer pricing logic.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Aggregate usage telemetry by SKU/tier/region.</w:t>
      </w:r>
    </w:p>
    <w:p>
      <w:pPr>
        <w:pStyle w:val="ListBullet"/>
      </w:pPr>
      <w:r>
        <w:rPr>
          <w:sz w:val="20"/>
        </w:rPr>
        <w:t>Forecast 7/30-day demand; emit 'demand_forecast'.</w:t>
      </w:r>
    </w:p>
    <w:p>
      <w:pPr>
        <w:pStyle w:val="ListBullet"/>
      </w:pPr>
      <w:r>
        <w:rPr>
          <w:sz w:val="20"/>
        </w:rPr>
        <w:t>Detect surge -&gt; prompt wg-ops-resilience.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Pricing decision (Market Director).</w:t>
      </w:r>
    </w:p>
    <w:p>
      <w:pPr>
        <w:pStyle w:val="ListBullet"/>
      </w:pPr>
      <w:r>
        <w:rPr>
          <w:sz w:val="20"/>
        </w:rPr>
        <w:t>Capacity (wg-ops-bc).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/forecast</w:t>
      </w:r>
    </w:p>
    <w:p>
      <w:pPr>
        <w:pStyle w:val="ListBullet"/>
      </w:pPr>
      <w:r>
        <w:rPr>
          <w:sz w:val="20"/>
        </w:rPr>
        <w:t>POST /forecast/latest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agent_id=wg-market-demand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/forecast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Forecast.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/forecast/latest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Latest.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demand_metrics.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reputational_risk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Touches; ga-market resolves.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ga-market /evaluate, orch-global,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Recorder, wg-fin-txn (for paid actions)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99.95%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M4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Customer-facing token signatures dual-signed Ed25519 + ML-DSA-65 from Day-1; ML-KEM-768 for session key exchange.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deployment/{profile}/agents/workgroups/market/wg_market_demand/server.py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adam/wg-market-demand:0.2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wg-market-demand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ga-market gating.</w:t>
      </w:r>
    </w:p>
    <w:p>
      <w:pPr>
        <w:pStyle w:val="ListBullet"/>
      </w:pPr>
      <w:r>
        <w:rPr>
          <w:sz w:val="20"/>
        </w:rPr>
        <w:t>FR step events.</w:t>
      </w:r>
    </w:p>
    <w:p>
      <w:pPr>
        <w:pStyle w:val="ListBullet"/>
      </w:pPr>
      <w:r>
        <w:rPr>
          <w:sz w:val="20"/>
        </w:rPr>
        <w:t>Idempotency.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