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Failure Recovery Agent  ·  wg-ops-recovery</w:t>
      </w:r>
    </w:p>
    <w:p>
      <w:r>
        <w:rPr>
          <w:i/>
          <w:sz w:val="16"/>
        </w:rPr>
        <w:t>Class: Corporate Work Group Agent    |    Subgroup: Operational Continuity &amp; Resilience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wg-ops-recovery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Failure Recovery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Operational Continuity &amp; Resilience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(CTO when seated)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did:adam:wg-ops-recovery#&lt;dual_key_thumbprint_ed25519+mldsa65&gt;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automated recovery flows; coordinates rollback, failover, partial degradation.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runbook library.</w:t>
      </w:r>
    </w:p>
    <w:p>
      <w:pPr>
        <w:pStyle w:val="ListBullet"/>
      </w:pPr>
      <w:r>
        <w:rPr>
          <w:sz w:val="20"/>
        </w:rPr>
        <w:t>Execute under orch-global signed plan.</w:t>
      </w:r>
    </w:p>
    <w:p>
      <w:pPr>
        <w:pStyle w:val="ListBullet"/>
      </w:pPr>
      <w:r>
        <w:rPr>
          <w:sz w:val="20"/>
        </w:rPr>
        <w:t>Emit 'recovery_started' / 'recovery_completed' / 'recovery_failed'.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Authoring runbooks (SRE leadership).</w:t>
      </w:r>
    </w:p>
    <w:p>
      <w:pPr>
        <w:pStyle w:val="ListBullet"/>
      </w:pPr>
      <w:r>
        <w:rPr>
          <w:sz w:val="20"/>
        </w:rPr>
        <w:t>Director approval.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/recover</w:t>
      </w:r>
    </w:p>
    <w:p>
      <w:pPr>
        <w:pStyle w:val="ListBullet"/>
      </w:pPr>
      <w:r>
        <w:rPr>
          <w:sz w:val="20"/>
        </w:rPr>
        <w:t>POST /runbooks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agent_id=wg-ops-recovery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/recover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runbook.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/runbooks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runbook_executions; runbook YAMLs git-backed.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Touches via mandate alignment.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(uptime)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Drives M1 mandate.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ga-operations /evaluate, twin-operational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orch-global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 (uptime ≥ 99.97%), M2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Recovery runbook executions dual-signed Ed25519 + ML-DSA-65 from Day-1; runbook artefacts pinned with SLH-DSA long-term anchor.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deployment/{profile}/agents/workgroups/operations/wg_ops_recovery/server.py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adam/wg-ops-recovery:0.2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wg-ops-recovery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Wire twin-operational + chaos hooks.</w:t>
      </w:r>
    </w:p>
    <w:p>
      <w:pPr>
        <w:pStyle w:val="Heading2"/>
      </w:pPr>
      <w:r>
        <w:rPr>
          <w:color w:val="334E68"/>
        </w:rPr>
        <w:t>19. Adapters Used</w:t>
      </w:r>
    </w:p>
    <w:p>
      <w:pPr>
        <w:pStyle w:val="ListBullet"/>
      </w:pPr>
      <w:r>
        <w:rPr>
          <w:sz w:val="20"/>
        </w:rPr>
        <w:t>adapter-servicenow - see D:\ADAM\ADAM Integration Adapters\adapter-servicenow__*.docx for schemas + auth + residency contract.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