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Incident Response Agent  ·  wg-sec-incident</w:t>
      </w:r>
    </w:p>
    <w:p>
      <w:r>
        <w:rPr>
          <w:i/>
          <w:sz w:val="16"/>
        </w:rPr>
        <w:t>Class: Corporate Work Group Agent    |    Subgroup: Security &amp; Trust Enforcement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wg-sec-incident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Incident Response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Security &amp; Trust Enforcement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did:adam:wg-sec-incident#&lt;dual_key_thumbprint_ed25519+mldsa65&gt;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IR lifecycle; coordinates with wg-sec-threat, wg-ops-recovery; produces post-mortems.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Open incidents from threat severities &gt;= medium.</w:t>
      </w:r>
    </w:p>
    <w:p>
      <w:pPr>
        <w:pStyle w:val="ListBullet"/>
      </w:pPr>
      <w:r>
        <w:rPr>
          <w:sz w:val="20"/>
        </w:rPr>
        <w:t>Drive containment runbooks.</w:t>
      </w:r>
    </w:p>
    <w:p>
      <w:pPr>
        <w:pStyle w:val="ListBullet"/>
      </w:pPr>
      <w:r>
        <w:rPr>
          <w:sz w:val="20"/>
        </w:rPr>
        <w:t>Emit 'incident_opened' / 'incident_contained' / 'incident_resolved'.</w:t>
      </w:r>
    </w:p>
    <w:p>
      <w:pPr>
        <w:pStyle w:val="ListBullet"/>
      </w:pPr>
      <w:r>
        <w:rPr>
          <w:sz w:val="20"/>
        </w:rPr>
        <w:t>Generate post-mortem PDF for Board.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Patching code (engineering).</w:t>
      </w:r>
    </w:p>
    <w:p>
      <w:pPr>
        <w:pStyle w:val="ListBullet"/>
      </w:pPr>
      <w:r>
        <w:rPr>
          <w:sz w:val="20"/>
        </w:rPr>
        <w:t>Public disclosure (wg-gov-stakeholder + Director).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/incident</w:t>
      </w:r>
    </w:p>
    <w:p>
      <w:pPr>
        <w:pStyle w:val="ListBullet"/>
      </w:pPr>
      <w:r>
        <w:rPr>
          <w:sz w:val="20"/>
        </w:rPr>
        <w:t>POST /incident/{id}/contain</w:t>
      </w:r>
    </w:p>
    <w:p>
      <w:pPr>
        <w:pStyle w:val="ListBullet"/>
      </w:pPr>
      <w:r>
        <w:rPr>
          <w:sz w:val="20"/>
        </w:rPr>
        <w:t>POST /incidents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agent_id=wg-sec-incident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/incident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/incident/{id}/contain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Contain.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/incidents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incidents; doc store for post-mortems.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security_impact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Vault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Hard PQC requirement met from Day-1: ML-DSA-65 dual-sign on every issued key and token; ML-KEM-768 for every cross-service exchange. SLH-DSA backstop for long-term archival.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deployment/{profile}/agents/workgroups/security/wg_sec_incident/server.py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adam/wg-sec-incident:0.2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wg-sec-incident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heartbeat.</w:t>
      </w:r>
    </w:p>
    <w:p>
      <w:pPr>
        <w:pStyle w:val="ListBullet"/>
      </w:pPr>
      <w:r>
        <w:rPr>
          <w:sz w:val="20"/>
        </w:rPr>
        <w:t>Wire SIEM + Vault.</w:t>
      </w:r>
    </w:p>
    <w:p>
      <w:pPr>
        <w:pStyle w:val="ListBullet"/>
      </w:pPr>
      <w:r>
        <w:rPr>
          <w:sz w:val="20"/>
        </w:rPr>
        <w:t>Quantum-safe rotation plan.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adapter-servicenow - see D:\ADAM\ADAM Integration Adapters\adapter-servicenow__*.docx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