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Cryptographic Authorization Vault Agent  ·  wg-sec-vault</w:t>
      </w:r>
    </w:p>
    <w:p>
      <w:r>
        <w:rPr>
          <w:i/>
          <w:sz w:val="16"/>
        </w:rPr>
        <w:t>Class: Corporate Work Group Agent    |    Subgroup: Security &amp; Trust Enforcement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wg-sec-vault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Cryptographic Authorization Vault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Security &amp; Trust Enforcement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did:adam:wg-sec-vault#&lt;dual_key_thumbprint_ed25519+mldsa65&gt;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ADAM's software-HSM. Issues, rotates, revokes Ed25519 (and ML-DSA-65 dual) keys; signs scoped tokens; never in-band approves business actions.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Generate keys via PyNaCl (Ed25519) + dilithium-py / liboqs (ML-DSA-65).</w:t>
      </w:r>
    </w:p>
    <w:p>
      <w:pPr>
        <w:pStyle w:val="ListBullet"/>
      </w:pPr>
      <w:r>
        <w:rPr>
          <w:sz w:val="20"/>
        </w:rPr>
        <w:t>Issue scoped tokens with TTL &lt;= 24h.</w:t>
      </w:r>
    </w:p>
    <w:p>
      <w:pPr>
        <w:pStyle w:val="ListBullet"/>
      </w:pPr>
      <w:r>
        <w:rPr>
          <w:sz w:val="20"/>
        </w:rPr>
        <w:t>Rotate keys per policy (default 90 days).</w:t>
      </w:r>
    </w:p>
    <w:p>
      <w:pPr>
        <w:pStyle w:val="ListBullet"/>
      </w:pPr>
      <w:r>
        <w:rPr>
          <w:sz w:val="20"/>
        </w:rPr>
        <w:t>Emit 'key_issued' / 'key_rotated' / 'token_issued' / 'token_revoked'.</w:t>
      </w:r>
    </w:p>
    <w:p>
      <w:pPr>
        <w:pStyle w:val="ListBullet"/>
      </w:pPr>
      <w:r>
        <w:rPr>
          <w:sz w:val="20"/>
        </w:rPr>
        <w:t>NO blockchain. NO smart contracts. NO DAO.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Approving business actions.</w:t>
      </w:r>
    </w:p>
    <w:p>
      <w:pPr>
        <w:pStyle w:val="ListBullet"/>
      </w:pPr>
      <w:r>
        <w:rPr>
          <w:sz w:val="20"/>
        </w:rPr>
        <w:t>Authentication of users (wg-sec-access).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/key</w:t>
      </w:r>
    </w:p>
    <w:p>
      <w:pPr>
        <w:pStyle w:val="ListBullet"/>
      </w:pPr>
      <w:r>
        <w:rPr>
          <w:sz w:val="20"/>
        </w:rPr>
        <w:t>POST /sign</w:t>
      </w:r>
    </w:p>
    <w:p>
      <w:pPr>
        <w:pStyle w:val="ListBullet"/>
      </w:pPr>
      <w:r>
        <w:rPr>
          <w:sz w:val="20"/>
        </w:rPr>
        <w:t>POST /token</w:t>
      </w:r>
    </w:p>
    <w:p>
      <w:pPr>
        <w:pStyle w:val="ListBullet"/>
      </w:pPr>
      <w:r>
        <w:rPr>
          <w:sz w:val="20"/>
        </w:rPr>
        <w:t>POST /revoke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agent_id=wg-sec-vault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/key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Generate key.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/sign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Sign payload.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/token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Issue scoped token.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/revoke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Revoke token.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Keys at /data/adam/vault/keys/ (chmod 600). Token store in Postgres + Redis cache.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sovereignty_action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 with ga-security.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Vault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M5, M5 (sovereignty)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Hard PQC requirement met from Day-1: ML-DSA-65 dual-sign on every issued key and token; ML-KEM-768 for every cross-service exchange. SLH-DSA backstop for long-term archival.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deployment/{profile}/agents/workgroups/security/wg_sec_vault/server.py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adam/wg-sec-vault:0.2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wg-sec-vault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heartbeat.</w:t>
      </w:r>
    </w:p>
    <w:p>
      <w:pPr>
        <w:pStyle w:val="ListBullet"/>
      </w:pPr>
      <w:r>
        <w:rPr>
          <w:sz w:val="20"/>
        </w:rPr>
        <w:t>Wire SIEM + Vault.</w:t>
      </w:r>
    </w:p>
    <w:p>
      <w:pPr>
        <w:pStyle w:val="ListBullet"/>
      </w:pPr>
      <w:r>
        <w:rPr>
          <w:sz w:val="20"/>
        </w:rPr>
        <w:t>Quantum-safe rotation plan.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