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Accounts Receivable Collections Agent  ·  adamplus-ar-collections</w:t>
      </w:r>
    </w:p>
    <w:p>
      <w:r>
        <w:rPr>
          <w:i/>
          <w:sz w:val="16"/>
        </w:rPr>
        <w:t>Cluster: Financial Operations Extension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adamplus-ar-collections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Accounts Receivable Collections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Financial Operations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CFO + Market Director (joint - retention vs collection)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ga-financial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adamplus-ar-invoice; wg-market-customer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did:adam:adamplus-ar-collections#&lt;dual_key_thumbprint_ed25519+mldsa65&gt;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Reputation gate is intentional — ga-market concurs on suspension.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Owns the dunning lifecycle: reminders, suspension, write-off; balanced against retention.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AR aging bucket &gt;30 days triggers a dunning sequence (3 reminders, then suspension or write-off). Each step is intent-routed: T+0 polite reminder, T+15 firm reminder, T+30 suspension warning, T+45 service suspension (with ga-market concurrence to avoid reputational loss), T+90 write-off (Director quorum).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Subscribe to ar aging buckets every hour.</w:t>
      </w:r>
    </w:p>
    <w:p>
      <w:pPr>
        <w:pStyle w:val="ListBullet"/>
      </w:pPr>
      <w:r>
        <w:rPr>
          <w:sz w:val="20"/>
        </w:rPr>
        <w:t>Send tiered dunning notices via wg-gov-stakeholder.</w:t>
      </w:r>
    </w:p>
    <w:p>
      <w:pPr>
        <w:pStyle w:val="ListBullet"/>
      </w:pPr>
      <w:r>
        <w:rPr>
          <w:sz w:val="20"/>
        </w:rPr>
        <w:t>Coordinate with adamplus-crm-success on retention plays.</w:t>
      </w:r>
    </w:p>
    <w:p>
      <w:pPr>
        <w:pStyle w:val="ListBullet"/>
      </w:pPr>
      <w:r>
        <w:rPr>
          <w:sz w:val="20"/>
        </w:rPr>
        <w:t>Suspend or write-off only with appropriate concurrence.</w:t>
      </w:r>
    </w:p>
    <w:p>
      <w:pPr>
        <w:pStyle w:val="ListBullet"/>
      </w:pPr>
      <w:r>
        <w:rPr>
          <w:sz w:val="20"/>
        </w:rPr>
        <w:t>Emit 'collection_step_taken' / 'collection_resolved' / 'collection_writeoff'.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Issuing invoices (adamplus-ar-invoice).</w:t>
      </w:r>
    </w:p>
    <w:p>
      <w:pPr>
        <w:pStyle w:val="ListBullet"/>
      </w:pPr>
      <w:r>
        <w:rPr>
          <w:sz w:val="20"/>
        </w:rPr>
        <w:t>Litigating (Legal Director).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/step/{customer_id} body:{step}.</w:t>
      </w:r>
    </w:p>
    <w:p>
      <w:pPr>
        <w:pStyle w:val="ListBullet"/>
      </w:pPr>
      <w:r>
        <w:rPr>
          <w:sz w:val="20"/>
        </w:rPr>
        <w:t>GET /aging.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events; outbound notices via wg-gov-stakeholder.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/step/{customer_id}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Drive next step.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/aging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Aging.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/writeoff/{customer_id}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Director-quorum-only.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collections_state(customer_id, last_step, next_due, escalation_level).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financial_exposure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Surfaces.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reputational_risk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Each step touches; ga-market concurs.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adamplus-ar-invoice, adamplus-crm-success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wg-gov-stakeholder, Flight Recorder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99.95%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M4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deployment/{profile}/agents/adamplus/ar_collections/server.py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adam/adamplus-ar-collections:0.2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adamplus-ar-collections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service.</w:t>
      </w:r>
    </w:p>
    <w:p>
      <w:pPr>
        <w:pStyle w:val="ListBullet"/>
      </w:pPr>
      <w:r>
        <w:rPr>
          <w:sz w:val="20"/>
        </w:rPr>
        <w:t>Wire dunning template library.</w:t>
      </w:r>
    </w:p>
    <w:p>
      <w:pPr>
        <w:pStyle w:val="ListBullet"/>
      </w:pPr>
      <w:r>
        <w:rPr>
          <w:sz w:val="20"/>
        </w:rPr>
        <w:t>Add Director-quorum write-off path.</w:t>
      </w:r>
    </w:p>
    <w:p>
      <w:pPr>
        <w:pStyle w:val="Heading2"/>
      </w:pPr>
      <w:r>
        <w:rPr>
          <w:color w:val="334E68"/>
        </w:rPr>
        <w:t>20. Adapters Used</w:t>
      </w:r>
    </w:p>
    <w:p>
      <w:pPr>
        <w:pStyle w:val="ListBullet"/>
      </w:pPr>
      <w:r>
        <w:rPr>
          <w:sz w:val="20"/>
        </w:rPr>
        <w:t>adapter-twilio-sendgrid - canonical adapter card at D:\ADAM\ADAM Integration Adapters\adapter-twilio-sendgrid__*.docx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