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C24D14"/>
          <w:sz w:val="36"/>
        </w:rPr>
        <w:t>ADAMPLUS Agent Definition Card</w:t>
      </w:r>
    </w:p>
    <w:p>
      <w:r>
        <w:rPr>
          <w:b/>
          <w:sz w:val="26"/>
        </w:rPr>
        <w:t>Revenue Recognition Agent (ASC 606 / IFRS 15)  ·  adamplus-ar-revrec</w:t>
      </w:r>
    </w:p>
    <w:p>
      <w:r>
        <w:rPr>
          <w:i/>
          <w:sz w:val="16"/>
        </w:rPr>
        <w:t>Cluster: Financial Operations Extension    |    Conformance: ADAM Book New v0.3 / BOSS v3.2 / FR Schema v2 / RGI v1.1 / Day-1 PQC (Ed25519 + ML-DSA-65 + ML-KEM-768)    |    Date: 2026-05-05</w:t>
      </w:r>
    </w:p>
    <w:p>
      <w:r>
        <w:rPr>
          <w:i/>
          <w:sz w:val="16"/>
        </w:rPr>
        <w:t>ADAMPLUS denotes an extension to the canonical 81-agent mesh required by real-world enterprise flows (AR/AP, banking, HR, CRM, Operations / industry verticals, ITSM, procurement). ADAMPLUS agents inherit ADAM doctrine and flow through the same six-stage pipeline; they are NOT an alternate governance model.</w:t>
      </w:r>
    </w:p>
    <w:p>
      <w:pPr>
        <w:pStyle w:val="Heading2"/>
      </w:pPr>
      <w:r>
        <w:rPr>
          <w:color w:val="334E68"/>
        </w:rPr>
        <w:t>1. Identity &amp; Authority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Agent ID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adamplus-ar-revrec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Canonical Name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Revenue Recognition Agent (ASC 606 / IFRS 15)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Class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ADAMPLUS extension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Cluster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Financial Operations Extension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Accountable Director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CFO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Owning Domain Governor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ga-financial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Base-mesh Anchors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adamplus-ar-invoice; adamplus-fin-gl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DID Scheme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did:adam:adamplus-ar-revrec#&lt;dual_key_thumbprint_ed25519+mldsa65&gt;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Doctrine Cross-Refs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 v0.2 main doctrine; Intent Object Definition v0.2; BOSS Score Formulas v0.3; Governance Charter and Human Directorship v0.2; OPA Rego Authoring Standards v0.2; Keyword Glossary v0.4; Hardware-Free Cryptographic Substrate v0.2; Quantum and Cryptographic Security at Scale v0.5.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Special Note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External audit critical path; wg-fin-audit consumes its outputs directly.</w:t>
            </w:r>
          </w:p>
        </w:tc>
      </w:tr>
    </w:tbl>
    <w:p>
      <w:pPr>
        <w:pStyle w:val="Heading2"/>
      </w:pPr>
      <w:r>
        <w:rPr>
          <w:color w:val="334E68"/>
        </w:rPr>
        <w:t>2. Mission</w:t>
      </w:r>
    </w:p>
    <w:p>
      <w:r>
        <w:rPr>
          <w:sz w:val="20"/>
        </w:rPr>
        <w:t>Owns revenue recognition policy execution per ASC 606 / IFRS 15. Decomposes contracts into ASC 606 / IFRS 15 performance obligations and books straight-line or usage-based recognition daily via adamplus-fin-gl.</w:t>
      </w:r>
    </w:p>
    <w:p>
      <w:pPr>
        <w:pStyle w:val="Heading2"/>
      </w:pPr>
      <w:r>
        <w:rPr>
          <w:color w:val="334E68"/>
        </w:rPr>
        <w:t>3. Real-World Flow Walkthrough</w:t>
      </w:r>
    </w:p>
    <w:p>
      <w:r>
        <w:rPr>
          <w:sz w:val="20"/>
        </w:rPr>
        <w:t>On invoice issuance, decomposes into performance obligations per ASC 606 / IFRS 15; defers revenue to scheduled recognition events; books straight-line or usage-based recognition daily.</w:t>
      </w:r>
    </w:p>
    <w:p>
      <w:pPr>
        <w:pStyle w:val="Heading2"/>
      </w:pPr>
      <w:r>
        <w:rPr>
          <w:color w:val="334E68"/>
        </w:rPr>
        <w:t>4. In-Scope Responsibilities</w:t>
      </w:r>
    </w:p>
    <w:p>
      <w:pPr>
        <w:pStyle w:val="ListBullet"/>
      </w:pPr>
      <w:r>
        <w:rPr>
          <w:sz w:val="20"/>
        </w:rPr>
        <w:t>Decompose contracts into performance obligations.</w:t>
      </w:r>
    </w:p>
    <w:p>
      <w:pPr>
        <w:pStyle w:val="ListBullet"/>
      </w:pPr>
      <w:r>
        <w:rPr>
          <w:sz w:val="20"/>
        </w:rPr>
        <w:t>Allocate transaction price across obligations.</w:t>
      </w:r>
    </w:p>
    <w:p>
      <w:pPr>
        <w:pStyle w:val="ListBullet"/>
      </w:pPr>
      <w:r>
        <w:rPr>
          <w:sz w:val="20"/>
        </w:rPr>
        <w:t>Schedule recognition (point-in-time or over-time).</w:t>
      </w:r>
    </w:p>
    <w:p>
      <w:pPr>
        <w:pStyle w:val="ListBullet"/>
      </w:pPr>
      <w:r>
        <w:rPr>
          <w:sz w:val="20"/>
        </w:rPr>
        <w:t>Book daily recognition entries via adamplus-fin-gl.</w:t>
      </w:r>
    </w:p>
    <w:p>
      <w:pPr>
        <w:pStyle w:val="ListBullet"/>
      </w:pPr>
      <w:r>
        <w:rPr>
          <w:sz w:val="20"/>
        </w:rPr>
        <w:t>Emit 'revenue_recognized' / 'revenue_deferred'.</w:t>
      </w:r>
    </w:p>
    <w:p>
      <w:pPr>
        <w:pStyle w:val="Heading2"/>
      </w:pPr>
      <w:r>
        <w:rPr>
          <w:color w:val="334E68"/>
        </w:rPr>
        <w:t>5. Explicitly Out of Scope</w:t>
      </w:r>
    </w:p>
    <w:p>
      <w:pPr>
        <w:pStyle w:val="ListBullet"/>
      </w:pPr>
      <w:r>
        <w:rPr>
          <w:sz w:val="20"/>
        </w:rPr>
        <w:t>Pricing.</w:t>
      </w:r>
    </w:p>
    <w:p>
      <w:pPr>
        <w:pStyle w:val="ListBullet"/>
      </w:pPr>
      <w:r>
        <w:rPr>
          <w:sz w:val="20"/>
        </w:rPr>
        <w:t>Tax (adamplus-fin-tax-calc).</w:t>
      </w:r>
    </w:p>
    <w:p>
      <w:pPr>
        <w:pStyle w:val="ListBullet"/>
      </w:pPr>
      <w:r>
        <w:rPr>
          <w:sz w:val="20"/>
        </w:rPr>
        <w:t>Collections.</w:t>
      </w:r>
    </w:p>
    <w:p>
      <w:pPr>
        <w:pStyle w:val="Heading2"/>
      </w:pPr>
      <w:r>
        <w:rPr>
          <w:color w:val="334E68"/>
        </w:rPr>
        <w:t>6. Inputs</w:t>
      </w:r>
    </w:p>
    <w:p>
      <w:pPr>
        <w:pStyle w:val="ListBullet"/>
      </w:pPr>
      <w:r>
        <w:rPr>
          <w:sz w:val="20"/>
        </w:rPr>
        <w:t>POST /contract body:{contract, allocations}.</w:t>
      </w:r>
    </w:p>
    <w:p>
      <w:pPr>
        <w:pStyle w:val="ListBullet"/>
      </w:pPr>
      <w:r>
        <w:rPr>
          <w:sz w:val="20"/>
        </w:rPr>
        <w:t>POST /recognize body:{date}.</w:t>
      </w:r>
    </w:p>
    <w:p>
      <w:pPr>
        <w:pStyle w:val="Heading2"/>
      </w:pPr>
      <w:r>
        <w:rPr>
          <w:color w:val="334E68"/>
        </w:rPr>
        <w:t>7. Outputs (Flight Recorder &amp; Side Effects)</w:t>
      </w:r>
    </w:p>
    <w:p>
      <w:pPr>
        <w:pStyle w:val="ListBullet"/>
      </w:pPr>
      <w:r>
        <w:rPr>
          <w:sz w:val="20"/>
        </w:rPr>
        <w:t>FR events; GL entries via adamplus-fin-gl.</w:t>
      </w:r>
    </w:p>
    <w:p>
      <w:pPr>
        <w:pStyle w:val="Heading2"/>
      </w:pPr>
      <w:r>
        <w:rPr>
          <w:color w:val="334E68"/>
        </w:rPr>
        <w:t>8. Public API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/contract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Onboard a contract.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/recognize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Recognize for date.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/deferred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Deferred revenue snapshot.</w:t>
            </w:r>
          </w:p>
        </w:tc>
      </w:tr>
    </w:tbl>
    <w:p>
      <w:pPr>
        <w:pStyle w:val="Heading2"/>
      </w:pPr>
      <w:r>
        <w:rPr>
          <w:color w:val="334E68"/>
        </w:rPr>
        <w:t>9. State &amp; Persistence</w:t>
      </w:r>
    </w:p>
    <w:p>
      <w:r>
        <w:rPr>
          <w:sz w:val="20"/>
        </w:rPr>
        <w:t>Postgres rev_contracts + rev_obligations + rev_schedule.</w:t>
      </w:r>
    </w:p>
    <w:p>
      <w:pPr>
        <w:pStyle w:val="Heading2"/>
      </w:pPr>
      <w:r>
        <w:rPr>
          <w:color w:val="334E68"/>
        </w:rPr>
        <w:t>10. BOSS v3.2 Touch Points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EFEFEF"/>
          </w:tcPr>
          <w:p>
            <w:r>
              <w:rPr>
                <w:b/>
                <w:sz w:val="18"/>
              </w:rPr>
              <w:t>BOSS Dimension</w:t>
            </w:r>
          </w:p>
        </w:tc>
        <w:tc>
          <w:tcPr>
            <w:tcW w:type="dxa" w:w="4968"/>
            <w:shd w:val="clear" w:color="auto" w:fill="EFEFEF"/>
          </w:tcPr>
          <w:p>
            <w:r>
              <w:rPr>
                <w:b/>
                <w:sz w:val="18"/>
              </w:rPr>
              <w:t>Role / Behavior</w:t>
            </w:r>
          </w:p>
        </w:tc>
      </w:tr>
      <w:tr>
        <w:tc>
          <w:tcPr>
            <w:tcW w:type="dxa" w:w="4968"/>
          </w:tcPr>
          <w:p>
            <w:r>
              <w:rPr>
                <w:sz w:val="18"/>
              </w:rPr>
              <w:t>financial_exposure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  <w:t>Surfaces deferred-revenue position.</w:t>
            </w:r>
          </w:p>
        </w:tc>
      </w:tr>
    </w:tbl>
    <w:p>
      <w:r>
        <w:rPr>
          <w:i/>
          <w:sz w:val="18"/>
        </w:rPr>
        <w:t>Critical-dim override: any single dim &gt; 75 forces composite &gt;= max_dim - 10. Non-idempotent flag adds +15 (cap 100).</w:t>
      </w:r>
    </w:p>
    <w:p>
      <w:pPr>
        <w:pStyle w:val="Heading2"/>
      </w:pPr>
      <w:r>
        <w:rPr>
          <w:color w:val="334E68"/>
        </w:rPr>
        <w:t>11. Governor / Director Concurrence</w:t>
      </w:r>
    </w:p>
    <w:p>
      <w:pPr>
        <w:pStyle w:val="ListBullet"/>
      </w:pPr>
      <w:r>
        <w:rPr>
          <w:sz w:val="20"/>
        </w:rPr>
        <w:t>Inherits the canonical six-stage pipeline: hi-intent -&gt; 5 governors concur -&gt; BOSS -&gt; orch-policy enforce -&gt; orch-global execute -&gt; orch-evidence pin.</w:t>
      </w:r>
    </w:p>
    <w:p>
      <w:pPr>
        <w:pStyle w:val="ListBullet"/>
      </w:pPr>
      <w:r>
        <w:rPr>
          <w:sz w:val="20"/>
        </w:rPr>
        <w:t>Cannot self-execute material (BOSS &gt;= ELEVATED) actions; called via orch-global with a signed decision token.</w:t>
      </w:r>
    </w:p>
    <w:p>
      <w:pPr>
        <w:pStyle w:val="ListBullet"/>
      </w:pPr>
      <w:r>
        <w:rPr>
          <w:sz w:val="20"/>
        </w:rPr>
        <w:t>Idempotent on X-Action-Id (UUIDv5); duplicate within 24h returns prior receipt.</w:t>
      </w:r>
    </w:p>
    <w:p>
      <w:pPr>
        <w:pStyle w:val="Heading2"/>
      </w:pPr>
      <w:r>
        <w:rPr>
          <w:color w:val="334E68"/>
        </w:rPr>
        <w:t>12. RGI Contracts &amp; OPA Rego Hooks</w:t>
      </w:r>
    </w:p>
    <w:p>
      <w:pPr>
        <w:pStyle w:val="ListBullet"/>
      </w:pPr>
      <w:r>
        <w:rPr>
          <w:sz w:val="20"/>
        </w:rPr>
        <w:t>RGI-03 Execution Containment</w:t>
      </w:r>
    </w:p>
    <w:p>
      <w:pPr>
        <w:pStyle w:val="ListBullet"/>
      </w:pPr>
      <w:r>
        <w:rPr>
          <w:sz w:val="20"/>
        </w:rPr>
        <w:t>RGI-04 Telemetry Emission</w:t>
      </w:r>
    </w:p>
    <w:p>
      <w:pPr>
        <w:pStyle w:val="ListBullet"/>
      </w:pPr>
      <w:r>
        <w:rPr>
          <w:sz w:val="20"/>
        </w:rPr>
        <w:t>RGI-05 Tool/Plugin Governance</w:t>
      </w:r>
    </w:p>
    <w:p>
      <w:r>
        <w:rPr>
          <w:i/>
          <w:sz w:val="18"/>
        </w:rPr>
        <w:t>Default OPA package: adam.adamplus.&lt;cluster&gt; + adam.workgroup; supplemental per-agent Rego MUST be authored under ADAM - OPA Rego Authoring Standards v0.3.</w:t>
      </w:r>
    </w:p>
    <w:p>
      <w:pPr>
        <w:pStyle w:val="Heading2"/>
      </w:pPr>
      <w:r>
        <w:rPr>
          <w:color w:val="334E68"/>
        </w:rPr>
        <w:t>13. Failure Modes &amp; Safe-Mode</w:t>
      </w:r>
    </w:p>
    <w:p>
      <w:r>
        <w:rPr>
          <w:sz w:val="20"/>
        </w:rPr>
        <w:t>On governor block, return 423 Locked with rationale. On chain unavailability, freeze writes and return 503 with FR 'agent_safe_mode_entered'. On adapter degradation, mark intent 'awaiting_external_recovery' and surface to hi-gateway.</w:t>
      </w:r>
    </w:p>
    <w:p>
      <w:pPr>
        <w:pStyle w:val="Heading2"/>
      </w:pPr>
      <w:r>
        <w:rPr>
          <w:color w:val="334E68"/>
        </w:rPr>
        <w:t>14. Resource Profile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Profile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vCPUs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RAM (GB)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GPU</w:t>
            </w:r>
          </w:p>
        </w:tc>
      </w:tr>
      <w:tr>
        <w:tc>
          <w:tcPr>
            <w:tcW w:type="dxa" w:w="2484"/>
          </w:tcPr>
          <w:p>
            <w:r>
              <w:t>Test</w:t>
            </w:r>
          </w:p>
        </w:tc>
        <w:tc>
          <w:tcPr>
            <w:tcW w:type="dxa" w:w="2484"/>
          </w:tcPr>
          <w:p>
            <w:r>
              <w:t>1</w:t>
            </w:r>
          </w:p>
        </w:tc>
        <w:tc>
          <w:tcPr>
            <w:tcW w:type="dxa" w:w="2484"/>
          </w:tcPr>
          <w:p>
            <w:r>
              <w:t>2</w:t>
            </w:r>
          </w:p>
        </w:tc>
        <w:tc>
          <w:tcPr>
            <w:tcW w:type="dxa" w:w="2484"/>
          </w:tcPr>
          <w:p>
            <w:r>
              <w:t>False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Profile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vCPUs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RAM (GB)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GPU</w:t>
            </w:r>
          </w:p>
        </w:tc>
      </w:tr>
      <w:tr>
        <w:tc>
          <w:tcPr>
            <w:tcW w:type="dxa" w:w="2484"/>
          </w:tcPr>
          <w:p>
            <w:r>
              <w:t>Reference (1M-customer)</w:t>
            </w:r>
          </w:p>
        </w:tc>
        <w:tc>
          <w:tcPr>
            <w:tcW w:type="dxa" w:w="2484"/>
          </w:tcPr>
          <w:p>
            <w:r>
              <w:t>25</w:t>
            </w:r>
          </w:p>
        </w:tc>
        <w:tc>
          <w:tcPr>
            <w:tcW w:type="dxa" w:w="2484"/>
          </w:tcPr>
          <w:p>
            <w:r>
              <w:t>100</w:t>
            </w:r>
          </w:p>
        </w:tc>
        <w:tc>
          <w:tcPr>
            <w:tcW w:type="dxa" w:w="2484"/>
          </w:tcPr>
          <w:p>
            <w:r>
              <w:t>False</w:t>
            </w:r>
          </w:p>
        </w:tc>
      </w:tr>
    </w:tbl>
    <w:p>
      <w:pPr>
        <w:pStyle w:val="Heading2"/>
      </w:pPr>
      <w:r>
        <w:rPr>
          <w:color w:val="334E68"/>
        </w:rPr>
        <w:t>15. Dependencies</w:t>
      </w:r>
    </w:p>
    <w:p>
      <w:r>
        <w:rPr>
          <w:b/>
          <w:sz w:val="20"/>
        </w:rPr>
        <w:t xml:space="preserve">Upstream: </w:t>
      </w:r>
      <w:r>
        <w:rPr>
          <w:sz w:val="20"/>
        </w:rPr>
        <w:t>adamplus-ar-invoice, ga-legal (ASC 606 ruleset)</w:t>
      </w:r>
    </w:p>
    <w:p>
      <w:r>
        <w:rPr>
          <w:b/>
          <w:sz w:val="20"/>
        </w:rPr>
        <w:t xml:space="preserve">Downstream: </w:t>
      </w:r>
      <w:r>
        <w:rPr>
          <w:sz w:val="20"/>
        </w:rPr>
        <w:t>adamplus-fin-gl, Flight Recorder</w:t>
      </w:r>
    </w:p>
    <w:p>
      <w:pPr>
        <w:pStyle w:val="Heading2"/>
      </w:pPr>
      <w:r>
        <w:rPr>
          <w:color w:val="334E68"/>
        </w:rPr>
        <w:t>16. SLOs &amp; Mandate Alignment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Latency (p99, ms)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600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Throughput (RPS)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1000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Availability target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99.97%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Mandates supported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M2, M3, M6</w:t>
            </w:r>
          </w:p>
        </w:tc>
      </w:tr>
    </w:tbl>
    <w:p>
      <w:pPr>
        <w:pStyle w:val="Heading2"/>
      </w:pPr>
      <w:r>
        <w:rPr>
          <w:color w:val="334E68"/>
        </w:rPr>
        <w:t>17. Security &amp; Quantum Posture (Day-1 PQC baseline)</w:t>
      </w:r>
    </w:p>
    <w:p>
      <w:r>
        <w:rPr>
          <w:sz w:val="20"/>
        </w:rPr>
        <w:t>Day-1 baseline: every Flight Recorder append, every Authorization-Vault token, every policy decision token, every anchor, every director consent payload that this agent produces or consumes is dual-signed Ed25519 + ML-DSA-65 (FIPS 204) from the very first call. ML-KEM-768 (FIPS 203) is used for key encapsulation on every cross-service transport. SLH-DSA (FIPS 205) is enabled as the long-term anchor signature. CMSA 2.0 (Jan 2027) conformant ahead of schedule.</w:t>
      </w:r>
    </w:p>
    <w:p>
      <w:r>
        <w:rPr>
          <w:i/>
          <w:sz w:val="18"/>
        </w:rPr>
        <w:t>software-HSM only (PyNaCl Ed25519 + dilithium-py / liboqs ML-DSA-65). NO blockchain. NO smart contracts. NO DAO. Keys persist in /data/adam/vault/keys (chmod 600), rotated every 90 days, signed via wg-sec-vault. Dual-signature verification is a hard precondition for any FR replay or director-action acceptance — single-signature payloads are rejected at ingest.</w:t>
      </w:r>
    </w:p>
    <w:p>
      <w:pPr>
        <w:pStyle w:val="Heading2"/>
      </w:pPr>
      <w:r>
        <w:rPr>
          <w:color w:val="334E68"/>
        </w:rPr>
        <w:t>18. QA &amp; Observability Hooks</w:t>
      </w:r>
    </w:p>
    <w:p>
      <w:pPr>
        <w:pStyle w:val="ListBullet"/>
      </w:pPr>
      <w:r>
        <w:rPr>
          <w:sz w:val="20"/>
        </w:rPr>
        <w:t>Layer 4 (governance)</w:t>
      </w:r>
    </w:p>
    <w:p>
      <w:pPr>
        <w:pStyle w:val="ListBullet"/>
      </w:pPr>
      <w:r>
        <w:rPr>
          <w:sz w:val="20"/>
        </w:rPr>
        <w:t>Layer 6 (E2E flow)</w:t>
      </w:r>
    </w:p>
    <w:p>
      <w:r>
        <w:rPr>
          <w:i/>
          <w:sz w:val="18"/>
        </w:rPr>
        <w:t>Add a layerN_&lt;id&gt; function in deployment/&lt;profile&gt;/qa/qa_suite.py and register in LAYER_FNS.</w:t>
      </w:r>
    </w:p>
    <w:p>
      <w:pPr>
        <w:pStyle w:val="Heading2"/>
      </w:pPr>
      <w:r>
        <w:rPr>
          <w:color w:val="334E68"/>
        </w:rPr>
        <w:t>19. Build Plan for the Coding Agent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Source path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deployment/{profile}/agents/adamplus/ar_revrec/server.py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Container image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adam/adamplus-ar-revrec:0.2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Compose service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adamplus-ar-revrec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k3d deployment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iac/k3d/agents-adamplus.yaml (new file; class=adamplus)</w:t>
            </w:r>
          </w:p>
        </w:tc>
      </w:tr>
    </w:tbl>
    <w:p>
      <w:pPr>
        <w:pStyle w:val="ListBullet"/>
      </w:pPr>
      <w:r>
        <w:rPr>
          <w:sz w:val="20"/>
        </w:rPr>
        <w:t>Stand up service.</w:t>
      </w:r>
    </w:p>
    <w:p>
      <w:pPr>
        <w:pStyle w:val="ListBullet"/>
      </w:pPr>
      <w:r>
        <w:rPr>
          <w:sz w:val="20"/>
        </w:rPr>
        <w:t>Wire ASC 606 ruleset.</w:t>
      </w:r>
    </w:p>
    <w:p>
      <w:pPr>
        <w:pStyle w:val="ListBullet"/>
      </w:pPr>
      <w:r>
        <w:rPr>
          <w:sz w:val="20"/>
        </w:rPr>
        <w:t>Add daily recognition cron.</w:t>
      </w:r>
    </w:p>
    <w:p>
      <w:pPr>
        <w:pStyle w:val="Heading2"/>
      </w:pPr>
      <w:r>
        <w:rPr>
          <w:color w:val="334E68"/>
        </w:rPr>
        <w:t>20. Adapters Used</w:t>
      </w:r>
    </w:p>
    <w:p>
      <w:r>
        <w:rPr>
          <w:sz w:val="20"/>
        </w:rPr>
        <w:t>None - this agent operates internally and consumes no external system through an adapter.</w:t>
      </w:r>
    </w:p>
    <w:p>
      <w:r>
        <w:rPr>
          <w:i/>
          <w:sz w:val="18"/>
        </w:rPr>
        <w:t>Adapter contracts: each listed adapter publishes its schema list, auth, idempotency, residency, and Day-1 PQC posture in its own card. This agent MUST honor those contracts; mismatches are surfaced as FR 'adapter_contract_violation'.</w:t>
      </w:r>
    </w:p>
    <w:p>
      <w:pPr>
        <w:pStyle w:val="Heading2"/>
      </w:pPr>
      <w:r>
        <w:rPr>
          <w:color w:val="334E68"/>
        </w:rPr>
        <w:t>21. Acceptance Criteria (DoD)</w:t>
      </w:r>
    </w:p>
    <w:p>
      <w:pPr>
        <w:pStyle w:val="ListBullet"/>
      </w:pPr>
      <w:r>
        <w:rPr>
          <w:sz w:val="20"/>
        </w:rPr>
        <w:t>/healthz and /readyz return 200 once dependencies are healthy.</w:t>
      </w:r>
    </w:p>
    <w:p>
      <w:pPr>
        <w:pStyle w:val="ListBullet"/>
      </w:pPr>
      <w:r>
        <w:rPr>
          <w:sz w:val="20"/>
        </w:rPr>
        <w:t>Every state-changing endpoint emits a Flight Recorder event with correct event_type and intent_id.</w:t>
      </w:r>
    </w:p>
    <w:p>
      <w:pPr>
        <w:pStyle w:val="ListBullet"/>
      </w:pPr>
      <w:r>
        <w:rPr>
          <w:sz w:val="20"/>
        </w:rPr>
        <w:t>Idempotency on X-Action-Id (UUIDv5) - duplicate within 24h returns prior receipt.</w:t>
      </w:r>
    </w:p>
    <w:p>
      <w:pPr>
        <w:pStyle w:val="ListBullet"/>
      </w:pPr>
      <w:r>
        <w:rPr>
          <w:sz w:val="20"/>
        </w:rPr>
        <w:t>Doctrine_version is read at boot and stamped on every FR append.</w:t>
      </w:r>
    </w:p>
    <w:p>
      <w:pPr>
        <w:pStyle w:val="ListBullet"/>
      </w:pPr>
      <w:r>
        <w:rPr>
          <w:sz w:val="20"/>
        </w:rPr>
        <w:t>QA layer added to qa_suite.py and passes.</w:t>
      </w:r>
    </w:p>
    <w:p>
      <w:pPr>
        <w:pStyle w:val="ListBullet"/>
      </w:pPr>
      <w:r>
        <w:rPr>
          <w:sz w:val="20"/>
        </w:rPr>
        <w:t>OPA Rego package adam.adamplus.&lt;cluster&gt; loaded; default-deny verified.</w:t>
      </w:r>
    </w:p>
    <w:p>
      <w:pPr>
        <w:pStyle w:val="ListBullet"/>
      </w:pPr>
      <w:r>
        <w:rPr>
          <w:sz w:val="20"/>
        </w:rPr>
        <w:t>Day-1 dual-signature (Ed25519 + ML-DSA-65) enforced on every payload; single-signed payloads rejected with 'pqc_violation_rejected'.</w:t>
      </w:r>
    </w:p>
    <w:p>
      <w:pPr>
        <w:pStyle w:val="ListBullet"/>
      </w:pPr>
      <w:r>
        <w:rPr>
          <w:sz w:val="20"/>
        </w:rPr>
        <w:t>Compose service starts under `docker compose up -d` and k3d Deployment scales to &gt;=2 replicas with HPA.</w:t>
      </w:r>
    </w:p>
    <w:p>
      <w:pPr>
        <w:pStyle w:val="ListBullet"/>
      </w:pPr>
      <w:r>
        <w:rPr>
          <w:sz w:val="20"/>
        </w:rPr>
        <w:t>Director Dashboard Agent Card overlay shows the new ADAMPLUS agent.</w:t>
      </w:r>
    </w:p>
    <w:p>
      <w:pPr>
        <w:pStyle w:val="ListBullet"/>
      </w:pPr>
      <w:r>
        <w:rPr>
          <w:sz w:val="20"/>
        </w:rPr>
        <w:t>All adapters this agent depends on appear in /etc/adam/adapters/&lt;name&gt;.yaml and are health-pinged.</w:t>
      </w:r>
    </w:p>
    <w:p>
      <w:pPr>
        <w:pStyle w:val="ListBullet"/>
      </w:pPr>
      <w:r>
        <w:rPr>
          <w:sz w:val="20"/>
        </w:rPr>
        <w:t>Flow integration test covers the documented Real-World Flow Walkthrough end-to-end.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