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24D14"/>
          <w:sz w:val="36"/>
        </w:rPr>
        <w:t>ADAMPLUS Agent Definition Card</w:t>
      </w:r>
    </w:p>
    <w:p>
      <w:r>
        <w:rPr>
          <w:b/>
          <w:sz w:val="26"/>
        </w:rPr>
        <w:t>Tax Calculation Agent  ·  adamplus-fin-tax-calc</w:t>
      </w:r>
    </w:p>
    <w:p>
      <w:r>
        <w:rPr>
          <w:i/>
          <w:sz w:val="16"/>
        </w:rPr>
        <w:t>Cluster: Financial Operations Extension    |    Conformance: ADAM Book New v0.3 / BOSS v3.2 / FR Schema v2 / RGI v1.1 / Day-1 PQC (Ed25519 + ML-DSA-65 + ML-KEM-768)    |    Date: 2026-05-05</w:t>
      </w:r>
    </w:p>
    <w:p>
      <w:r>
        <w:rPr>
          <w:i/>
          <w:sz w:val="16"/>
        </w:rPr>
        <w:t>ADAMPLUS denotes an extension to the canonical 81-agent mesh required by real-world enterprise flows (AR/AP, banking, HR, CRM, Operations / industry verticals, ITSM, procurement). ADAMPLUS agents inherit ADAM doctrine and flow through the same six-stage pipeline; they are NOT an alternate governance model.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adamplus-fin-tax-calc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Tax Calculation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Cluster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Financial Operations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CFO + Legal Director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ga-legal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Base-mesh Anchors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wg-legal-jurisdiction; adamplus-ar-invoice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did:adam:adamplus-fin-tax-calc#&lt;dual_key_thumbprint_ed25519+mldsa65&gt;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Latency-critical for invoice issuance.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Single-source tax calculation engine for all invoices, transactions, payroll. Resolves jurisdiction via wg-legal-jurisdiction, delegates complex cases to Avalara/Vertex, and emits a sub-200ms decision used by every invoice path.</w:t>
      </w:r>
    </w:p>
    <w:p>
      <w:pPr>
        <w:pStyle w:val="Heading2"/>
      </w:pPr>
      <w:r>
        <w:rPr>
          <w:color w:val="334E68"/>
        </w:rPr>
        <w:t>3. Real-World Flow Walkthrough</w:t>
      </w:r>
    </w:p>
    <w:p>
      <w:r>
        <w:rPr>
          <w:sz w:val="20"/>
        </w:rPr>
        <w:t>On every invoice/transaction, computes applicable tax (sales tax, VAT, GST, withholding) per jurisdiction trie; integrates with Avalara / Vertex via adapter for complex jurisdictions.</w:t>
      </w:r>
    </w:p>
    <w:p>
      <w:pPr>
        <w:pStyle w:val="Heading2"/>
      </w:pPr>
      <w:r>
        <w:rPr>
          <w:color w:val="334E68"/>
        </w:rPr>
        <w:t>4. In-Scope Responsibilities</w:t>
      </w:r>
    </w:p>
    <w:p>
      <w:pPr>
        <w:pStyle w:val="ListBullet"/>
      </w:pPr>
      <w:r>
        <w:rPr>
          <w:sz w:val="20"/>
        </w:rPr>
        <w:t>Resolve jurisdiction(s) via wg-legal-jurisdiction.</w:t>
      </w:r>
    </w:p>
    <w:p>
      <w:pPr>
        <w:pStyle w:val="ListBullet"/>
      </w:pPr>
      <w:r>
        <w:rPr>
          <w:sz w:val="20"/>
        </w:rPr>
        <w:t>Compute tax per ruleset (or delegate to Avalara/Vertex via adapter).</w:t>
      </w:r>
    </w:p>
    <w:p>
      <w:pPr>
        <w:pStyle w:val="ListBullet"/>
      </w:pPr>
      <w:r>
        <w:rPr>
          <w:sz w:val="20"/>
        </w:rPr>
        <w:t>Track per-jurisdiction obligations.</w:t>
      </w:r>
    </w:p>
    <w:p>
      <w:pPr>
        <w:pStyle w:val="ListBullet"/>
      </w:pPr>
      <w:r>
        <w:rPr>
          <w:sz w:val="20"/>
        </w:rPr>
        <w:t>Emit 'tax_calculated' / 'tax_obligation_recorded'.</w:t>
      </w:r>
    </w:p>
    <w:p>
      <w:pPr>
        <w:pStyle w:val="Heading2"/>
      </w:pPr>
      <w:r>
        <w:rPr>
          <w:color w:val="334E68"/>
        </w:rPr>
        <w:t>5. Explicitly Out of Scope</w:t>
      </w:r>
    </w:p>
    <w:p>
      <w:pPr>
        <w:pStyle w:val="ListBullet"/>
      </w:pPr>
      <w:r>
        <w:rPr>
          <w:sz w:val="20"/>
        </w:rPr>
        <w:t>Filing (adamplus-fin-tax-file).</w:t>
      </w:r>
    </w:p>
    <w:p>
      <w:pPr>
        <w:pStyle w:val="ListBullet"/>
      </w:pPr>
      <w:r>
        <w:rPr>
          <w:sz w:val="20"/>
        </w:rPr>
        <w:t>Litigation.</w:t>
      </w:r>
    </w:p>
    <w:p>
      <w:pPr>
        <w:pStyle w:val="Heading2"/>
      </w:pPr>
      <w:r>
        <w:rPr>
          <w:color w:val="334E68"/>
        </w:rPr>
        <w:t>6. Inputs</w:t>
      </w:r>
    </w:p>
    <w:p>
      <w:pPr>
        <w:pStyle w:val="ListBullet"/>
      </w:pPr>
      <w:r>
        <w:rPr>
          <w:sz w:val="20"/>
        </w:rPr>
        <w:t>POST /calc.</w:t>
      </w:r>
    </w:p>
    <w:p>
      <w:pPr>
        <w:pStyle w:val="ListBullet"/>
      </w:pPr>
      <w:r>
        <w:rPr>
          <w:sz w:val="20"/>
        </w:rPr>
        <w:t>GET /obligations.</w:t>
      </w:r>
    </w:p>
    <w:p>
      <w:pPr>
        <w:pStyle w:val="Heading2"/>
      </w:pPr>
      <w:r>
        <w:rPr>
          <w:color w:val="334E68"/>
        </w:rPr>
        <w:t>7. Outputs (Flight Recorder &amp; Side Effects)</w:t>
      </w:r>
    </w:p>
    <w:p>
      <w:pPr>
        <w:pStyle w:val="ListBullet"/>
      </w:pPr>
      <w:r>
        <w:rPr>
          <w:sz w:val="20"/>
        </w:rPr>
        <w:t>FR events; synchronous tax decision.</w:t>
      </w:r>
    </w:p>
    <w:p>
      <w:pPr>
        <w:pStyle w:val="Heading2"/>
      </w:pPr>
      <w:r>
        <w:rPr>
          <w:color w:val="334E68"/>
        </w:rPr>
        <w:t>8. Public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/calc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Calculate tax.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/obligations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Open obligations.</w:t>
            </w:r>
          </w:p>
        </w:tc>
      </w:tr>
    </w:tbl>
    <w:p>
      <w:pPr>
        <w:pStyle w:val="Heading2"/>
      </w:pPr>
      <w:r>
        <w:rPr>
          <w:color w:val="334E68"/>
        </w:rPr>
        <w:t>9. State &amp; Persistence</w:t>
      </w:r>
    </w:p>
    <w:p>
      <w:r>
        <w:rPr>
          <w:sz w:val="20"/>
        </w:rPr>
        <w:t>Postgres tax_calculations + tax_obligations.</w:t>
      </w:r>
    </w:p>
    <w:p>
      <w:pPr>
        <w:pStyle w:val="Heading2"/>
      </w:pPr>
      <w:r>
        <w:rPr>
          <w:color w:val="334E68"/>
        </w:rPr>
        <w:t>10.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regulatory_impact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Surfaces.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11. Governor / Director Concurrence</w:t>
      </w:r>
    </w:p>
    <w:p>
      <w:pPr>
        <w:pStyle w:val="ListBullet"/>
      </w:pPr>
      <w:r>
        <w:rPr>
          <w:sz w:val="20"/>
        </w:rPr>
        <w:t>Inherits the canonical six-stage pipeline: hi-intent -&gt; 5 governors concur -&gt; BOSS -&gt; orch-policy enforce -&gt; orch-global execute -&gt; orch-evidence pin.</w:t>
      </w:r>
    </w:p>
    <w:p>
      <w:pPr>
        <w:pStyle w:val="ListBullet"/>
      </w:pPr>
      <w:r>
        <w:rPr>
          <w:sz w:val="20"/>
        </w:rPr>
        <w:t>Cannot self-execute material (BOSS &gt;= ELEVATED) actions; called via orch-global with a signed decision token.</w:t>
      </w:r>
    </w:p>
    <w:p>
      <w:pPr>
        <w:pStyle w:val="ListBullet"/>
      </w:pPr>
      <w:r>
        <w:rPr>
          <w:sz w:val="20"/>
        </w:rPr>
        <w:t>Idempotent on X-Action-Id (UUIDv5); duplicate within 24h returns prior receipt.</w:t>
      </w:r>
    </w:p>
    <w:p>
      <w:pPr>
        <w:pStyle w:val="Heading2"/>
      </w:pPr>
      <w:r>
        <w:rPr>
          <w:color w:val="334E68"/>
        </w:rPr>
        <w:t>12.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Default OPA package: adam.adamplus.&lt;cluster&gt; + adam.workgroup; supplemental per-agent Rego MUST be authored under ADAM - OPA Rego Authoring Standards v0.3.</w:t>
      </w:r>
    </w:p>
    <w:p>
      <w:pPr>
        <w:pStyle w:val="Heading2"/>
      </w:pPr>
      <w:r>
        <w:rPr>
          <w:color w:val="334E68"/>
        </w:rPr>
        <w:t>13. Failure Modes &amp; Safe-Mode</w:t>
      </w:r>
    </w:p>
    <w:p>
      <w:r>
        <w:rPr>
          <w:sz w:val="20"/>
        </w:rPr>
        <w:t>On governor block, return 423 Locked with rationale. On chain unavailability, freeze writes and return 503 with FR 'agent_safe_mode_entered'. On adapter degradation, mark intent 'awaiting_external_recovery' and surface to hi-gateway.</w:t>
      </w:r>
    </w:p>
    <w:p>
      <w:pPr>
        <w:pStyle w:val="Heading2"/>
      </w:pPr>
      <w:r>
        <w:rPr>
          <w:color w:val="334E68"/>
        </w:rPr>
        <w:t>14.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(1M-customer)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15.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wg-legal-jurisdiction, Avalara/Vertex adapter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adamplus-ar-invoice, adamplus-ap-vendor-invoice, Flight Recorder</w:t>
      </w:r>
    </w:p>
    <w:p>
      <w:pPr>
        <w:pStyle w:val="Heading2"/>
      </w:pPr>
      <w:r>
        <w:rPr>
          <w:color w:val="334E68"/>
        </w:rPr>
        <w:t>16.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5000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99.99%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M3, M6</w:t>
            </w:r>
          </w:p>
        </w:tc>
      </w:tr>
    </w:tbl>
    <w:p>
      <w:pPr>
        <w:pStyle w:val="Heading2"/>
      </w:pPr>
      <w:r>
        <w:rPr>
          <w:color w:val="334E68"/>
        </w:rPr>
        <w:t>17.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(FIPS 204) from the very first call. ML-KEM-768 (FIPS 203) is used for key encapsulation on every cross-service transport. SLH-DSA (FIPS 205) is enabled as the long-term anchor signature. CMSA 2.0 (Jan 2027) conformant ahead of schedule.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18.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6 (E2E flow)</w:t>
      </w:r>
    </w:p>
    <w:p>
      <w:r>
        <w:rPr>
          <w:i/>
          <w:sz w:val="18"/>
        </w:rPr>
        <w:t>Add a layerN_&lt;id&gt; function in deployment/&lt;profile&gt;/qa/qa_suite.py and register in LAYER_FNS.</w:t>
      </w:r>
    </w:p>
    <w:p>
      <w:pPr>
        <w:pStyle w:val="Heading2"/>
      </w:pPr>
      <w:r>
        <w:rPr>
          <w:color w:val="334E68"/>
        </w:rPr>
        <w:t>19.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deployment/{profile}/agents/adamplus/fin_tax_calc/server.py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adam/adamplus-fin-tax-calc:0.2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adamplus-fin-tax-calc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iac/k3d/agents-adamplus.yaml (new file; class=adamplus)</w:t>
            </w:r>
          </w:p>
        </w:tc>
      </w:tr>
    </w:tbl>
    <w:p>
      <w:pPr>
        <w:pStyle w:val="ListBullet"/>
      </w:pPr>
      <w:r>
        <w:rPr>
          <w:sz w:val="20"/>
        </w:rPr>
        <w:t>Stand up service.</w:t>
      </w:r>
    </w:p>
    <w:p>
      <w:pPr>
        <w:pStyle w:val="ListBullet"/>
      </w:pPr>
      <w:r>
        <w:rPr>
          <w:sz w:val="20"/>
        </w:rPr>
        <w:t>Wire Avalara / Vertex adapter.</w:t>
      </w:r>
    </w:p>
    <w:p>
      <w:pPr>
        <w:pStyle w:val="ListBullet"/>
      </w:pPr>
      <w:r>
        <w:rPr>
          <w:sz w:val="20"/>
        </w:rPr>
        <w:t>Add jurisdiction-trie consult.</w:t>
      </w:r>
    </w:p>
    <w:p>
      <w:pPr>
        <w:pStyle w:val="Heading2"/>
      </w:pPr>
      <w:r>
        <w:rPr>
          <w:color w:val="334E68"/>
        </w:rPr>
        <w:t>20.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contracts: each listed adapter publishes its schema list, auth, idempotency, residency, and Day-1 PQC posture in its own card. This agent MUST honor those contracts; mismatches are surfaced as FR 'adapter_contract_violation'.</w:t>
      </w:r>
    </w:p>
    <w:p>
      <w:pPr>
        <w:pStyle w:val="Heading2"/>
      </w:pPr>
      <w:r>
        <w:rPr>
          <w:color w:val="334E68"/>
        </w:rPr>
        <w:t>21. Acceptance Criteria (DoD)</w:t>
      </w:r>
    </w:p>
    <w:p>
      <w:pPr>
        <w:pStyle w:val="ListBullet"/>
      </w:pPr>
      <w:r>
        <w:rPr>
          <w:sz w:val="20"/>
        </w:rPr>
        <w:t>/healthz and /readyz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correct event_type and intent_id.</w:t>
      </w:r>
    </w:p>
    <w:p>
      <w:pPr>
        <w:pStyle w:val="ListBullet"/>
      </w:pPr>
      <w:r>
        <w:rPr>
          <w:sz w:val="20"/>
        </w:rPr>
        <w:t>Idempotency on X-Action-Id (UUIDv5) - duplicate within 24h returns prior receipt.</w:t>
      </w:r>
    </w:p>
    <w:p>
      <w:pPr>
        <w:pStyle w:val="ListBullet"/>
      </w:pPr>
      <w:r>
        <w:rPr>
          <w:sz w:val="20"/>
        </w:rPr>
        <w:t>Doctrine_version is read at boot and stamped on every FR append.</w:t>
      </w:r>
    </w:p>
    <w:p>
      <w:pPr>
        <w:pStyle w:val="ListBullet"/>
      </w:pPr>
      <w:r>
        <w:rPr>
          <w:sz w:val="20"/>
        </w:rPr>
        <w:t>QA layer added to qa_suite.py and passes.</w:t>
      </w:r>
    </w:p>
    <w:p>
      <w:pPr>
        <w:pStyle w:val="ListBullet"/>
      </w:pPr>
      <w:r>
        <w:rPr>
          <w:sz w:val="20"/>
        </w:rPr>
        <w:t>OPA Rego package adam.adamplus.&lt;cluster&gt; loaded; default-deny verified.</w:t>
      </w:r>
    </w:p>
    <w:p>
      <w:pPr>
        <w:pStyle w:val="ListBullet"/>
      </w:pPr>
      <w:r>
        <w:rPr>
          <w:sz w:val="20"/>
        </w:rPr>
        <w:t>Day-1 dual-signature (Ed25519 + ML-DSA-65) enforced on every payload; single-signed payloads rejected with 'pqc_violation_rejected'.</w:t>
      </w:r>
    </w:p>
    <w:p>
      <w:pPr>
        <w:pStyle w:val="ListBullet"/>
      </w:pPr>
      <w:r>
        <w:rPr>
          <w:sz w:val="20"/>
        </w:rPr>
        <w:t>Compose service starts under `docker compose up -d` and k3d Deployment scales to &gt;=2 replicas with HPA.</w:t>
      </w:r>
    </w:p>
    <w:p>
      <w:pPr>
        <w:pStyle w:val="ListBullet"/>
      </w:pPr>
      <w:r>
        <w:rPr>
          <w:sz w:val="20"/>
        </w:rPr>
        <w:t>Director Dashboard Agent Card overlay shows the new ADAMPLUS agent.</w:t>
      </w:r>
    </w:p>
    <w:p>
      <w:pPr>
        <w:pStyle w:val="ListBullet"/>
      </w:pPr>
      <w:r>
        <w:rPr>
          <w:sz w:val="20"/>
        </w:rPr>
        <w:t>All adapters this agent depends on appear in /etc/adam/adapters/&lt;name&gt;.yaml and are health-pinged.</w:t>
      </w:r>
    </w:p>
    <w:p>
      <w:pPr>
        <w:pStyle w:val="ListBullet"/>
      </w:pPr>
      <w:r>
        <w:rPr>
          <w:sz w:val="20"/>
        </w:rPr>
        <w:t>Flow integration test covers the documented Real-World Flow Walkthrough end-to-end.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